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Theme="minorHAnsi" w:eastAsiaTheme="minorHAnsi" w:hAnsiTheme="minorHAnsi" w:cstheme="minorBidi"/>
          <w:color w:val="auto"/>
          <w:spacing w:val="0"/>
          <w:kern w:val="0"/>
          <w:sz w:val="22"/>
          <w:szCs w:val="22"/>
        </w:rPr>
        <w:id w:val="1350376724"/>
        <w:docPartObj>
          <w:docPartGallery w:val="Cover Pages"/>
          <w:docPartUnique/>
        </w:docPartObj>
      </w:sdtPr>
      <w:sdtContent>
        <w:p w14:paraId="454D6A1C" w14:textId="5F3140CF" w:rsidR="0042013E" w:rsidRDefault="001E6B45" w:rsidP="00D07B3E">
          <w:pPr>
            <w:pStyle w:val="Title"/>
          </w:pPr>
          <w:r>
            <w:rPr>
              <w:noProof/>
            </w:rPr>
            <mc:AlternateContent>
              <mc:Choice Requires="wps">
                <w:drawing>
                  <wp:anchor distT="0" distB="0" distL="114300" distR="114300" simplePos="0" relativeHeight="251658240" behindDoc="1" locked="0" layoutInCell="1" allowOverlap="1" wp14:anchorId="5A0BCC14" wp14:editId="759AE570">
                    <wp:simplePos x="0" y="0"/>
                    <wp:positionH relativeFrom="page">
                      <wp:posOffset>0</wp:posOffset>
                    </wp:positionH>
                    <wp:positionV relativeFrom="paragraph">
                      <wp:posOffset>-906145</wp:posOffset>
                    </wp:positionV>
                    <wp:extent cx="7810500" cy="102031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7810500" cy="1020318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6876E" id="Rectangle 1" o:spid="_x0000_s1026" style="position:absolute;margin-left:0;margin-top:-71.35pt;width:615pt;height:80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" fillcolor="black [3213]" strokecolor="#1f3763 [1604]" strokeweight="1pt">
                    <w10:wrap anchorx="page"/>
                  </v:rect>
                </w:pict>
              </mc:Fallback>
            </mc:AlternateContent>
          </w:r>
        </w:p>
        <w:p w14:paraId="1D8CCC39" w14:textId="77777777" w:rsidR="0042013E" w:rsidRDefault="0042013E" w:rsidP="00D07B3E">
          <w:pPr>
            <w:pStyle w:val="Title"/>
          </w:pPr>
        </w:p>
        <w:p w14:paraId="75F90E48" w14:textId="77777777" w:rsidR="0042013E" w:rsidRDefault="0042013E" w:rsidP="00D07B3E">
          <w:pPr>
            <w:pStyle w:val="Title"/>
          </w:pPr>
        </w:p>
        <w:p w14:paraId="4C483929" w14:textId="02F0EC35" w:rsidR="0042013E" w:rsidRPr="001C4891" w:rsidRDefault="000503DF" w:rsidP="00D07B3E">
          <w:pPr>
            <w:pStyle w:val="Title"/>
            <w:rPr>
              <w:sz w:val="96"/>
              <w:szCs w:val="96"/>
            </w:rPr>
          </w:pPr>
          <w:r>
            <w:rPr>
              <w:sz w:val="96"/>
              <w:szCs w:val="96"/>
            </w:rPr>
            <w:t>Investment Bonds</w:t>
          </w:r>
        </w:p>
        <w:p w14:paraId="09C5B1CA" w14:textId="77777777" w:rsidR="0042013E" w:rsidRDefault="0042013E" w:rsidP="00D07B3E"/>
        <w:p w14:paraId="00424856" w14:textId="1C843F93" w:rsidR="0042013E" w:rsidRPr="00D07B3E" w:rsidRDefault="00D429C6" w:rsidP="00D07B3E">
          <w:pPr>
            <w:pStyle w:val="Subtitle"/>
          </w:pPr>
          <w:r>
            <w:t>JANUARY 202</w:t>
          </w:r>
          <w:r w:rsidR="00B1173E">
            <w:t>5</w:t>
          </w:r>
          <w:r w:rsidR="0042013E" w:rsidRPr="00D07B3E">
            <w:t xml:space="preserve"> | </w:t>
          </w:r>
          <w:r>
            <w:t xml:space="preserve">PFE </w:t>
          </w:r>
          <w:r w:rsidR="008A4E64">
            <w:t>ONLINE TRAINING</w:t>
          </w:r>
        </w:p>
        <w:p w14:paraId="47A83AC3" w14:textId="1BE314A6" w:rsidR="00E14824" w:rsidRDefault="00E14824" w:rsidP="00D07B3E"/>
        <w:p w14:paraId="77E3D7AE" w14:textId="7AD619A8" w:rsidR="00E14824" w:rsidRDefault="00E14824" w:rsidP="00D07B3E"/>
        <w:p w14:paraId="652471B3" w14:textId="422ACF5F" w:rsidR="00E14824" w:rsidRDefault="00E14824" w:rsidP="00D07B3E"/>
        <w:p w14:paraId="0825DFC4" w14:textId="300614C8" w:rsidR="00D07B3E" w:rsidRDefault="00D07B3E" w:rsidP="00D07B3E"/>
        <w:p w14:paraId="7458076F" w14:textId="702211CD" w:rsidR="00D07B3E" w:rsidRDefault="00D07B3E" w:rsidP="00D07B3E"/>
        <w:p w14:paraId="6611D5A3" w14:textId="553DCB45" w:rsidR="00D07B3E" w:rsidRDefault="00D07B3E" w:rsidP="00D07B3E"/>
        <w:p w14:paraId="3EABF5FA" w14:textId="66083E7A" w:rsidR="00D07B3E" w:rsidRDefault="00D07B3E" w:rsidP="00D07B3E"/>
        <w:p w14:paraId="6551B32C" w14:textId="77777777" w:rsidR="00D07B3E" w:rsidRDefault="00D07B3E" w:rsidP="00D07B3E"/>
        <w:p w14:paraId="5CF4F18C" w14:textId="717934DB" w:rsidR="00E14824" w:rsidRDefault="00713850" w:rsidP="00D07B3E">
          <w:pPr>
            <w:jc w:val="center"/>
            <w:rPr>
              <w:rFonts w:ascii="Century Gothic" w:eastAsia="Century Gothic" w:hAnsi="Century Gothic" w:cs="Century Gothic"/>
              <w:color w:val="B2B2B2"/>
              <w:sz w:val="25"/>
              <w:szCs w:val="25"/>
            </w:rPr>
          </w:pPr>
          <w:r>
            <w:rPr>
              <w:noProof/>
            </w:rPr>
            <w:drawing>
              <wp:inline distT="0" distB="0" distL="0" distR="0" wp14:anchorId="5279F29A" wp14:editId="3713D62F">
                <wp:extent cx="2164080" cy="913130"/>
                <wp:effectExtent l="0" t="0" r="762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0" cy="913130"/>
                        </a:xfrm>
                        <a:prstGeom prst="rect">
                          <a:avLst/>
                        </a:prstGeom>
                      </pic:spPr>
                    </pic:pic>
                  </a:graphicData>
                </a:graphic>
              </wp:inline>
            </w:drawing>
          </w:r>
        </w:p>
        <w:p w14:paraId="65277C61" w14:textId="77777777" w:rsidR="00D07B3E" w:rsidRDefault="00D07B3E" w:rsidP="00AC6205"/>
        <w:p w14:paraId="7346968E" w14:textId="16AAA11A" w:rsidR="00A9561F" w:rsidRDefault="00A9561F">
          <w:pPr>
            <w:spacing w:after="160"/>
          </w:pPr>
          <w:r>
            <w:br w:type="page"/>
          </w:r>
        </w:p>
        <w:sdt>
          <w:sdtPr>
            <w:rPr>
              <w:rFonts w:asciiTheme="minorHAnsi" w:eastAsiaTheme="minorHAnsi" w:hAnsiTheme="minorHAnsi" w:cstheme="minorBidi"/>
              <w:color w:val="auto"/>
              <w:sz w:val="22"/>
              <w:szCs w:val="22"/>
              <w:lang w:val="en-GB"/>
            </w:rPr>
            <w:id w:val="-1689439992"/>
            <w:docPartObj>
              <w:docPartGallery w:val="Table of Contents"/>
              <w:docPartUnique/>
            </w:docPartObj>
          </w:sdtPr>
          <w:sdtEndPr>
            <w:rPr>
              <w:b/>
              <w:bCs/>
              <w:noProof/>
            </w:rPr>
          </w:sdtEndPr>
          <w:sdtContent>
            <w:p w14:paraId="543C74F7" w14:textId="651D3423" w:rsidR="00A9561F" w:rsidRPr="00A9561F" w:rsidRDefault="00A9561F">
              <w:pPr>
                <w:pStyle w:val="TOCHeading"/>
                <w:rPr>
                  <w:rFonts w:ascii="Century Gothic" w:hAnsi="Century Gothic"/>
                  <w:color w:val="auto"/>
                  <w:sz w:val="72"/>
                  <w:szCs w:val="72"/>
                </w:rPr>
              </w:pPr>
              <w:r w:rsidRPr="00A9561F">
                <w:rPr>
                  <w:rFonts w:ascii="Century Gothic" w:hAnsi="Century Gothic"/>
                  <w:color w:val="auto"/>
                  <w:sz w:val="72"/>
                  <w:szCs w:val="72"/>
                </w:rPr>
                <w:t>Contents</w:t>
              </w:r>
            </w:p>
            <w:p w14:paraId="2C662025" w14:textId="77777777" w:rsidR="00A9561F" w:rsidRPr="00A9561F" w:rsidRDefault="00A9561F" w:rsidP="00A9561F">
              <w:pPr>
                <w:rPr>
                  <w:lang w:val="en-US"/>
                </w:rPr>
              </w:pPr>
            </w:p>
            <w:p w14:paraId="6CA8A944" w14:textId="7A1FDCA3" w:rsidR="00BD5EF9" w:rsidRDefault="00A9561F">
              <w:pPr>
                <w:pStyle w:val="TOC1"/>
                <w:tabs>
                  <w:tab w:val="right" w:leader="dot" w:pos="9350"/>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7422024" w:history="1">
                <w:r w:rsidR="00BD5EF9" w:rsidRPr="00D00EA1">
                  <w:rPr>
                    <w:rStyle w:val="Hyperlink"/>
                    <w:noProof/>
                  </w:rPr>
                  <w:t>Introduction</w:t>
                </w:r>
                <w:r w:rsidR="00BD5EF9">
                  <w:rPr>
                    <w:noProof/>
                    <w:webHidden/>
                  </w:rPr>
                  <w:tab/>
                </w:r>
                <w:r w:rsidR="00BD5EF9">
                  <w:rPr>
                    <w:noProof/>
                    <w:webHidden/>
                  </w:rPr>
                  <w:fldChar w:fldCharType="begin"/>
                </w:r>
                <w:r w:rsidR="00BD5EF9">
                  <w:rPr>
                    <w:noProof/>
                    <w:webHidden/>
                  </w:rPr>
                  <w:instrText xml:space="preserve"> PAGEREF _Toc187422024 \h </w:instrText>
                </w:r>
                <w:r w:rsidR="00BD5EF9">
                  <w:rPr>
                    <w:noProof/>
                    <w:webHidden/>
                  </w:rPr>
                </w:r>
                <w:r w:rsidR="00BD5EF9">
                  <w:rPr>
                    <w:noProof/>
                    <w:webHidden/>
                  </w:rPr>
                  <w:fldChar w:fldCharType="separate"/>
                </w:r>
                <w:r w:rsidR="00BD5EF9">
                  <w:rPr>
                    <w:noProof/>
                    <w:webHidden/>
                  </w:rPr>
                  <w:t>3</w:t>
                </w:r>
                <w:r w:rsidR="00BD5EF9">
                  <w:rPr>
                    <w:noProof/>
                    <w:webHidden/>
                  </w:rPr>
                  <w:fldChar w:fldCharType="end"/>
                </w:r>
              </w:hyperlink>
            </w:p>
            <w:p w14:paraId="1D728546" w14:textId="3FC9CCFA"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25" w:history="1">
                <w:r w:rsidRPr="00D00EA1">
                  <w:rPr>
                    <w:rStyle w:val="Hyperlink"/>
                    <w:noProof/>
                  </w:rPr>
                  <w:t>Learning Outcomes</w:t>
                </w:r>
                <w:r>
                  <w:rPr>
                    <w:noProof/>
                    <w:webHidden/>
                  </w:rPr>
                  <w:tab/>
                </w:r>
                <w:r>
                  <w:rPr>
                    <w:noProof/>
                    <w:webHidden/>
                  </w:rPr>
                  <w:fldChar w:fldCharType="begin"/>
                </w:r>
                <w:r>
                  <w:rPr>
                    <w:noProof/>
                    <w:webHidden/>
                  </w:rPr>
                  <w:instrText xml:space="preserve"> PAGEREF _Toc187422025 \h </w:instrText>
                </w:r>
                <w:r>
                  <w:rPr>
                    <w:noProof/>
                    <w:webHidden/>
                  </w:rPr>
                </w:r>
                <w:r>
                  <w:rPr>
                    <w:noProof/>
                    <w:webHidden/>
                  </w:rPr>
                  <w:fldChar w:fldCharType="separate"/>
                </w:r>
                <w:r>
                  <w:rPr>
                    <w:noProof/>
                    <w:webHidden/>
                  </w:rPr>
                  <w:t>3</w:t>
                </w:r>
                <w:r>
                  <w:rPr>
                    <w:noProof/>
                    <w:webHidden/>
                  </w:rPr>
                  <w:fldChar w:fldCharType="end"/>
                </w:r>
              </w:hyperlink>
            </w:p>
            <w:p w14:paraId="4D6F93BD" w14:textId="16C7A29F"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26" w:history="1">
                <w:r w:rsidRPr="00D00EA1">
                  <w:rPr>
                    <w:rStyle w:val="Hyperlink"/>
                    <w:noProof/>
                  </w:rPr>
                  <w:t>Course Structure</w:t>
                </w:r>
                <w:r>
                  <w:rPr>
                    <w:noProof/>
                    <w:webHidden/>
                  </w:rPr>
                  <w:tab/>
                </w:r>
                <w:r>
                  <w:rPr>
                    <w:noProof/>
                    <w:webHidden/>
                  </w:rPr>
                  <w:fldChar w:fldCharType="begin"/>
                </w:r>
                <w:r>
                  <w:rPr>
                    <w:noProof/>
                    <w:webHidden/>
                  </w:rPr>
                  <w:instrText xml:space="preserve"> PAGEREF _Toc187422026 \h </w:instrText>
                </w:r>
                <w:r>
                  <w:rPr>
                    <w:noProof/>
                    <w:webHidden/>
                  </w:rPr>
                </w:r>
                <w:r>
                  <w:rPr>
                    <w:noProof/>
                    <w:webHidden/>
                  </w:rPr>
                  <w:fldChar w:fldCharType="separate"/>
                </w:r>
                <w:r>
                  <w:rPr>
                    <w:noProof/>
                    <w:webHidden/>
                  </w:rPr>
                  <w:t>3</w:t>
                </w:r>
                <w:r>
                  <w:rPr>
                    <w:noProof/>
                    <w:webHidden/>
                  </w:rPr>
                  <w:fldChar w:fldCharType="end"/>
                </w:r>
              </w:hyperlink>
            </w:p>
            <w:p w14:paraId="4C83942C" w14:textId="2E9E2A0C" w:rsidR="00BD5EF9" w:rsidRDefault="00BD5EF9">
              <w:pPr>
                <w:pStyle w:val="TOC1"/>
                <w:tabs>
                  <w:tab w:val="right" w:leader="dot" w:pos="9350"/>
                </w:tabs>
                <w:rPr>
                  <w:rFonts w:eastAsiaTheme="minorEastAsia"/>
                  <w:noProof/>
                  <w:kern w:val="2"/>
                  <w:sz w:val="24"/>
                  <w:szCs w:val="24"/>
                  <w:lang w:eastAsia="en-GB"/>
                  <w14:ligatures w14:val="standardContextual"/>
                </w:rPr>
              </w:pPr>
              <w:hyperlink w:anchor="_Toc187422027" w:history="1">
                <w:r w:rsidRPr="00D00EA1">
                  <w:rPr>
                    <w:rStyle w:val="Hyperlink"/>
                    <w:noProof/>
                  </w:rPr>
                  <w:t>The Autumn Statement 2024</w:t>
                </w:r>
                <w:r>
                  <w:rPr>
                    <w:noProof/>
                    <w:webHidden/>
                  </w:rPr>
                  <w:tab/>
                </w:r>
                <w:r>
                  <w:rPr>
                    <w:noProof/>
                    <w:webHidden/>
                  </w:rPr>
                  <w:fldChar w:fldCharType="begin"/>
                </w:r>
                <w:r>
                  <w:rPr>
                    <w:noProof/>
                    <w:webHidden/>
                  </w:rPr>
                  <w:instrText xml:space="preserve"> PAGEREF _Toc187422027 \h </w:instrText>
                </w:r>
                <w:r>
                  <w:rPr>
                    <w:noProof/>
                    <w:webHidden/>
                  </w:rPr>
                </w:r>
                <w:r>
                  <w:rPr>
                    <w:noProof/>
                    <w:webHidden/>
                  </w:rPr>
                  <w:fldChar w:fldCharType="separate"/>
                </w:r>
                <w:r>
                  <w:rPr>
                    <w:noProof/>
                    <w:webHidden/>
                  </w:rPr>
                  <w:t>4</w:t>
                </w:r>
                <w:r>
                  <w:rPr>
                    <w:noProof/>
                    <w:webHidden/>
                  </w:rPr>
                  <w:fldChar w:fldCharType="end"/>
                </w:r>
              </w:hyperlink>
            </w:p>
            <w:p w14:paraId="6ED84601" w14:textId="49523730"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28" w:history="1">
                <w:r w:rsidRPr="00D00EA1">
                  <w:rPr>
                    <w:rStyle w:val="Hyperlink"/>
                    <w:noProof/>
                  </w:rPr>
                  <w:t>Income Tax Thresholds</w:t>
                </w:r>
                <w:r>
                  <w:rPr>
                    <w:noProof/>
                    <w:webHidden/>
                  </w:rPr>
                  <w:tab/>
                </w:r>
                <w:r>
                  <w:rPr>
                    <w:noProof/>
                    <w:webHidden/>
                  </w:rPr>
                  <w:fldChar w:fldCharType="begin"/>
                </w:r>
                <w:r>
                  <w:rPr>
                    <w:noProof/>
                    <w:webHidden/>
                  </w:rPr>
                  <w:instrText xml:space="preserve"> PAGEREF _Toc187422028 \h </w:instrText>
                </w:r>
                <w:r>
                  <w:rPr>
                    <w:noProof/>
                    <w:webHidden/>
                  </w:rPr>
                </w:r>
                <w:r>
                  <w:rPr>
                    <w:noProof/>
                    <w:webHidden/>
                  </w:rPr>
                  <w:fldChar w:fldCharType="separate"/>
                </w:r>
                <w:r>
                  <w:rPr>
                    <w:noProof/>
                    <w:webHidden/>
                  </w:rPr>
                  <w:t>4</w:t>
                </w:r>
                <w:r>
                  <w:rPr>
                    <w:noProof/>
                    <w:webHidden/>
                  </w:rPr>
                  <w:fldChar w:fldCharType="end"/>
                </w:r>
              </w:hyperlink>
            </w:p>
            <w:p w14:paraId="7A029563" w14:textId="14F6A10E"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29" w:history="1">
                <w:r w:rsidRPr="00D00EA1">
                  <w:rPr>
                    <w:rStyle w:val="Hyperlink"/>
                    <w:noProof/>
                  </w:rPr>
                  <w:t>Savings Allowances</w:t>
                </w:r>
                <w:r>
                  <w:rPr>
                    <w:noProof/>
                    <w:webHidden/>
                  </w:rPr>
                  <w:tab/>
                </w:r>
                <w:r>
                  <w:rPr>
                    <w:noProof/>
                    <w:webHidden/>
                  </w:rPr>
                  <w:fldChar w:fldCharType="begin"/>
                </w:r>
                <w:r>
                  <w:rPr>
                    <w:noProof/>
                    <w:webHidden/>
                  </w:rPr>
                  <w:instrText xml:space="preserve"> PAGEREF _Toc187422029 \h </w:instrText>
                </w:r>
                <w:r>
                  <w:rPr>
                    <w:noProof/>
                    <w:webHidden/>
                  </w:rPr>
                </w:r>
                <w:r>
                  <w:rPr>
                    <w:noProof/>
                    <w:webHidden/>
                  </w:rPr>
                  <w:fldChar w:fldCharType="separate"/>
                </w:r>
                <w:r>
                  <w:rPr>
                    <w:noProof/>
                    <w:webHidden/>
                  </w:rPr>
                  <w:t>5</w:t>
                </w:r>
                <w:r>
                  <w:rPr>
                    <w:noProof/>
                    <w:webHidden/>
                  </w:rPr>
                  <w:fldChar w:fldCharType="end"/>
                </w:r>
              </w:hyperlink>
            </w:p>
            <w:p w14:paraId="5029EF13" w14:textId="08E56A87"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30" w:history="1">
                <w:r w:rsidRPr="00D00EA1">
                  <w:rPr>
                    <w:rStyle w:val="Hyperlink"/>
                    <w:noProof/>
                  </w:rPr>
                  <w:t>Dividends and Capital Gains</w:t>
                </w:r>
                <w:r>
                  <w:rPr>
                    <w:noProof/>
                    <w:webHidden/>
                  </w:rPr>
                  <w:tab/>
                </w:r>
                <w:r>
                  <w:rPr>
                    <w:noProof/>
                    <w:webHidden/>
                  </w:rPr>
                  <w:fldChar w:fldCharType="begin"/>
                </w:r>
                <w:r>
                  <w:rPr>
                    <w:noProof/>
                    <w:webHidden/>
                  </w:rPr>
                  <w:instrText xml:space="preserve"> PAGEREF _Toc187422030 \h </w:instrText>
                </w:r>
                <w:r>
                  <w:rPr>
                    <w:noProof/>
                    <w:webHidden/>
                  </w:rPr>
                </w:r>
                <w:r>
                  <w:rPr>
                    <w:noProof/>
                    <w:webHidden/>
                  </w:rPr>
                  <w:fldChar w:fldCharType="separate"/>
                </w:r>
                <w:r>
                  <w:rPr>
                    <w:noProof/>
                    <w:webHidden/>
                  </w:rPr>
                  <w:t>5</w:t>
                </w:r>
                <w:r>
                  <w:rPr>
                    <w:noProof/>
                    <w:webHidden/>
                  </w:rPr>
                  <w:fldChar w:fldCharType="end"/>
                </w:r>
              </w:hyperlink>
            </w:p>
            <w:p w14:paraId="73C58C55" w14:textId="6FF26323"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31" w:history="1">
                <w:r w:rsidRPr="00D00EA1">
                  <w:rPr>
                    <w:rStyle w:val="Hyperlink"/>
                    <w:noProof/>
                  </w:rPr>
                  <w:t>Inheritance Tax</w:t>
                </w:r>
                <w:r>
                  <w:rPr>
                    <w:noProof/>
                    <w:webHidden/>
                  </w:rPr>
                  <w:tab/>
                </w:r>
                <w:r>
                  <w:rPr>
                    <w:noProof/>
                    <w:webHidden/>
                  </w:rPr>
                  <w:fldChar w:fldCharType="begin"/>
                </w:r>
                <w:r>
                  <w:rPr>
                    <w:noProof/>
                    <w:webHidden/>
                  </w:rPr>
                  <w:instrText xml:space="preserve"> PAGEREF _Toc187422031 \h </w:instrText>
                </w:r>
                <w:r>
                  <w:rPr>
                    <w:noProof/>
                    <w:webHidden/>
                  </w:rPr>
                </w:r>
                <w:r>
                  <w:rPr>
                    <w:noProof/>
                    <w:webHidden/>
                  </w:rPr>
                  <w:fldChar w:fldCharType="separate"/>
                </w:r>
                <w:r>
                  <w:rPr>
                    <w:noProof/>
                    <w:webHidden/>
                  </w:rPr>
                  <w:t>7</w:t>
                </w:r>
                <w:r>
                  <w:rPr>
                    <w:noProof/>
                    <w:webHidden/>
                  </w:rPr>
                  <w:fldChar w:fldCharType="end"/>
                </w:r>
              </w:hyperlink>
            </w:p>
            <w:p w14:paraId="7CA59050" w14:textId="56714C48" w:rsidR="00BD5EF9" w:rsidRDefault="00BD5EF9">
              <w:pPr>
                <w:pStyle w:val="TOC1"/>
                <w:tabs>
                  <w:tab w:val="right" w:leader="dot" w:pos="9350"/>
                </w:tabs>
                <w:rPr>
                  <w:rFonts w:eastAsiaTheme="minorEastAsia"/>
                  <w:noProof/>
                  <w:kern w:val="2"/>
                  <w:sz w:val="24"/>
                  <w:szCs w:val="24"/>
                  <w:lang w:eastAsia="en-GB"/>
                  <w14:ligatures w14:val="standardContextual"/>
                </w:rPr>
              </w:pPr>
              <w:hyperlink w:anchor="_Toc187422032" w:history="1">
                <w:r w:rsidRPr="00D00EA1">
                  <w:rPr>
                    <w:rStyle w:val="Hyperlink"/>
                    <w:noProof/>
                  </w:rPr>
                  <w:t>Top-Slicing Relief</w:t>
                </w:r>
                <w:r>
                  <w:rPr>
                    <w:noProof/>
                    <w:webHidden/>
                  </w:rPr>
                  <w:tab/>
                </w:r>
                <w:r>
                  <w:rPr>
                    <w:noProof/>
                    <w:webHidden/>
                  </w:rPr>
                  <w:fldChar w:fldCharType="begin"/>
                </w:r>
                <w:r>
                  <w:rPr>
                    <w:noProof/>
                    <w:webHidden/>
                  </w:rPr>
                  <w:instrText xml:space="preserve"> PAGEREF _Toc187422032 \h </w:instrText>
                </w:r>
                <w:r>
                  <w:rPr>
                    <w:noProof/>
                    <w:webHidden/>
                  </w:rPr>
                </w:r>
                <w:r>
                  <w:rPr>
                    <w:noProof/>
                    <w:webHidden/>
                  </w:rPr>
                  <w:fldChar w:fldCharType="separate"/>
                </w:r>
                <w:r>
                  <w:rPr>
                    <w:noProof/>
                    <w:webHidden/>
                  </w:rPr>
                  <w:t>8</w:t>
                </w:r>
                <w:r>
                  <w:rPr>
                    <w:noProof/>
                    <w:webHidden/>
                  </w:rPr>
                  <w:fldChar w:fldCharType="end"/>
                </w:r>
              </w:hyperlink>
            </w:p>
            <w:p w14:paraId="769E3B94" w14:textId="509231F1"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33" w:history="1">
                <w:r w:rsidRPr="00D00EA1">
                  <w:rPr>
                    <w:rStyle w:val="Hyperlink"/>
                    <w:noProof/>
                  </w:rPr>
                  <w:t>Bond Segmentation</w:t>
                </w:r>
                <w:r>
                  <w:rPr>
                    <w:noProof/>
                    <w:webHidden/>
                  </w:rPr>
                  <w:tab/>
                </w:r>
                <w:r>
                  <w:rPr>
                    <w:noProof/>
                    <w:webHidden/>
                  </w:rPr>
                  <w:fldChar w:fldCharType="begin"/>
                </w:r>
                <w:r>
                  <w:rPr>
                    <w:noProof/>
                    <w:webHidden/>
                  </w:rPr>
                  <w:instrText xml:space="preserve"> PAGEREF _Toc187422033 \h </w:instrText>
                </w:r>
                <w:r>
                  <w:rPr>
                    <w:noProof/>
                    <w:webHidden/>
                  </w:rPr>
                </w:r>
                <w:r>
                  <w:rPr>
                    <w:noProof/>
                    <w:webHidden/>
                  </w:rPr>
                  <w:fldChar w:fldCharType="separate"/>
                </w:r>
                <w:r>
                  <w:rPr>
                    <w:noProof/>
                    <w:webHidden/>
                  </w:rPr>
                  <w:t>8</w:t>
                </w:r>
                <w:r>
                  <w:rPr>
                    <w:noProof/>
                    <w:webHidden/>
                  </w:rPr>
                  <w:fldChar w:fldCharType="end"/>
                </w:r>
              </w:hyperlink>
            </w:p>
            <w:p w14:paraId="2F6099F9" w14:textId="0BB09490"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34" w:history="1">
                <w:r w:rsidRPr="00D00EA1">
                  <w:rPr>
                    <w:rStyle w:val="Hyperlink"/>
                    <w:noProof/>
                  </w:rPr>
                  <w:t>Income Tax Calculation – Basic Rate</w:t>
                </w:r>
                <w:r>
                  <w:rPr>
                    <w:noProof/>
                    <w:webHidden/>
                  </w:rPr>
                  <w:tab/>
                </w:r>
                <w:r>
                  <w:rPr>
                    <w:noProof/>
                    <w:webHidden/>
                  </w:rPr>
                  <w:fldChar w:fldCharType="begin"/>
                </w:r>
                <w:r>
                  <w:rPr>
                    <w:noProof/>
                    <w:webHidden/>
                  </w:rPr>
                  <w:instrText xml:space="preserve"> PAGEREF _Toc187422034 \h </w:instrText>
                </w:r>
                <w:r>
                  <w:rPr>
                    <w:noProof/>
                    <w:webHidden/>
                  </w:rPr>
                </w:r>
                <w:r>
                  <w:rPr>
                    <w:noProof/>
                    <w:webHidden/>
                  </w:rPr>
                  <w:fldChar w:fldCharType="separate"/>
                </w:r>
                <w:r>
                  <w:rPr>
                    <w:noProof/>
                    <w:webHidden/>
                  </w:rPr>
                  <w:t>10</w:t>
                </w:r>
                <w:r>
                  <w:rPr>
                    <w:noProof/>
                    <w:webHidden/>
                  </w:rPr>
                  <w:fldChar w:fldCharType="end"/>
                </w:r>
              </w:hyperlink>
            </w:p>
            <w:p w14:paraId="27FFAD04" w14:textId="72FF2C7D"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35" w:history="1">
                <w:r w:rsidRPr="00D00EA1">
                  <w:rPr>
                    <w:rStyle w:val="Hyperlink"/>
                    <w:noProof/>
                  </w:rPr>
                  <w:t>Working Out ‘A’</w:t>
                </w:r>
                <w:r>
                  <w:rPr>
                    <w:noProof/>
                    <w:webHidden/>
                  </w:rPr>
                  <w:tab/>
                </w:r>
                <w:r>
                  <w:rPr>
                    <w:noProof/>
                    <w:webHidden/>
                  </w:rPr>
                  <w:fldChar w:fldCharType="begin"/>
                </w:r>
                <w:r>
                  <w:rPr>
                    <w:noProof/>
                    <w:webHidden/>
                  </w:rPr>
                  <w:instrText xml:space="preserve"> PAGEREF _Toc187422035 \h </w:instrText>
                </w:r>
                <w:r>
                  <w:rPr>
                    <w:noProof/>
                    <w:webHidden/>
                  </w:rPr>
                </w:r>
                <w:r>
                  <w:rPr>
                    <w:noProof/>
                    <w:webHidden/>
                  </w:rPr>
                  <w:fldChar w:fldCharType="separate"/>
                </w:r>
                <w:r>
                  <w:rPr>
                    <w:noProof/>
                    <w:webHidden/>
                  </w:rPr>
                  <w:t>12</w:t>
                </w:r>
                <w:r>
                  <w:rPr>
                    <w:noProof/>
                    <w:webHidden/>
                  </w:rPr>
                  <w:fldChar w:fldCharType="end"/>
                </w:r>
              </w:hyperlink>
            </w:p>
            <w:p w14:paraId="169D37D7" w14:textId="1B85E4F0"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36" w:history="1">
                <w:r w:rsidRPr="00D00EA1">
                  <w:rPr>
                    <w:rStyle w:val="Hyperlink"/>
                    <w:noProof/>
                  </w:rPr>
                  <w:t>Working Out ‘B’</w:t>
                </w:r>
                <w:r>
                  <w:rPr>
                    <w:noProof/>
                    <w:webHidden/>
                  </w:rPr>
                  <w:tab/>
                </w:r>
                <w:r>
                  <w:rPr>
                    <w:noProof/>
                    <w:webHidden/>
                  </w:rPr>
                  <w:fldChar w:fldCharType="begin"/>
                </w:r>
                <w:r>
                  <w:rPr>
                    <w:noProof/>
                    <w:webHidden/>
                  </w:rPr>
                  <w:instrText xml:space="preserve"> PAGEREF _Toc187422036 \h </w:instrText>
                </w:r>
                <w:r>
                  <w:rPr>
                    <w:noProof/>
                    <w:webHidden/>
                  </w:rPr>
                </w:r>
                <w:r>
                  <w:rPr>
                    <w:noProof/>
                    <w:webHidden/>
                  </w:rPr>
                  <w:fldChar w:fldCharType="separate"/>
                </w:r>
                <w:r>
                  <w:rPr>
                    <w:noProof/>
                    <w:webHidden/>
                  </w:rPr>
                  <w:t>12</w:t>
                </w:r>
                <w:r>
                  <w:rPr>
                    <w:noProof/>
                    <w:webHidden/>
                  </w:rPr>
                  <w:fldChar w:fldCharType="end"/>
                </w:r>
              </w:hyperlink>
            </w:p>
            <w:p w14:paraId="2873EE3A" w14:textId="18208273"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37" w:history="1">
                <w:r w:rsidRPr="00D00EA1">
                  <w:rPr>
                    <w:rStyle w:val="Hyperlink"/>
                    <w:noProof/>
                  </w:rPr>
                  <w:t>The Rule of Thumb</w:t>
                </w:r>
                <w:r>
                  <w:rPr>
                    <w:noProof/>
                    <w:webHidden/>
                  </w:rPr>
                  <w:tab/>
                </w:r>
                <w:r>
                  <w:rPr>
                    <w:noProof/>
                    <w:webHidden/>
                  </w:rPr>
                  <w:fldChar w:fldCharType="begin"/>
                </w:r>
                <w:r>
                  <w:rPr>
                    <w:noProof/>
                    <w:webHidden/>
                  </w:rPr>
                  <w:instrText xml:space="preserve"> PAGEREF _Toc187422037 \h </w:instrText>
                </w:r>
                <w:r>
                  <w:rPr>
                    <w:noProof/>
                    <w:webHidden/>
                  </w:rPr>
                </w:r>
                <w:r>
                  <w:rPr>
                    <w:noProof/>
                    <w:webHidden/>
                  </w:rPr>
                  <w:fldChar w:fldCharType="separate"/>
                </w:r>
                <w:r>
                  <w:rPr>
                    <w:noProof/>
                    <w:webHidden/>
                  </w:rPr>
                  <w:t>13</w:t>
                </w:r>
                <w:r>
                  <w:rPr>
                    <w:noProof/>
                    <w:webHidden/>
                  </w:rPr>
                  <w:fldChar w:fldCharType="end"/>
                </w:r>
              </w:hyperlink>
            </w:p>
            <w:p w14:paraId="0286E69D" w14:textId="1C183036"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38" w:history="1">
                <w:r w:rsidRPr="00D00EA1">
                  <w:rPr>
                    <w:rStyle w:val="Hyperlink"/>
                    <w:noProof/>
                  </w:rPr>
                  <w:t>Offshore Bonds</w:t>
                </w:r>
                <w:r>
                  <w:rPr>
                    <w:noProof/>
                    <w:webHidden/>
                  </w:rPr>
                  <w:tab/>
                </w:r>
                <w:r>
                  <w:rPr>
                    <w:noProof/>
                    <w:webHidden/>
                  </w:rPr>
                  <w:fldChar w:fldCharType="begin"/>
                </w:r>
                <w:r>
                  <w:rPr>
                    <w:noProof/>
                    <w:webHidden/>
                  </w:rPr>
                  <w:instrText xml:space="preserve"> PAGEREF _Toc187422038 \h </w:instrText>
                </w:r>
                <w:r>
                  <w:rPr>
                    <w:noProof/>
                    <w:webHidden/>
                  </w:rPr>
                </w:r>
                <w:r>
                  <w:rPr>
                    <w:noProof/>
                    <w:webHidden/>
                  </w:rPr>
                  <w:fldChar w:fldCharType="separate"/>
                </w:r>
                <w:r>
                  <w:rPr>
                    <w:noProof/>
                    <w:webHidden/>
                  </w:rPr>
                  <w:t>15</w:t>
                </w:r>
                <w:r>
                  <w:rPr>
                    <w:noProof/>
                    <w:webHidden/>
                  </w:rPr>
                  <w:fldChar w:fldCharType="end"/>
                </w:r>
              </w:hyperlink>
            </w:p>
            <w:p w14:paraId="0C49C9B7" w14:textId="247ED92C"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39" w:history="1">
                <w:r w:rsidRPr="00D00EA1">
                  <w:rPr>
                    <w:rStyle w:val="Hyperlink"/>
                    <w:noProof/>
                  </w:rPr>
                  <w:t>Income Tax Calculation – Higher Rate</w:t>
                </w:r>
                <w:r>
                  <w:rPr>
                    <w:noProof/>
                    <w:webHidden/>
                  </w:rPr>
                  <w:tab/>
                </w:r>
                <w:r>
                  <w:rPr>
                    <w:noProof/>
                    <w:webHidden/>
                  </w:rPr>
                  <w:fldChar w:fldCharType="begin"/>
                </w:r>
                <w:r>
                  <w:rPr>
                    <w:noProof/>
                    <w:webHidden/>
                  </w:rPr>
                  <w:instrText xml:space="preserve"> PAGEREF _Toc187422039 \h </w:instrText>
                </w:r>
                <w:r>
                  <w:rPr>
                    <w:noProof/>
                    <w:webHidden/>
                  </w:rPr>
                </w:r>
                <w:r>
                  <w:rPr>
                    <w:noProof/>
                    <w:webHidden/>
                  </w:rPr>
                  <w:fldChar w:fldCharType="separate"/>
                </w:r>
                <w:r>
                  <w:rPr>
                    <w:noProof/>
                    <w:webHidden/>
                  </w:rPr>
                  <w:t>16</w:t>
                </w:r>
                <w:r>
                  <w:rPr>
                    <w:noProof/>
                    <w:webHidden/>
                  </w:rPr>
                  <w:fldChar w:fldCharType="end"/>
                </w:r>
              </w:hyperlink>
            </w:p>
            <w:p w14:paraId="05CC1933" w14:textId="24399AAC"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0" w:history="1">
                <w:r w:rsidRPr="00D00EA1">
                  <w:rPr>
                    <w:rStyle w:val="Hyperlink"/>
                    <w:noProof/>
                  </w:rPr>
                  <w:t>Working Out ‘A’</w:t>
                </w:r>
                <w:r>
                  <w:rPr>
                    <w:noProof/>
                    <w:webHidden/>
                  </w:rPr>
                  <w:tab/>
                </w:r>
                <w:r>
                  <w:rPr>
                    <w:noProof/>
                    <w:webHidden/>
                  </w:rPr>
                  <w:fldChar w:fldCharType="begin"/>
                </w:r>
                <w:r>
                  <w:rPr>
                    <w:noProof/>
                    <w:webHidden/>
                  </w:rPr>
                  <w:instrText xml:space="preserve"> PAGEREF _Toc187422040 \h </w:instrText>
                </w:r>
                <w:r>
                  <w:rPr>
                    <w:noProof/>
                    <w:webHidden/>
                  </w:rPr>
                </w:r>
                <w:r>
                  <w:rPr>
                    <w:noProof/>
                    <w:webHidden/>
                  </w:rPr>
                  <w:fldChar w:fldCharType="separate"/>
                </w:r>
                <w:r>
                  <w:rPr>
                    <w:noProof/>
                    <w:webHidden/>
                  </w:rPr>
                  <w:t>16</w:t>
                </w:r>
                <w:r>
                  <w:rPr>
                    <w:noProof/>
                    <w:webHidden/>
                  </w:rPr>
                  <w:fldChar w:fldCharType="end"/>
                </w:r>
              </w:hyperlink>
            </w:p>
            <w:p w14:paraId="01EF67FA" w14:textId="530749B1"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1" w:history="1">
                <w:r w:rsidRPr="00D00EA1">
                  <w:rPr>
                    <w:rStyle w:val="Hyperlink"/>
                    <w:noProof/>
                  </w:rPr>
                  <w:t>Working Out ‘B’</w:t>
                </w:r>
                <w:r>
                  <w:rPr>
                    <w:noProof/>
                    <w:webHidden/>
                  </w:rPr>
                  <w:tab/>
                </w:r>
                <w:r>
                  <w:rPr>
                    <w:noProof/>
                    <w:webHidden/>
                  </w:rPr>
                  <w:fldChar w:fldCharType="begin"/>
                </w:r>
                <w:r>
                  <w:rPr>
                    <w:noProof/>
                    <w:webHidden/>
                  </w:rPr>
                  <w:instrText xml:space="preserve"> PAGEREF _Toc187422041 \h </w:instrText>
                </w:r>
                <w:r>
                  <w:rPr>
                    <w:noProof/>
                    <w:webHidden/>
                  </w:rPr>
                </w:r>
                <w:r>
                  <w:rPr>
                    <w:noProof/>
                    <w:webHidden/>
                  </w:rPr>
                  <w:fldChar w:fldCharType="separate"/>
                </w:r>
                <w:r>
                  <w:rPr>
                    <w:noProof/>
                    <w:webHidden/>
                  </w:rPr>
                  <w:t>16</w:t>
                </w:r>
                <w:r>
                  <w:rPr>
                    <w:noProof/>
                    <w:webHidden/>
                  </w:rPr>
                  <w:fldChar w:fldCharType="end"/>
                </w:r>
              </w:hyperlink>
            </w:p>
            <w:p w14:paraId="58749DB7" w14:textId="5C7E5A61"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42" w:history="1">
                <w:r w:rsidRPr="00D00EA1">
                  <w:rPr>
                    <w:rStyle w:val="Hyperlink"/>
                    <w:noProof/>
                  </w:rPr>
                  <w:t>Onshore V Offshore</w:t>
                </w:r>
                <w:r>
                  <w:rPr>
                    <w:noProof/>
                    <w:webHidden/>
                  </w:rPr>
                  <w:tab/>
                </w:r>
                <w:r>
                  <w:rPr>
                    <w:noProof/>
                    <w:webHidden/>
                  </w:rPr>
                  <w:fldChar w:fldCharType="begin"/>
                </w:r>
                <w:r>
                  <w:rPr>
                    <w:noProof/>
                    <w:webHidden/>
                  </w:rPr>
                  <w:instrText xml:space="preserve"> PAGEREF _Toc187422042 \h </w:instrText>
                </w:r>
                <w:r>
                  <w:rPr>
                    <w:noProof/>
                    <w:webHidden/>
                  </w:rPr>
                </w:r>
                <w:r>
                  <w:rPr>
                    <w:noProof/>
                    <w:webHidden/>
                  </w:rPr>
                  <w:fldChar w:fldCharType="separate"/>
                </w:r>
                <w:r>
                  <w:rPr>
                    <w:noProof/>
                    <w:webHidden/>
                  </w:rPr>
                  <w:t>18</w:t>
                </w:r>
                <w:r>
                  <w:rPr>
                    <w:noProof/>
                    <w:webHidden/>
                  </w:rPr>
                  <w:fldChar w:fldCharType="end"/>
                </w:r>
              </w:hyperlink>
            </w:p>
            <w:p w14:paraId="0CD35BC1" w14:textId="236689DE"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3" w:history="1">
                <w:r w:rsidRPr="00D00EA1">
                  <w:rPr>
                    <w:rStyle w:val="Hyperlink"/>
                    <w:noProof/>
                  </w:rPr>
                  <w:t>Non-Taxpayers</w:t>
                </w:r>
                <w:r>
                  <w:rPr>
                    <w:noProof/>
                    <w:webHidden/>
                  </w:rPr>
                  <w:tab/>
                </w:r>
                <w:r>
                  <w:rPr>
                    <w:noProof/>
                    <w:webHidden/>
                  </w:rPr>
                  <w:fldChar w:fldCharType="begin"/>
                </w:r>
                <w:r>
                  <w:rPr>
                    <w:noProof/>
                    <w:webHidden/>
                  </w:rPr>
                  <w:instrText xml:space="preserve"> PAGEREF _Toc187422043 \h </w:instrText>
                </w:r>
                <w:r>
                  <w:rPr>
                    <w:noProof/>
                    <w:webHidden/>
                  </w:rPr>
                </w:r>
                <w:r>
                  <w:rPr>
                    <w:noProof/>
                    <w:webHidden/>
                  </w:rPr>
                  <w:fldChar w:fldCharType="separate"/>
                </w:r>
                <w:r>
                  <w:rPr>
                    <w:noProof/>
                    <w:webHidden/>
                  </w:rPr>
                  <w:t>19</w:t>
                </w:r>
                <w:r>
                  <w:rPr>
                    <w:noProof/>
                    <w:webHidden/>
                  </w:rPr>
                  <w:fldChar w:fldCharType="end"/>
                </w:r>
              </w:hyperlink>
            </w:p>
            <w:p w14:paraId="2373B3FC" w14:textId="3B26823D"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4" w:history="1">
                <w:r w:rsidRPr="00D00EA1">
                  <w:rPr>
                    <w:rStyle w:val="Hyperlink"/>
                    <w:noProof/>
                  </w:rPr>
                  <w:t>Basic-Rate Taxpayers</w:t>
                </w:r>
                <w:r>
                  <w:rPr>
                    <w:noProof/>
                    <w:webHidden/>
                  </w:rPr>
                  <w:tab/>
                </w:r>
                <w:r>
                  <w:rPr>
                    <w:noProof/>
                    <w:webHidden/>
                  </w:rPr>
                  <w:fldChar w:fldCharType="begin"/>
                </w:r>
                <w:r>
                  <w:rPr>
                    <w:noProof/>
                    <w:webHidden/>
                  </w:rPr>
                  <w:instrText xml:space="preserve"> PAGEREF _Toc187422044 \h </w:instrText>
                </w:r>
                <w:r>
                  <w:rPr>
                    <w:noProof/>
                    <w:webHidden/>
                  </w:rPr>
                </w:r>
                <w:r>
                  <w:rPr>
                    <w:noProof/>
                    <w:webHidden/>
                  </w:rPr>
                  <w:fldChar w:fldCharType="separate"/>
                </w:r>
                <w:r>
                  <w:rPr>
                    <w:noProof/>
                    <w:webHidden/>
                  </w:rPr>
                  <w:t>19</w:t>
                </w:r>
                <w:r>
                  <w:rPr>
                    <w:noProof/>
                    <w:webHidden/>
                  </w:rPr>
                  <w:fldChar w:fldCharType="end"/>
                </w:r>
              </w:hyperlink>
            </w:p>
            <w:p w14:paraId="28CC9F38" w14:textId="2E22D400"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5" w:history="1">
                <w:r w:rsidRPr="00D00EA1">
                  <w:rPr>
                    <w:rStyle w:val="Hyperlink"/>
                    <w:noProof/>
                  </w:rPr>
                  <w:t>Higher-Rate Taxpayers</w:t>
                </w:r>
                <w:r>
                  <w:rPr>
                    <w:noProof/>
                    <w:webHidden/>
                  </w:rPr>
                  <w:tab/>
                </w:r>
                <w:r>
                  <w:rPr>
                    <w:noProof/>
                    <w:webHidden/>
                  </w:rPr>
                  <w:fldChar w:fldCharType="begin"/>
                </w:r>
                <w:r>
                  <w:rPr>
                    <w:noProof/>
                    <w:webHidden/>
                  </w:rPr>
                  <w:instrText xml:space="preserve"> PAGEREF _Toc187422045 \h </w:instrText>
                </w:r>
                <w:r>
                  <w:rPr>
                    <w:noProof/>
                    <w:webHidden/>
                  </w:rPr>
                </w:r>
                <w:r>
                  <w:rPr>
                    <w:noProof/>
                    <w:webHidden/>
                  </w:rPr>
                  <w:fldChar w:fldCharType="separate"/>
                </w:r>
                <w:r>
                  <w:rPr>
                    <w:noProof/>
                    <w:webHidden/>
                  </w:rPr>
                  <w:t>20</w:t>
                </w:r>
                <w:r>
                  <w:rPr>
                    <w:noProof/>
                    <w:webHidden/>
                  </w:rPr>
                  <w:fldChar w:fldCharType="end"/>
                </w:r>
              </w:hyperlink>
            </w:p>
            <w:p w14:paraId="4D04E48F" w14:textId="18D4E442"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6" w:history="1">
                <w:r w:rsidRPr="00D00EA1">
                  <w:rPr>
                    <w:rStyle w:val="Hyperlink"/>
                    <w:noProof/>
                  </w:rPr>
                  <w:t>Additional-Rate Taxpayers</w:t>
                </w:r>
                <w:r>
                  <w:rPr>
                    <w:noProof/>
                    <w:webHidden/>
                  </w:rPr>
                  <w:tab/>
                </w:r>
                <w:r>
                  <w:rPr>
                    <w:noProof/>
                    <w:webHidden/>
                  </w:rPr>
                  <w:fldChar w:fldCharType="begin"/>
                </w:r>
                <w:r>
                  <w:rPr>
                    <w:noProof/>
                    <w:webHidden/>
                  </w:rPr>
                  <w:instrText xml:space="preserve"> PAGEREF _Toc187422046 \h </w:instrText>
                </w:r>
                <w:r>
                  <w:rPr>
                    <w:noProof/>
                    <w:webHidden/>
                  </w:rPr>
                </w:r>
                <w:r>
                  <w:rPr>
                    <w:noProof/>
                    <w:webHidden/>
                  </w:rPr>
                  <w:fldChar w:fldCharType="separate"/>
                </w:r>
                <w:r>
                  <w:rPr>
                    <w:noProof/>
                    <w:webHidden/>
                  </w:rPr>
                  <w:t>21</w:t>
                </w:r>
                <w:r>
                  <w:rPr>
                    <w:noProof/>
                    <w:webHidden/>
                  </w:rPr>
                  <w:fldChar w:fldCharType="end"/>
                </w:r>
              </w:hyperlink>
            </w:p>
            <w:p w14:paraId="4FC12B26" w14:textId="47A0FE97"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47" w:history="1">
                <w:r w:rsidRPr="00D00EA1">
                  <w:rPr>
                    <w:rStyle w:val="Hyperlink"/>
                    <w:noProof/>
                  </w:rPr>
                  <w:t>Pension Contributions</w:t>
                </w:r>
                <w:r>
                  <w:rPr>
                    <w:noProof/>
                    <w:webHidden/>
                  </w:rPr>
                  <w:tab/>
                </w:r>
                <w:r>
                  <w:rPr>
                    <w:noProof/>
                    <w:webHidden/>
                  </w:rPr>
                  <w:fldChar w:fldCharType="begin"/>
                </w:r>
                <w:r>
                  <w:rPr>
                    <w:noProof/>
                    <w:webHidden/>
                  </w:rPr>
                  <w:instrText xml:space="preserve"> PAGEREF _Toc187422047 \h </w:instrText>
                </w:r>
                <w:r>
                  <w:rPr>
                    <w:noProof/>
                    <w:webHidden/>
                  </w:rPr>
                </w:r>
                <w:r>
                  <w:rPr>
                    <w:noProof/>
                    <w:webHidden/>
                  </w:rPr>
                  <w:fldChar w:fldCharType="separate"/>
                </w:r>
                <w:r>
                  <w:rPr>
                    <w:noProof/>
                    <w:webHidden/>
                  </w:rPr>
                  <w:t>21</w:t>
                </w:r>
                <w:r>
                  <w:rPr>
                    <w:noProof/>
                    <w:webHidden/>
                  </w:rPr>
                  <w:fldChar w:fldCharType="end"/>
                </w:r>
              </w:hyperlink>
            </w:p>
            <w:p w14:paraId="40A12B8B" w14:textId="7D9EFBB3"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8" w:history="1">
                <w:r w:rsidRPr="00D00EA1">
                  <w:rPr>
                    <w:rStyle w:val="Hyperlink"/>
                    <w:noProof/>
                  </w:rPr>
                  <w:t>Lucious’s UK Bond</w:t>
                </w:r>
                <w:r>
                  <w:rPr>
                    <w:noProof/>
                    <w:webHidden/>
                  </w:rPr>
                  <w:tab/>
                </w:r>
                <w:r>
                  <w:rPr>
                    <w:noProof/>
                    <w:webHidden/>
                  </w:rPr>
                  <w:fldChar w:fldCharType="begin"/>
                </w:r>
                <w:r>
                  <w:rPr>
                    <w:noProof/>
                    <w:webHidden/>
                  </w:rPr>
                  <w:instrText xml:space="preserve"> PAGEREF _Toc187422048 \h </w:instrText>
                </w:r>
                <w:r>
                  <w:rPr>
                    <w:noProof/>
                    <w:webHidden/>
                  </w:rPr>
                </w:r>
                <w:r>
                  <w:rPr>
                    <w:noProof/>
                    <w:webHidden/>
                  </w:rPr>
                  <w:fldChar w:fldCharType="separate"/>
                </w:r>
                <w:r>
                  <w:rPr>
                    <w:noProof/>
                    <w:webHidden/>
                  </w:rPr>
                  <w:t>21</w:t>
                </w:r>
                <w:r>
                  <w:rPr>
                    <w:noProof/>
                    <w:webHidden/>
                  </w:rPr>
                  <w:fldChar w:fldCharType="end"/>
                </w:r>
              </w:hyperlink>
            </w:p>
            <w:p w14:paraId="02104C11" w14:textId="391DCC68"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49" w:history="1">
                <w:r w:rsidRPr="00D00EA1">
                  <w:rPr>
                    <w:rStyle w:val="Hyperlink"/>
                    <w:noProof/>
                  </w:rPr>
                  <w:t>Marcus’s Offshore Bond</w:t>
                </w:r>
                <w:r>
                  <w:rPr>
                    <w:noProof/>
                    <w:webHidden/>
                  </w:rPr>
                  <w:tab/>
                </w:r>
                <w:r>
                  <w:rPr>
                    <w:noProof/>
                    <w:webHidden/>
                  </w:rPr>
                  <w:fldChar w:fldCharType="begin"/>
                </w:r>
                <w:r>
                  <w:rPr>
                    <w:noProof/>
                    <w:webHidden/>
                  </w:rPr>
                  <w:instrText xml:space="preserve"> PAGEREF _Toc187422049 \h </w:instrText>
                </w:r>
                <w:r>
                  <w:rPr>
                    <w:noProof/>
                    <w:webHidden/>
                  </w:rPr>
                </w:r>
                <w:r>
                  <w:rPr>
                    <w:noProof/>
                    <w:webHidden/>
                  </w:rPr>
                  <w:fldChar w:fldCharType="separate"/>
                </w:r>
                <w:r>
                  <w:rPr>
                    <w:noProof/>
                    <w:webHidden/>
                  </w:rPr>
                  <w:t>23</w:t>
                </w:r>
                <w:r>
                  <w:rPr>
                    <w:noProof/>
                    <w:webHidden/>
                  </w:rPr>
                  <w:fldChar w:fldCharType="end"/>
                </w:r>
              </w:hyperlink>
            </w:p>
            <w:p w14:paraId="4642D01D" w14:textId="113E9466"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50" w:history="1">
                <w:r w:rsidRPr="00D00EA1">
                  <w:rPr>
                    <w:rStyle w:val="Hyperlink"/>
                    <w:noProof/>
                  </w:rPr>
                  <w:t>Multiple Gains: Number of TSR Years</w:t>
                </w:r>
                <w:r>
                  <w:rPr>
                    <w:noProof/>
                    <w:webHidden/>
                  </w:rPr>
                  <w:tab/>
                </w:r>
                <w:r>
                  <w:rPr>
                    <w:noProof/>
                    <w:webHidden/>
                  </w:rPr>
                  <w:fldChar w:fldCharType="begin"/>
                </w:r>
                <w:r>
                  <w:rPr>
                    <w:noProof/>
                    <w:webHidden/>
                  </w:rPr>
                  <w:instrText xml:space="preserve"> PAGEREF _Toc187422050 \h </w:instrText>
                </w:r>
                <w:r>
                  <w:rPr>
                    <w:noProof/>
                    <w:webHidden/>
                  </w:rPr>
                </w:r>
                <w:r>
                  <w:rPr>
                    <w:noProof/>
                    <w:webHidden/>
                  </w:rPr>
                  <w:fldChar w:fldCharType="separate"/>
                </w:r>
                <w:r>
                  <w:rPr>
                    <w:noProof/>
                    <w:webHidden/>
                  </w:rPr>
                  <w:t>24</w:t>
                </w:r>
                <w:r>
                  <w:rPr>
                    <w:noProof/>
                    <w:webHidden/>
                  </w:rPr>
                  <w:fldChar w:fldCharType="end"/>
                </w:r>
              </w:hyperlink>
            </w:p>
            <w:p w14:paraId="0C36BB43" w14:textId="0D0CAA0F" w:rsidR="00BD5EF9" w:rsidRDefault="00BD5EF9">
              <w:pPr>
                <w:pStyle w:val="TOC1"/>
                <w:tabs>
                  <w:tab w:val="right" w:leader="dot" w:pos="9350"/>
                </w:tabs>
                <w:rPr>
                  <w:rFonts w:eastAsiaTheme="minorEastAsia"/>
                  <w:noProof/>
                  <w:kern w:val="2"/>
                  <w:sz w:val="24"/>
                  <w:szCs w:val="24"/>
                  <w:lang w:eastAsia="en-GB"/>
                  <w14:ligatures w14:val="standardContextual"/>
                </w:rPr>
              </w:pPr>
              <w:hyperlink w:anchor="_Toc187422051" w:history="1">
                <w:r w:rsidRPr="00D00EA1">
                  <w:rPr>
                    <w:rStyle w:val="Hyperlink"/>
                    <w:noProof/>
                  </w:rPr>
                  <w:t>Jointly Owned Bonds</w:t>
                </w:r>
                <w:r>
                  <w:rPr>
                    <w:noProof/>
                    <w:webHidden/>
                  </w:rPr>
                  <w:tab/>
                </w:r>
                <w:r>
                  <w:rPr>
                    <w:noProof/>
                    <w:webHidden/>
                  </w:rPr>
                  <w:fldChar w:fldCharType="begin"/>
                </w:r>
                <w:r>
                  <w:rPr>
                    <w:noProof/>
                    <w:webHidden/>
                  </w:rPr>
                  <w:instrText xml:space="preserve"> PAGEREF _Toc187422051 \h </w:instrText>
                </w:r>
                <w:r>
                  <w:rPr>
                    <w:noProof/>
                    <w:webHidden/>
                  </w:rPr>
                </w:r>
                <w:r>
                  <w:rPr>
                    <w:noProof/>
                    <w:webHidden/>
                  </w:rPr>
                  <w:fldChar w:fldCharType="separate"/>
                </w:r>
                <w:r>
                  <w:rPr>
                    <w:noProof/>
                    <w:webHidden/>
                  </w:rPr>
                  <w:t>25</w:t>
                </w:r>
                <w:r>
                  <w:rPr>
                    <w:noProof/>
                    <w:webHidden/>
                  </w:rPr>
                  <w:fldChar w:fldCharType="end"/>
                </w:r>
              </w:hyperlink>
            </w:p>
            <w:p w14:paraId="2ABAB1D6" w14:textId="56F69ADF"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52" w:history="1">
                <w:r w:rsidRPr="00D00EA1">
                  <w:rPr>
                    <w:rStyle w:val="Hyperlink"/>
                    <w:noProof/>
                  </w:rPr>
                  <w:t>Owners V Lives Assured</w:t>
                </w:r>
                <w:r>
                  <w:rPr>
                    <w:noProof/>
                    <w:webHidden/>
                  </w:rPr>
                  <w:tab/>
                </w:r>
                <w:r>
                  <w:rPr>
                    <w:noProof/>
                    <w:webHidden/>
                  </w:rPr>
                  <w:fldChar w:fldCharType="begin"/>
                </w:r>
                <w:r>
                  <w:rPr>
                    <w:noProof/>
                    <w:webHidden/>
                  </w:rPr>
                  <w:instrText xml:space="preserve"> PAGEREF _Toc187422052 \h </w:instrText>
                </w:r>
                <w:r>
                  <w:rPr>
                    <w:noProof/>
                    <w:webHidden/>
                  </w:rPr>
                </w:r>
                <w:r>
                  <w:rPr>
                    <w:noProof/>
                    <w:webHidden/>
                  </w:rPr>
                  <w:fldChar w:fldCharType="separate"/>
                </w:r>
                <w:r>
                  <w:rPr>
                    <w:noProof/>
                    <w:webHidden/>
                  </w:rPr>
                  <w:t>26</w:t>
                </w:r>
                <w:r>
                  <w:rPr>
                    <w:noProof/>
                    <w:webHidden/>
                  </w:rPr>
                  <w:fldChar w:fldCharType="end"/>
                </w:r>
              </w:hyperlink>
            </w:p>
            <w:p w14:paraId="574536EF" w14:textId="4B4D0587"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53" w:history="1">
                <w:r w:rsidRPr="00D00EA1">
                  <w:rPr>
                    <w:rStyle w:val="Hyperlink"/>
                    <w:noProof/>
                  </w:rPr>
                  <w:t>Insurable Interest</w:t>
                </w:r>
                <w:r>
                  <w:rPr>
                    <w:noProof/>
                    <w:webHidden/>
                  </w:rPr>
                  <w:tab/>
                </w:r>
                <w:r>
                  <w:rPr>
                    <w:noProof/>
                    <w:webHidden/>
                  </w:rPr>
                  <w:fldChar w:fldCharType="begin"/>
                </w:r>
                <w:r>
                  <w:rPr>
                    <w:noProof/>
                    <w:webHidden/>
                  </w:rPr>
                  <w:instrText xml:space="preserve"> PAGEREF _Toc187422053 \h </w:instrText>
                </w:r>
                <w:r>
                  <w:rPr>
                    <w:noProof/>
                    <w:webHidden/>
                  </w:rPr>
                </w:r>
                <w:r>
                  <w:rPr>
                    <w:noProof/>
                    <w:webHidden/>
                  </w:rPr>
                  <w:fldChar w:fldCharType="separate"/>
                </w:r>
                <w:r>
                  <w:rPr>
                    <w:noProof/>
                    <w:webHidden/>
                  </w:rPr>
                  <w:t>27</w:t>
                </w:r>
                <w:r>
                  <w:rPr>
                    <w:noProof/>
                    <w:webHidden/>
                  </w:rPr>
                  <w:fldChar w:fldCharType="end"/>
                </w:r>
              </w:hyperlink>
            </w:p>
            <w:p w14:paraId="155940A6" w14:textId="39744BB3" w:rsidR="00BD5EF9" w:rsidRDefault="00BD5EF9">
              <w:pPr>
                <w:pStyle w:val="TOC3"/>
                <w:tabs>
                  <w:tab w:val="right" w:leader="dot" w:pos="9350"/>
                </w:tabs>
                <w:rPr>
                  <w:rFonts w:eastAsiaTheme="minorEastAsia"/>
                  <w:noProof/>
                  <w:kern w:val="2"/>
                  <w:sz w:val="24"/>
                  <w:szCs w:val="24"/>
                  <w:lang w:eastAsia="en-GB"/>
                  <w14:ligatures w14:val="standardContextual"/>
                </w:rPr>
              </w:pPr>
              <w:hyperlink w:anchor="_Toc187422054" w:history="1">
                <w:r w:rsidRPr="00D00EA1">
                  <w:rPr>
                    <w:rStyle w:val="Hyperlink"/>
                    <w:noProof/>
                  </w:rPr>
                  <w:t>Solutions for Where There’s No Insurable Interest</w:t>
                </w:r>
                <w:r>
                  <w:rPr>
                    <w:noProof/>
                    <w:webHidden/>
                  </w:rPr>
                  <w:tab/>
                </w:r>
                <w:r>
                  <w:rPr>
                    <w:noProof/>
                    <w:webHidden/>
                  </w:rPr>
                  <w:fldChar w:fldCharType="begin"/>
                </w:r>
                <w:r>
                  <w:rPr>
                    <w:noProof/>
                    <w:webHidden/>
                  </w:rPr>
                  <w:instrText xml:space="preserve"> PAGEREF _Toc187422054 \h </w:instrText>
                </w:r>
                <w:r>
                  <w:rPr>
                    <w:noProof/>
                    <w:webHidden/>
                  </w:rPr>
                </w:r>
                <w:r>
                  <w:rPr>
                    <w:noProof/>
                    <w:webHidden/>
                  </w:rPr>
                  <w:fldChar w:fldCharType="separate"/>
                </w:r>
                <w:r>
                  <w:rPr>
                    <w:noProof/>
                    <w:webHidden/>
                  </w:rPr>
                  <w:t>28</w:t>
                </w:r>
                <w:r>
                  <w:rPr>
                    <w:noProof/>
                    <w:webHidden/>
                  </w:rPr>
                  <w:fldChar w:fldCharType="end"/>
                </w:r>
              </w:hyperlink>
            </w:p>
            <w:p w14:paraId="1C11E145" w14:textId="44AABEFF" w:rsidR="00BD5EF9" w:rsidRDefault="00BD5EF9">
              <w:pPr>
                <w:pStyle w:val="TOC2"/>
                <w:tabs>
                  <w:tab w:val="right" w:leader="dot" w:pos="9350"/>
                </w:tabs>
                <w:rPr>
                  <w:rFonts w:eastAsiaTheme="minorEastAsia"/>
                  <w:noProof/>
                  <w:kern w:val="2"/>
                  <w:sz w:val="24"/>
                  <w:szCs w:val="24"/>
                  <w:lang w:eastAsia="en-GB"/>
                  <w14:ligatures w14:val="standardContextual"/>
                </w:rPr>
              </w:pPr>
              <w:hyperlink w:anchor="_Toc187422055" w:history="1">
                <w:r w:rsidRPr="00D00EA1">
                  <w:rPr>
                    <w:rStyle w:val="Hyperlink"/>
                    <w:noProof/>
                  </w:rPr>
                  <w:t>Tax on Jointly Owned Bonds</w:t>
                </w:r>
                <w:r>
                  <w:rPr>
                    <w:noProof/>
                    <w:webHidden/>
                  </w:rPr>
                  <w:tab/>
                </w:r>
                <w:r>
                  <w:rPr>
                    <w:noProof/>
                    <w:webHidden/>
                  </w:rPr>
                  <w:fldChar w:fldCharType="begin"/>
                </w:r>
                <w:r>
                  <w:rPr>
                    <w:noProof/>
                    <w:webHidden/>
                  </w:rPr>
                  <w:instrText xml:space="preserve"> PAGEREF _Toc187422055 \h </w:instrText>
                </w:r>
                <w:r>
                  <w:rPr>
                    <w:noProof/>
                    <w:webHidden/>
                  </w:rPr>
                </w:r>
                <w:r>
                  <w:rPr>
                    <w:noProof/>
                    <w:webHidden/>
                  </w:rPr>
                  <w:fldChar w:fldCharType="separate"/>
                </w:r>
                <w:r>
                  <w:rPr>
                    <w:noProof/>
                    <w:webHidden/>
                  </w:rPr>
                  <w:t>29</w:t>
                </w:r>
                <w:r>
                  <w:rPr>
                    <w:noProof/>
                    <w:webHidden/>
                  </w:rPr>
                  <w:fldChar w:fldCharType="end"/>
                </w:r>
              </w:hyperlink>
            </w:p>
            <w:p w14:paraId="7DD8EE2A" w14:textId="74FBDA0C" w:rsidR="00B40899" w:rsidRDefault="00A9561F" w:rsidP="00B40899">
              <w:pPr>
                <w:rPr>
                  <w:b/>
                  <w:bCs/>
                  <w:noProof/>
                </w:rPr>
              </w:pPr>
              <w:r>
                <w:rPr>
                  <w:b/>
                  <w:bCs/>
                  <w:noProof/>
                </w:rPr>
                <w:fldChar w:fldCharType="end"/>
              </w:r>
            </w:p>
          </w:sdtContent>
        </w:sdt>
        <w:p w14:paraId="43489884" w14:textId="1B03DA43" w:rsidR="00A9561F" w:rsidRDefault="00A9561F">
          <w:pPr>
            <w:spacing w:after="160"/>
            <w:rPr>
              <w:rFonts w:ascii="Century Gothic" w:eastAsia="Century Gothic" w:hAnsi="Century Gothic" w:cs="Century Gothic"/>
              <w:sz w:val="72"/>
              <w:szCs w:val="72"/>
            </w:rPr>
          </w:pPr>
          <w:r>
            <w:br w:type="page"/>
          </w:r>
        </w:p>
        <w:p w14:paraId="36407848" w14:textId="1E948896" w:rsidR="001C4891" w:rsidRDefault="001C4891" w:rsidP="001C4891">
          <w:pPr>
            <w:pStyle w:val="Heading1"/>
          </w:pPr>
          <w:bookmarkStart w:id="0" w:name="_Toc187422024"/>
          <w:r>
            <w:lastRenderedPageBreak/>
            <w:t>Introduction</w:t>
          </w:r>
          <w:bookmarkEnd w:id="0"/>
        </w:p>
        <w:p w14:paraId="2BCA52FC" w14:textId="41DE9201" w:rsidR="001C4891" w:rsidRDefault="001C4891" w:rsidP="009006E7">
          <w:pPr>
            <w:spacing w:line="240" w:lineRule="auto"/>
          </w:pPr>
        </w:p>
        <w:p w14:paraId="1293FF6A" w14:textId="2982C026" w:rsidR="005258A3" w:rsidRDefault="005258A3" w:rsidP="009006E7">
          <w:pPr>
            <w:spacing w:line="240" w:lineRule="auto"/>
          </w:pPr>
          <w:r>
            <w:t xml:space="preserve">Welcome to </w:t>
          </w:r>
          <w:r w:rsidR="00AB5EC7">
            <w:t>Investment Bonds for PFE Online Training.</w:t>
          </w:r>
        </w:p>
        <w:p w14:paraId="23BF2129" w14:textId="77777777" w:rsidR="002610DE" w:rsidRDefault="002610DE" w:rsidP="009006E7">
          <w:pPr>
            <w:spacing w:line="240" w:lineRule="auto"/>
          </w:pPr>
        </w:p>
        <w:p w14:paraId="0A45FA1B" w14:textId="4D74AD34" w:rsidR="002610DE" w:rsidRDefault="002610DE" w:rsidP="009006E7">
          <w:pPr>
            <w:spacing w:line="240" w:lineRule="auto"/>
          </w:pPr>
          <w:r>
            <w:t xml:space="preserve">The Income Tax changes announced </w:t>
          </w:r>
          <w:r w:rsidR="00F35EEB">
            <w:t>by the UK government in 2022</w:t>
          </w:r>
          <w:r w:rsidR="00B1173E">
            <w:t xml:space="preserve"> and 2024</w:t>
          </w:r>
          <w:r w:rsidR="00F35EEB">
            <w:t xml:space="preserve"> have </w:t>
          </w:r>
          <w:r w:rsidR="00665775">
            <w:t>huge</w:t>
          </w:r>
          <w:r w:rsidR="00F35EEB">
            <w:t xml:space="preserve"> implications for</w:t>
          </w:r>
          <w:r w:rsidR="00665775">
            <w:t xml:space="preserve"> the future of</w:t>
          </w:r>
          <w:r w:rsidR="00F35EEB">
            <w:t xml:space="preserve"> </w:t>
          </w:r>
          <w:r w:rsidR="00665775">
            <w:t xml:space="preserve">UK investment bonds, </w:t>
          </w:r>
          <w:r w:rsidR="00491B5B">
            <w:t>particularly</w:t>
          </w:r>
          <w:r w:rsidR="00665775">
            <w:t xml:space="preserve"> their tax-efficiency relative to other wrappers</w:t>
          </w:r>
          <w:r w:rsidR="00491B5B">
            <w:t>. With this in mind, we have created this course to highlight th</w:t>
          </w:r>
          <w:r w:rsidR="007C08C1">
            <w:t>ese and bring them into the forefront of the financial planning process.</w:t>
          </w:r>
        </w:p>
        <w:p w14:paraId="1C3DB365" w14:textId="0617ECAE" w:rsidR="005258A3" w:rsidRDefault="005258A3" w:rsidP="009006E7">
          <w:pPr>
            <w:spacing w:line="240" w:lineRule="auto"/>
          </w:pPr>
        </w:p>
        <w:p w14:paraId="2714D32B" w14:textId="1B48AE07" w:rsidR="00B02CD6" w:rsidRDefault="00B02CD6" w:rsidP="009006E7">
          <w:pPr>
            <w:spacing w:line="240" w:lineRule="auto"/>
          </w:pPr>
          <w:r>
            <w:t xml:space="preserve">If </w:t>
          </w:r>
          <w:r w:rsidR="00D81EC6">
            <w:t xml:space="preserve">investment bonds form part of your advice proposition, </w:t>
          </w:r>
          <w:r w:rsidR="00CA156C">
            <w:t>it is highly recommended you complete this course.</w:t>
          </w:r>
        </w:p>
        <w:p w14:paraId="74D5CBEA" w14:textId="77777777" w:rsidR="00D81EC6" w:rsidRDefault="00D81EC6" w:rsidP="009006E7">
          <w:pPr>
            <w:spacing w:line="240" w:lineRule="auto"/>
          </w:pPr>
        </w:p>
        <w:p w14:paraId="5EDF9185" w14:textId="77777777" w:rsidR="005258A3" w:rsidRDefault="005258A3" w:rsidP="009006E7">
          <w:pPr>
            <w:spacing w:line="240" w:lineRule="auto"/>
          </w:pPr>
        </w:p>
        <w:p w14:paraId="299EE21E" w14:textId="63B5B53A" w:rsidR="001C4891" w:rsidRDefault="001C4891" w:rsidP="001C4891">
          <w:pPr>
            <w:pStyle w:val="Heading2"/>
          </w:pPr>
          <w:bookmarkStart w:id="1" w:name="_Toc187422025"/>
          <w:r>
            <w:t>Learning Outcomes</w:t>
          </w:r>
          <w:bookmarkEnd w:id="1"/>
        </w:p>
        <w:p w14:paraId="6E0E9430" w14:textId="40816694" w:rsidR="001C4891" w:rsidRDefault="001C4891" w:rsidP="009006E7">
          <w:pPr>
            <w:spacing w:line="240" w:lineRule="auto"/>
          </w:pPr>
        </w:p>
        <w:p w14:paraId="3F4924F7" w14:textId="2AF41117" w:rsidR="001C4891" w:rsidRDefault="001C4891" w:rsidP="009006E7">
          <w:pPr>
            <w:spacing w:line="240" w:lineRule="auto"/>
          </w:pPr>
          <w:r>
            <w:t xml:space="preserve">By the end of this </w:t>
          </w:r>
          <w:r w:rsidR="000503DF">
            <w:t>course</w:t>
          </w:r>
          <w:r>
            <w:t xml:space="preserve">, </w:t>
          </w:r>
          <w:r w:rsidR="000503DF">
            <w:t>you</w:t>
          </w:r>
          <w:r>
            <w:t xml:space="preserve"> will be able to:</w:t>
          </w:r>
        </w:p>
        <w:p w14:paraId="26A369EF" w14:textId="7956B010" w:rsidR="001C4891" w:rsidRDefault="001C4891" w:rsidP="009006E7">
          <w:pPr>
            <w:spacing w:line="240" w:lineRule="auto"/>
          </w:pPr>
        </w:p>
        <w:p w14:paraId="2FF5E2AF" w14:textId="074CF804" w:rsidR="00DE18F7" w:rsidRDefault="00DE18F7" w:rsidP="005B1C66">
          <w:pPr>
            <w:pStyle w:val="ListParagraph"/>
            <w:numPr>
              <w:ilvl w:val="0"/>
              <w:numId w:val="1"/>
            </w:numPr>
            <w:contextualSpacing w:val="0"/>
          </w:pPr>
          <w:r>
            <w:t>Explain the Income Tax changes in the Autumn</w:t>
          </w:r>
          <w:r w:rsidR="00E676E2">
            <w:t xml:space="preserve"> Statement</w:t>
          </w:r>
          <w:r>
            <w:t xml:space="preserve"> 202</w:t>
          </w:r>
          <w:r w:rsidR="00B1173E">
            <w:t>4</w:t>
          </w:r>
          <w:r>
            <w:t>, including how they impact the taxation of chargeable gains on UK and offshore</w:t>
          </w:r>
          <w:r w:rsidR="002D06F5">
            <w:t xml:space="preserve"> investment bonds.</w:t>
          </w:r>
        </w:p>
        <w:p w14:paraId="07061C69" w14:textId="2FC8FCD1" w:rsidR="00DE18F7" w:rsidRDefault="002D06F5" w:rsidP="005B1C66">
          <w:pPr>
            <w:pStyle w:val="ListParagraph"/>
            <w:numPr>
              <w:ilvl w:val="0"/>
              <w:numId w:val="1"/>
            </w:numPr>
            <w:contextualSpacing w:val="0"/>
          </w:pPr>
          <w:r>
            <w:t xml:space="preserve">Complete </w:t>
          </w:r>
          <w:r w:rsidR="00B1173E">
            <w:rPr>
              <w:b/>
              <w:bCs/>
            </w:rPr>
            <w:t>moderately complex</w:t>
          </w:r>
          <w:r>
            <w:t xml:space="preserve"> top-slicing calculations for b</w:t>
          </w:r>
          <w:r w:rsidR="00DE18F7">
            <w:t>asic</w:t>
          </w:r>
          <w:r>
            <w:t>/higher</w:t>
          </w:r>
          <w:r w:rsidR="00DE18F7">
            <w:t xml:space="preserve"> and higher</w:t>
          </w:r>
          <w:r>
            <w:t>/additional</w:t>
          </w:r>
          <w:r w:rsidR="00DE18F7">
            <w:t xml:space="preserve"> rate taxpayer</w:t>
          </w:r>
          <w:r>
            <w:t>s.</w:t>
          </w:r>
        </w:p>
        <w:p w14:paraId="0A5F6739" w14:textId="20536342" w:rsidR="00006941" w:rsidRDefault="00006941" w:rsidP="005B1C66">
          <w:pPr>
            <w:pStyle w:val="ListParagraph"/>
            <w:numPr>
              <w:ilvl w:val="0"/>
              <w:numId w:val="1"/>
            </w:numPr>
            <w:contextualSpacing w:val="0"/>
          </w:pPr>
          <w:r>
            <w:t xml:space="preserve">Explain the tax position in relation to </w:t>
          </w:r>
          <w:r w:rsidR="00E25275">
            <w:t xml:space="preserve">UK and offshore </w:t>
          </w:r>
          <w:r>
            <w:t>investment bonds for a m</w:t>
          </w:r>
          <w:r w:rsidR="00DE18F7">
            <w:t>arried couple where one partner is deceased</w:t>
          </w:r>
          <w:r>
            <w:t>.</w:t>
          </w:r>
        </w:p>
        <w:p w14:paraId="1FF3A6AC" w14:textId="4E52CF0B" w:rsidR="001C4891" w:rsidRDefault="00006941" w:rsidP="005B1C66">
          <w:pPr>
            <w:pStyle w:val="ListParagraph"/>
            <w:numPr>
              <w:ilvl w:val="0"/>
              <w:numId w:val="1"/>
            </w:numPr>
            <w:contextualSpacing w:val="0"/>
          </w:pPr>
          <w:r>
            <w:t>Explain how</w:t>
          </w:r>
          <w:r w:rsidR="00DE18F7">
            <w:t xml:space="preserve"> personal pension contributions minimise ta</w:t>
          </w:r>
          <w:r w:rsidR="00E25275">
            <w:t>x on chargeable gains for UK and offshore investment bonds.</w:t>
          </w:r>
        </w:p>
        <w:p w14:paraId="11AFF103" w14:textId="7744F001" w:rsidR="00007AD4" w:rsidRDefault="00007AD4" w:rsidP="009006E7">
          <w:pPr>
            <w:spacing w:line="240" w:lineRule="auto"/>
          </w:pPr>
        </w:p>
        <w:p w14:paraId="2AB84E40" w14:textId="77777777" w:rsidR="00DE18F7" w:rsidRDefault="00DE18F7" w:rsidP="009006E7">
          <w:pPr>
            <w:spacing w:line="240" w:lineRule="auto"/>
          </w:pPr>
        </w:p>
        <w:p w14:paraId="7CDCBC02" w14:textId="77777777" w:rsidR="00B02CD6" w:rsidRPr="00B02CD6" w:rsidRDefault="00B02CD6" w:rsidP="00A9561F">
          <w:pPr>
            <w:pStyle w:val="Heading2"/>
          </w:pPr>
          <w:bookmarkStart w:id="2" w:name="_Toc187422026"/>
          <w:r w:rsidRPr="00B02CD6">
            <w:t>Course Structure</w:t>
          </w:r>
          <w:bookmarkEnd w:id="2"/>
        </w:p>
        <w:p w14:paraId="3B259E06" w14:textId="77777777" w:rsidR="00B02CD6" w:rsidRPr="00B02CD6" w:rsidRDefault="00B02CD6" w:rsidP="00B02CD6"/>
        <w:p w14:paraId="2D2C2B6A" w14:textId="2D200EBC" w:rsidR="00B02CD6" w:rsidRPr="00B02CD6" w:rsidRDefault="00B02CD6" w:rsidP="00B02CD6">
          <w:pPr>
            <w:rPr>
              <w:b/>
              <w:bCs/>
            </w:rPr>
          </w:pPr>
          <w:r w:rsidRPr="00B02CD6">
            <w:t xml:space="preserve">This course comprises this PDF document and </w:t>
          </w:r>
          <w:r>
            <w:t xml:space="preserve">a </w:t>
          </w:r>
          <w:r w:rsidRPr="00B02CD6">
            <w:t>case stud</w:t>
          </w:r>
          <w:r>
            <w:t>y with short-answer questions</w:t>
          </w:r>
          <w:r w:rsidRPr="00B02CD6">
            <w:t xml:space="preserve"> into an engaging blended learning experience.</w:t>
          </w:r>
          <w:r w:rsidRPr="00B02CD6">
            <w:rPr>
              <w:b/>
              <w:bCs/>
            </w:rPr>
            <w:t xml:space="preserve"> </w:t>
          </w:r>
          <w:r w:rsidRPr="00B02CD6">
            <w:t>It provides the following CPD:</w:t>
          </w:r>
        </w:p>
        <w:p w14:paraId="128A562E" w14:textId="77777777" w:rsidR="00B02CD6" w:rsidRPr="00B02CD6" w:rsidRDefault="00B02CD6" w:rsidP="00B02CD6"/>
        <w:tbl>
          <w:tblPr>
            <w:tblStyle w:val="TableGrid1"/>
            <w:tblW w:w="0" w:type="auto"/>
            <w:jc w:val="center"/>
            <w:tblLook w:val="04A0" w:firstRow="1" w:lastRow="0" w:firstColumn="1" w:lastColumn="0" w:noHBand="0" w:noVBand="1"/>
          </w:tblPr>
          <w:tblGrid>
            <w:gridCol w:w="2263"/>
            <w:gridCol w:w="2087"/>
            <w:gridCol w:w="2257"/>
          </w:tblGrid>
          <w:tr w:rsidR="00B02CD6" w:rsidRPr="00B02CD6" w14:paraId="4E75D9DB" w14:textId="77777777" w:rsidTr="00B02CD6">
            <w:trPr>
              <w:jc w:val="center"/>
            </w:trPr>
            <w:tc>
              <w:tcPr>
                <w:tcW w:w="2263" w:type="dxa"/>
              </w:tcPr>
              <w:p w14:paraId="6018DFED" w14:textId="77777777" w:rsidR="00B02CD6" w:rsidRPr="00B02CD6" w:rsidRDefault="00B02CD6" w:rsidP="00B02CD6">
                <w:pPr>
                  <w:jc w:val="center"/>
                  <w:rPr>
                    <w:b/>
                    <w:bCs/>
                  </w:rPr>
                </w:pPr>
                <w:r w:rsidRPr="00B02CD6">
                  <w:rPr>
                    <w:b/>
                    <w:bCs/>
                  </w:rPr>
                  <w:t>CPD Hours</w:t>
                </w:r>
              </w:p>
            </w:tc>
            <w:tc>
              <w:tcPr>
                <w:tcW w:w="2087" w:type="dxa"/>
              </w:tcPr>
              <w:p w14:paraId="5D07EE59" w14:textId="77777777" w:rsidR="00B02CD6" w:rsidRPr="00B02CD6" w:rsidRDefault="00B02CD6" w:rsidP="00B02CD6">
                <w:pPr>
                  <w:jc w:val="center"/>
                  <w:rPr>
                    <w:b/>
                    <w:bCs/>
                  </w:rPr>
                </w:pPr>
                <w:r w:rsidRPr="00B02CD6">
                  <w:rPr>
                    <w:b/>
                    <w:bCs/>
                  </w:rPr>
                  <w:t>Structured?</w:t>
                </w:r>
              </w:p>
            </w:tc>
            <w:tc>
              <w:tcPr>
                <w:tcW w:w="2257" w:type="dxa"/>
              </w:tcPr>
              <w:p w14:paraId="144FA4E6" w14:textId="77777777" w:rsidR="00B02CD6" w:rsidRPr="00B02CD6" w:rsidRDefault="00B02CD6" w:rsidP="00B02CD6">
                <w:pPr>
                  <w:jc w:val="center"/>
                  <w:rPr>
                    <w:b/>
                    <w:bCs/>
                  </w:rPr>
                </w:pPr>
                <w:r w:rsidRPr="00B02CD6">
                  <w:rPr>
                    <w:b/>
                    <w:bCs/>
                  </w:rPr>
                  <w:t>IDD CPD?</w:t>
                </w:r>
              </w:p>
            </w:tc>
          </w:tr>
          <w:tr w:rsidR="00B02CD6" w:rsidRPr="00B02CD6" w14:paraId="17193FEB" w14:textId="77777777" w:rsidTr="00B02CD6">
            <w:trPr>
              <w:jc w:val="center"/>
            </w:trPr>
            <w:tc>
              <w:tcPr>
                <w:tcW w:w="2263" w:type="dxa"/>
              </w:tcPr>
              <w:p w14:paraId="1A337948" w14:textId="0B01AA02" w:rsidR="00B02CD6" w:rsidRPr="00B02CD6" w:rsidRDefault="00B1173E" w:rsidP="00B02CD6">
                <w:pPr>
                  <w:jc w:val="center"/>
                </w:pPr>
                <w:r>
                  <w:t>6</w:t>
                </w:r>
              </w:p>
            </w:tc>
            <w:tc>
              <w:tcPr>
                <w:tcW w:w="2087" w:type="dxa"/>
              </w:tcPr>
              <w:p w14:paraId="4C085F59" w14:textId="77777777" w:rsidR="00B02CD6" w:rsidRPr="00B02CD6" w:rsidRDefault="00B02CD6" w:rsidP="00B02CD6">
                <w:pPr>
                  <w:jc w:val="center"/>
                </w:pPr>
                <w:r w:rsidRPr="00B02CD6">
                  <w:t>Yes</w:t>
                </w:r>
              </w:p>
            </w:tc>
            <w:tc>
              <w:tcPr>
                <w:tcW w:w="2257" w:type="dxa"/>
              </w:tcPr>
              <w:p w14:paraId="783EAA54" w14:textId="77777777" w:rsidR="00B02CD6" w:rsidRPr="00B02CD6" w:rsidRDefault="00B02CD6" w:rsidP="00B02CD6">
                <w:pPr>
                  <w:jc w:val="center"/>
                </w:pPr>
                <w:r w:rsidRPr="00B02CD6">
                  <w:t>Yes</w:t>
                </w:r>
              </w:p>
            </w:tc>
          </w:tr>
        </w:tbl>
        <w:p w14:paraId="3EB5E753" w14:textId="77777777" w:rsidR="00B02CD6" w:rsidRPr="00B02CD6" w:rsidRDefault="00B02CD6" w:rsidP="00B02CD6"/>
        <w:p w14:paraId="63782388" w14:textId="50392405" w:rsidR="00B02CD6" w:rsidRPr="00B02CD6" w:rsidRDefault="00B02CD6" w:rsidP="00B02CD6">
          <w:r w:rsidRPr="00B02CD6">
            <w:t xml:space="preserve">Realistically, if you </w:t>
          </w:r>
          <w:r w:rsidR="00B1173E">
            <w:t>digest all learning materials and</w:t>
          </w:r>
          <w:r w:rsidRPr="00B02CD6">
            <w:t xml:space="preserve"> complete the </w:t>
          </w:r>
          <w:r w:rsidR="00B1173E">
            <w:t>assessments</w:t>
          </w:r>
          <w:r w:rsidRPr="00B02CD6">
            <w:t xml:space="preserve">, this course should take most people approximately </w:t>
          </w:r>
          <w:r w:rsidR="00B1173E">
            <w:t>six</w:t>
          </w:r>
          <w:r w:rsidRPr="00B02CD6">
            <w:t xml:space="preserve"> hour</w:t>
          </w:r>
          <w:r>
            <w:t>s</w:t>
          </w:r>
          <w:r w:rsidRPr="00B02CD6">
            <w:t>.</w:t>
          </w:r>
        </w:p>
        <w:p w14:paraId="1883F7A2" w14:textId="77777777" w:rsidR="00B02CD6" w:rsidRDefault="00B02CD6" w:rsidP="009006E7">
          <w:pPr>
            <w:spacing w:line="240" w:lineRule="auto"/>
          </w:pPr>
        </w:p>
        <w:p w14:paraId="44C99AB9" w14:textId="05419529" w:rsidR="001C4891" w:rsidRDefault="001C4891" w:rsidP="009006E7">
          <w:pPr>
            <w:spacing w:line="240" w:lineRule="auto"/>
          </w:pPr>
        </w:p>
        <w:p w14:paraId="4003F33A" w14:textId="77777777" w:rsidR="001C4891" w:rsidRDefault="001C4891" w:rsidP="009006E7">
          <w:pPr>
            <w:spacing w:line="240" w:lineRule="auto"/>
          </w:pPr>
        </w:p>
        <w:p w14:paraId="6FF8A6EF" w14:textId="77777777" w:rsidR="00BD5EF9" w:rsidRDefault="00000000" w:rsidP="00BD5EF9"/>
      </w:sdtContent>
    </w:sdt>
    <w:bookmarkStart w:id="3" w:name="_Toc187422027" w:displacedByCustomXml="prev"/>
    <w:p w14:paraId="73FC43AF" w14:textId="150EB313" w:rsidR="00403284" w:rsidRDefault="00CA156C" w:rsidP="00007AD4">
      <w:pPr>
        <w:pStyle w:val="Heading1"/>
      </w:pPr>
      <w:r>
        <w:lastRenderedPageBreak/>
        <w:t xml:space="preserve">The </w:t>
      </w:r>
      <w:r w:rsidR="0023781B">
        <w:t>Autumn Statement</w:t>
      </w:r>
      <w:r w:rsidR="00E676E2">
        <w:t xml:space="preserve"> 202</w:t>
      </w:r>
      <w:r w:rsidR="00B1173E">
        <w:t>4</w:t>
      </w:r>
      <w:bookmarkEnd w:id="3"/>
    </w:p>
    <w:p w14:paraId="31B4A3A2" w14:textId="79F65990" w:rsidR="00007AD4" w:rsidRDefault="00007AD4" w:rsidP="00007AD4"/>
    <w:p w14:paraId="7AD6CFBC" w14:textId="05E4F508" w:rsidR="00007AD4" w:rsidRDefault="00007AD4" w:rsidP="00007AD4">
      <w:r>
        <w:t xml:space="preserve">A critical understanding of the UK tax system is essential for competent Financial Advisers. Particularly, Income Tax and National Insurance, which must be established and evaluated to inform </w:t>
      </w:r>
      <w:r w:rsidR="00E676E2">
        <w:t>recommendations for tax wrappers including investment bonds and pensions.</w:t>
      </w:r>
    </w:p>
    <w:p w14:paraId="6C4AE5A5" w14:textId="1058DA10" w:rsidR="00007AD4" w:rsidRDefault="00007AD4" w:rsidP="00007AD4"/>
    <w:p w14:paraId="3BB259AD" w14:textId="1FC980C2" w:rsidR="00007AD4" w:rsidRDefault="00B1173E" w:rsidP="00007AD4">
      <w:r>
        <w:t>Labour</w:t>
      </w:r>
      <w:r w:rsidR="00007AD4">
        <w:t xml:space="preserve">’s Autumn Statement </w:t>
      </w:r>
      <w:r w:rsidR="005B1513">
        <w:t xml:space="preserve">2022 </w:t>
      </w:r>
      <w:r w:rsidR="00007AD4">
        <w:t xml:space="preserve">will have a significant impact on investment and pension planning </w:t>
      </w:r>
      <w:r w:rsidR="00E676E2">
        <w:t>in 202</w:t>
      </w:r>
      <w:r>
        <w:t>5</w:t>
      </w:r>
      <w:r w:rsidR="00E676E2">
        <w:t xml:space="preserve"> and beyond</w:t>
      </w:r>
      <w:r w:rsidR="00007AD4">
        <w:t>.</w:t>
      </w:r>
    </w:p>
    <w:p w14:paraId="11BCFAB8" w14:textId="1A49D6C0" w:rsidR="00007AD4" w:rsidRDefault="00007AD4" w:rsidP="00007AD4"/>
    <w:p w14:paraId="687FD99B" w14:textId="77777777" w:rsidR="005B1513" w:rsidRDefault="005B1513" w:rsidP="00007AD4"/>
    <w:p w14:paraId="298569D7" w14:textId="52F78466" w:rsidR="005B1513" w:rsidRDefault="005B1513" w:rsidP="005B1513">
      <w:pPr>
        <w:pStyle w:val="Heading2"/>
      </w:pPr>
      <w:bookmarkStart w:id="4" w:name="_Toc187422028"/>
      <w:r>
        <w:t>Income Tax</w:t>
      </w:r>
      <w:r w:rsidR="00D742FD">
        <w:t xml:space="preserve"> Thresholds</w:t>
      </w:r>
      <w:bookmarkEnd w:id="4"/>
    </w:p>
    <w:p w14:paraId="1516903E" w14:textId="77777777" w:rsidR="005B1513" w:rsidRDefault="005B1513" w:rsidP="00007AD4"/>
    <w:p w14:paraId="1DC05533" w14:textId="159446D1" w:rsidR="00EB64C3" w:rsidRDefault="005B1513" w:rsidP="00007AD4">
      <w:r>
        <w:t>In the UK</w:t>
      </w:r>
      <w:r w:rsidR="004C322F">
        <w:t xml:space="preserve"> (excluding Scotland)</w:t>
      </w:r>
      <w:r>
        <w:t xml:space="preserve"> there</w:t>
      </w:r>
      <w:r w:rsidR="004C322F">
        <w:t xml:space="preserve"> are three main tax brackets. These are:</w:t>
      </w:r>
    </w:p>
    <w:p w14:paraId="2A3660CF" w14:textId="77777777" w:rsidR="004C322F" w:rsidRDefault="004C322F" w:rsidP="00007AD4"/>
    <w:tbl>
      <w:tblPr>
        <w:tblStyle w:val="TableGrid"/>
        <w:tblW w:w="7023" w:type="dxa"/>
        <w:jc w:val="center"/>
        <w:tblLook w:val="04A0" w:firstRow="1" w:lastRow="0" w:firstColumn="1" w:lastColumn="0" w:noHBand="0" w:noVBand="1"/>
      </w:tblPr>
      <w:tblGrid>
        <w:gridCol w:w="2341"/>
        <w:gridCol w:w="2341"/>
        <w:gridCol w:w="2341"/>
      </w:tblGrid>
      <w:tr w:rsidR="00B1173E" w14:paraId="4820E5AC" w14:textId="77777777" w:rsidTr="00B1173E">
        <w:trPr>
          <w:trHeight w:val="140"/>
          <w:jc w:val="center"/>
        </w:trPr>
        <w:tc>
          <w:tcPr>
            <w:tcW w:w="2341" w:type="dxa"/>
          </w:tcPr>
          <w:p w14:paraId="6E15AD8C" w14:textId="76DED501" w:rsidR="00B1173E" w:rsidRPr="00E64706" w:rsidRDefault="00B1173E" w:rsidP="00E64706">
            <w:pPr>
              <w:jc w:val="center"/>
              <w:rPr>
                <w:b/>
                <w:bCs/>
              </w:rPr>
            </w:pPr>
            <w:r>
              <w:rPr>
                <w:b/>
                <w:bCs/>
              </w:rPr>
              <w:t>Bracket</w:t>
            </w:r>
          </w:p>
        </w:tc>
        <w:tc>
          <w:tcPr>
            <w:tcW w:w="2341" w:type="dxa"/>
          </w:tcPr>
          <w:p w14:paraId="50AFC8AC" w14:textId="66AD3C46" w:rsidR="00B1173E" w:rsidRPr="00E64706" w:rsidRDefault="00B1173E" w:rsidP="00E64706">
            <w:pPr>
              <w:jc w:val="center"/>
              <w:rPr>
                <w:b/>
                <w:bCs/>
              </w:rPr>
            </w:pPr>
            <w:r>
              <w:rPr>
                <w:b/>
                <w:bCs/>
              </w:rPr>
              <w:t xml:space="preserve">Rate </w:t>
            </w:r>
            <w:r w:rsidRPr="00E64706">
              <w:rPr>
                <w:b/>
                <w:bCs/>
              </w:rPr>
              <w:t>%</w:t>
            </w:r>
          </w:p>
        </w:tc>
        <w:tc>
          <w:tcPr>
            <w:tcW w:w="2341" w:type="dxa"/>
          </w:tcPr>
          <w:p w14:paraId="0D95DDEE" w14:textId="17201E57" w:rsidR="00B1173E" w:rsidRPr="00E64706" w:rsidRDefault="00B1173E" w:rsidP="00E64706">
            <w:pPr>
              <w:jc w:val="center"/>
              <w:rPr>
                <w:b/>
                <w:bCs/>
              </w:rPr>
            </w:pPr>
            <w:r w:rsidRPr="00E64706">
              <w:rPr>
                <w:b/>
                <w:bCs/>
              </w:rPr>
              <w:t>202</w:t>
            </w:r>
            <w:r>
              <w:rPr>
                <w:b/>
                <w:bCs/>
              </w:rPr>
              <w:t>4</w:t>
            </w:r>
            <w:r w:rsidRPr="00E64706">
              <w:rPr>
                <w:b/>
                <w:bCs/>
              </w:rPr>
              <w:t>/2</w:t>
            </w:r>
            <w:r>
              <w:rPr>
                <w:b/>
                <w:bCs/>
              </w:rPr>
              <w:t>5</w:t>
            </w:r>
          </w:p>
        </w:tc>
      </w:tr>
      <w:tr w:rsidR="00B1173E" w14:paraId="0973AC5A" w14:textId="77777777" w:rsidTr="00B1173E">
        <w:trPr>
          <w:trHeight w:val="286"/>
          <w:jc w:val="center"/>
        </w:trPr>
        <w:tc>
          <w:tcPr>
            <w:tcW w:w="2341" w:type="dxa"/>
          </w:tcPr>
          <w:p w14:paraId="3117C4E3" w14:textId="06B12F52" w:rsidR="00B1173E" w:rsidRDefault="00B1173E" w:rsidP="00E64706">
            <w:pPr>
              <w:jc w:val="center"/>
            </w:pPr>
            <w:r>
              <w:t>Basic</w:t>
            </w:r>
          </w:p>
        </w:tc>
        <w:tc>
          <w:tcPr>
            <w:tcW w:w="2341" w:type="dxa"/>
          </w:tcPr>
          <w:p w14:paraId="77E9044A" w14:textId="07F72D15" w:rsidR="00B1173E" w:rsidRDefault="00B1173E" w:rsidP="00E64706">
            <w:pPr>
              <w:jc w:val="center"/>
            </w:pPr>
            <w:r>
              <w:t>20%</w:t>
            </w:r>
          </w:p>
        </w:tc>
        <w:tc>
          <w:tcPr>
            <w:tcW w:w="2341" w:type="dxa"/>
          </w:tcPr>
          <w:p w14:paraId="2F1A28A3" w14:textId="3E2D0EE1" w:rsidR="00B1173E" w:rsidRDefault="00B1173E" w:rsidP="00E64706">
            <w:pPr>
              <w:jc w:val="center"/>
            </w:pPr>
            <w:r>
              <w:t>£0 to £37,700</w:t>
            </w:r>
          </w:p>
        </w:tc>
      </w:tr>
      <w:tr w:rsidR="00B1173E" w14:paraId="4AA93DF1" w14:textId="77777777" w:rsidTr="00B1173E">
        <w:trPr>
          <w:trHeight w:val="286"/>
          <w:jc w:val="center"/>
        </w:trPr>
        <w:tc>
          <w:tcPr>
            <w:tcW w:w="2341" w:type="dxa"/>
          </w:tcPr>
          <w:p w14:paraId="35A7B217" w14:textId="20A2D0E2" w:rsidR="00B1173E" w:rsidRDefault="00B1173E" w:rsidP="00E64706">
            <w:pPr>
              <w:jc w:val="center"/>
            </w:pPr>
            <w:r>
              <w:t>Higher</w:t>
            </w:r>
          </w:p>
        </w:tc>
        <w:tc>
          <w:tcPr>
            <w:tcW w:w="2341" w:type="dxa"/>
          </w:tcPr>
          <w:p w14:paraId="7D67FB70" w14:textId="14614BC3" w:rsidR="00B1173E" w:rsidRDefault="00B1173E" w:rsidP="00E64706">
            <w:pPr>
              <w:jc w:val="center"/>
            </w:pPr>
            <w:r>
              <w:t>40%</w:t>
            </w:r>
          </w:p>
        </w:tc>
        <w:tc>
          <w:tcPr>
            <w:tcW w:w="2341" w:type="dxa"/>
          </w:tcPr>
          <w:p w14:paraId="5DC6B87A" w14:textId="0DB0BCF1" w:rsidR="00B1173E" w:rsidRDefault="00B1173E" w:rsidP="00E64706">
            <w:pPr>
              <w:jc w:val="center"/>
            </w:pPr>
            <w:r>
              <w:t>£37,701 to £125,140</w:t>
            </w:r>
          </w:p>
        </w:tc>
      </w:tr>
      <w:tr w:rsidR="00B1173E" w14:paraId="30D02725" w14:textId="77777777" w:rsidTr="00B1173E">
        <w:trPr>
          <w:trHeight w:val="286"/>
          <w:jc w:val="center"/>
        </w:trPr>
        <w:tc>
          <w:tcPr>
            <w:tcW w:w="2341" w:type="dxa"/>
          </w:tcPr>
          <w:p w14:paraId="59BA1620" w14:textId="06CFAB54" w:rsidR="00B1173E" w:rsidRDefault="00B1173E" w:rsidP="00E64706">
            <w:pPr>
              <w:jc w:val="center"/>
            </w:pPr>
            <w:r>
              <w:t>Additional</w:t>
            </w:r>
          </w:p>
        </w:tc>
        <w:tc>
          <w:tcPr>
            <w:tcW w:w="2341" w:type="dxa"/>
          </w:tcPr>
          <w:p w14:paraId="52EF9FB7" w14:textId="45689694" w:rsidR="00B1173E" w:rsidRDefault="00B1173E" w:rsidP="00E64706">
            <w:pPr>
              <w:jc w:val="center"/>
            </w:pPr>
            <w:r>
              <w:t>45%</w:t>
            </w:r>
          </w:p>
        </w:tc>
        <w:tc>
          <w:tcPr>
            <w:tcW w:w="2341" w:type="dxa"/>
          </w:tcPr>
          <w:p w14:paraId="1EB311C7" w14:textId="53826D25" w:rsidR="00B1173E" w:rsidRDefault="00B1173E" w:rsidP="00E64706">
            <w:pPr>
              <w:jc w:val="center"/>
            </w:pPr>
            <w:r>
              <w:t>£125,141 and over</w:t>
            </w:r>
          </w:p>
        </w:tc>
      </w:tr>
    </w:tbl>
    <w:p w14:paraId="2EBC61F7" w14:textId="77777777" w:rsidR="004C322F" w:rsidRDefault="004C322F" w:rsidP="00007AD4"/>
    <w:p w14:paraId="0C0DACAA" w14:textId="4638A27B" w:rsidR="00C10958" w:rsidRDefault="009938D3" w:rsidP="005B1513">
      <w:r>
        <w:t>These thresholds have been frozen until 2028/29.</w:t>
      </w:r>
    </w:p>
    <w:p w14:paraId="641BBFA9" w14:textId="77777777" w:rsidR="00D5442F" w:rsidRDefault="00D5442F" w:rsidP="005B1513"/>
    <w:p w14:paraId="6A4E4A29" w14:textId="6E482AE3" w:rsidR="002D4859" w:rsidRDefault="002D4859" w:rsidP="005B1513">
      <w:r>
        <w:t xml:space="preserve">Most UK taxpayers have a personal allowance for Income Tax. This is an amount </w:t>
      </w:r>
      <w:r w:rsidR="0050706E">
        <w:t>of otherwise taxable income they can receive without being subject to Income Tax. This amount in 202</w:t>
      </w:r>
      <w:r w:rsidR="00B1173E">
        <w:t>4</w:t>
      </w:r>
      <w:r w:rsidR="0050706E">
        <w:t>/2</w:t>
      </w:r>
      <w:r w:rsidR="00B1173E">
        <w:t>5</w:t>
      </w:r>
      <w:r w:rsidR="0050706E">
        <w:t xml:space="preserve"> is £12,570</w:t>
      </w:r>
      <w:r w:rsidR="00CC670E">
        <w:t>, and the government has frozen this until 2028/29. In real terms, this is a tax increase, be</w:t>
      </w:r>
      <w:r w:rsidR="004651D8">
        <w:t xml:space="preserve">cause </w:t>
      </w:r>
      <w:r w:rsidR="004819CD">
        <w:t xml:space="preserve">of </w:t>
      </w:r>
      <w:r w:rsidR="004651D8">
        <w:t>inflation</w:t>
      </w:r>
      <w:r w:rsidR="004819CD">
        <w:t>.</w:t>
      </w:r>
    </w:p>
    <w:p w14:paraId="722A4689" w14:textId="77777777" w:rsidR="004819CD" w:rsidRDefault="004819CD" w:rsidP="005B1513"/>
    <w:p w14:paraId="03A51F12" w14:textId="780A7F7D" w:rsidR="004819CD" w:rsidRPr="00460E32" w:rsidRDefault="004819CD" w:rsidP="004819CD">
      <w:pPr>
        <w:pBdr>
          <w:top w:val="single" w:sz="4" w:space="1" w:color="auto"/>
          <w:left w:val="single" w:sz="4" w:space="4" w:color="auto"/>
          <w:bottom w:val="single" w:sz="4" w:space="1" w:color="auto"/>
          <w:right w:val="single" w:sz="4" w:space="4" w:color="auto"/>
        </w:pBdr>
      </w:pPr>
      <w:r w:rsidRPr="003900E8">
        <w:rPr>
          <w:b/>
          <w:bCs/>
        </w:rPr>
        <w:t>Inflation</w:t>
      </w:r>
      <w:r w:rsidR="00460E32">
        <w:rPr>
          <w:b/>
          <w:bCs/>
        </w:rPr>
        <w:t xml:space="preserve"> </w:t>
      </w:r>
      <w:r w:rsidRPr="00460E32">
        <w:t xml:space="preserve">is the </w:t>
      </w:r>
      <w:r w:rsidR="0023727D" w:rsidRPr="00460E32">
        <w:t>general rise in the cost of goods and services, and the corresponding fall in the purchasing power of money.</w:t>
      </w:r>
    </w:p>
    <w:p w14:paraId="442033DE" w14:textId="77777777" w:rsidR="00B30333" w:rsidRPr="00460E32" w:rsidRDefault="00B30333" w:rsidP="004819CD">
      <w:pPr>
        <w:pBdr>
          <w:top w:val="single" w:sz="4" w:space="1" w:color="auto"/>
          <w:left w:val="single" w:sz="4" w:space="4" w:color="auto"/>
          <w:bottom w:val="single" w:sz="4" w:space="1" w:color="auto"/>
          <w:right w:val="single" w:sz="4" w:space="4" w:color="auto"/>
        </w:pBdr>
      </w:pPr>
    </w:p>
    <w:p w14:paraId="221B6B68" w14:textId="43CE20E8" w:rsidR="00B30333" w:rsidRPr="00460E32" w:rsidRDefault="00B30333" w:rsidP="004819CD">
      <w:pPr>
        <w:pBdr>
          <w:top w:val="single" w:sz="4" w:space="1" w:color="auto"/>
          <w:left w:val="single" w:sz="4" w:space="4" w:color="auto"/>
          <w:bottom w:val="single" w:sz="4" w:space="1" w:color="auto"/>
          <w:right w:val="single" w:sz="4" w:space="4" w:color="auto"/>
        </w:pBdr>
      </w:pPr>
      <w:r w:rsidRPr="00460E32">
        <w:t xml:space="preserve">If goods and services are costing more each year, </w:t>
      </w:r>
      <w:r w:rsidR="006D40E3" w:rsidRPr="00460E32">
        <w:t>and the personal allowance is frozen</w:t>
      </w:r>
      <w:r w:rsidR="006E774A" w:rsidRPr="00460E32">
        <w:t xml:space="preserve"> and wages don’t rise</w:t>
      </w:r>
      <w:r w:rsidR="006D40E3" w:rsidRPr="00460E32">
        <w:t xml:space="preserve">, </w:t>
      </w:r>
      <w:r w:rsidR="00793614" w:rsidRPr="00460E32">
        <w:t>individuals will be able to purchase fewer goods and services.</w:t>
      </w:r>
      <w:r w:rsidR="00B8459B" w:rsidRPr="00460E32">
        <w:t xml:space="preserve"> From a purchasing power perspective, they are paying a greater proportion of their income in tax.</w:t>
      </w:r>
    </w:p>
    <w:p w14:paraId="4EC1DD7C" w14:textId="77777777" w:rsidR="00B8459B" w:rsidRPr="00460E32" w:rsidRDefault="00B8459B" w:rsidP="004819CD">
      <w:pPr>
        <w:pBdr>
          <w:top w:val="single" w:sz="4" w:space="1" w:color="auto"/>
          <w:left w:val="single" w:sz="4" w:space="4" w:color="auto"/>
          <w:bottom w:val="single" w:sz="4" w:space="1" w:color="auto"/>
          <w:right w:val="single" w:sz="4" w:space="4" w:color="auto"/>
        </w:pBdr>
      </w:pPr>
    </w:p>
    <w:p w14:paraId="7B473A5F" w14:textId="0B40FC8C" w:rsidR="00B8459B" w:rsidRPr="00460E32" w:rsidRDefault="006E774A" w:rsidP="004819CD">
      <w:pPr>
        <w:pBdr>
          <w:top w:val="single" w:sz="4" w:space="1" w:color="auto"/>
          <w:left w:val="single" w:sz="4" w:space="4" w:color="auto"/>
          <w:bottom w:val="single" w:sz="4" w:space="1" w:color="auto"/>
          <w:right w:val="single" w:sz="4" w:space="4" w:color="auto"/>
        </w:pBdr>
      </w:pPr>
      <w:r w:rsidRPr="00460E32">
        <w:t>If</w:t>
      </w:r>
      <w:r w:rsidR="00EB4656" w:rsidRPr="00460E32">
        <w:t xml:space="preserve"> wages rise (which they tend to do</w:t>
      </w:r>
      <w:r w:rsidR="009E7B06" w:rsidRPr="00460E32">
        <w:t xml:space="preserve"> as employees demand more money to combat </w:t>
      </w:r>
      <w:r w:rsidR="00EB4656" w:rsidRPr="00460E32">
        <w:t>inflation</w:t>
      </w:r>
      <w:r w:rsidR="009E7B06" w:rsidRPr="00460E32">
        <w:t xml:space="preserve"> and maintain their standard of living</w:t>
      </w:r>
      <w:r w:rsidR="00EB4656" w:rsidRPr="00460E32">
        <w:t xml:space="preserve">) </w:t>
      </w:r>
      <w:r w:rsidR="00843E26" w:rsidRPr="00460E32">
        <w:t xml:space="preserve">and the personal allowance is frozen, </w:t>
      </w:r>
      <w:r w:rsidR="009E7B06" w:rsidRPr="00460E32">
        <w:t>a greater proportion of their income falls outside of the personal allowance and will be subject to tax.</w:t>
      </w:r>
    </w:p>
    <w:p w14:paraId="494771E8" w14:textId="77777777" w:rsidR="009E7B06" w:rsidRPr="00460E32" w:rsidRDefault="009E7B06" w:rsidP="004819CD">
      <w:pPr>
        <w:pBdr>
          <w:top w:val="single" w:sz="4" w:space="1" w:color="auto"/>
          <w:left w:val="single" w:sz="4" w:space="4" w:color="auto"/>
          <w:bottom w:val="single" w:sz="4" w:space="1" w:color="auto"/>
          <w:right w:val="single" w:sz="4" w:space="4" w:color="auto"/>
        </w:pBdr>
      </w:pPr>
    </w:p>
    <w:p w14:paraId="2405EE0C" w14:textId="2FBF943B" w:rsidR="009E7B06" w:rsidRPr="00A9561F" w:rsidRDefault="003900E8" w:rsidP="004819CD">
      <w:pPr>
        <w:pBdr>
          <w:top w:val="single" w:sz="4" w:space="1" w:color="auto"/>
          <w:left w:val="single" w:sz="4" w:space="4" w:color="auto"/>
          <w:bottom w:val="single" w:sz="4" w:space="1" w:color="auto"/>
          <w:right w:val="single" w:sz="4" w:space="4" w:color="auto"/>
        </w:pBdr>
        <w:rPr>
          <w:b/>
          <w:bCs/>
        </w:rPr>
      </w:pPr>
      <w:r w:rsidRPr="00A9561F">
        <w:rPr>
          <w:b/>
          <w:bCs/>
        </w:rPr>
        <w:t>There is therefore an argument that a freeze on the personal allowance is a “stealth tax”.</w:t>
      </w:r>
    </w:p>
    <w:p w14:paraId="663EDDCD" w14:textId="0643412C" w:rsidR="00D742FD" w:rsidRDefault="00D742FD" w:rsidP="00D742FD">
      <w:pPr>
        <w:pStyle w:val="Heading2"/>
      </w:pPr>
      <w:bookmarkStart w:id="5" w:name="_Toc187422029"/>
      <w:r>
        <w:lastRenderedPageBreak/>
        <w:t>Savings Allowances</w:t>
      </w:r>
      <w:bookmarkEnd w:id="5"/>
    </w:p>
    <w:p w14:paraId="7696FB1F" w14:textId="77777777" w:rsidR="00D742FD" w:rsidRDefault="00D742FD" w:rsidP="00CF6748"/>
    <w:p w14:paraId="12492635" w14:textId="7C3E3135" w:rsidR="00CF6748" w:rsidRDefault="005E0153" w:rsidP="00CF6748">
      <w:r>
        <w:t xml:space="preserve">The </w:t>
      </w:r>
      <w:r w:rsidRPr="00E7455B">
        <w:rPr>
          <w:b/>
          <w:bCs/>
        </w:rPr>
        <w:t>Personal Savings Allowance</w:t>
      </w:r>
      <w:r>
        <w:t xml:space="preserve"> (PSA) is </w:t>
      </w:r>
      <w:r w:rsidR="00E7455B">
        <w:t xml:space="preserve">a tax </w:t>
      </w:r>
      <w:r w:rsidR="00031758">
        <w:t>relief that offsets tax on savings income.</w:t>
      </w:r>
    </w:p>
    <w:p w14:paraId="145056F1" w14:textId="77777777" w:rsidR="00031758" w:rsidRDefault="00031758" w:rsidP="00CF6748"/>
    <w:p w14:paraId="29E5343F" w14:textId="79010AFF" w:rsidR="00031758" w:rsidRDefault="00031758" w:rsidP="00CF6748">
      <w:r>
        <w:t xml:space="preserve">As a reminder, savings income </w:t>
      </w:r>
      <w:r w:rsidR="001D5766">
        <w:t xml:space="preserve">for the purpose of the PSA </w:t>
      </w:r>
      <w:r>
        <w:t xml:space="preserve">includes </w:t>
      </w:r>
      <w:r w:rsidR="00AD6486">
        <w:t>interest earned on cash savings, coupons on most fixed interest securities</w:t>
      </w:r>
      <w:r w:rsidR="003F2FC6">
        <w:t>, interest paid by collective investment schemes wh</w:t>
      </w:r>
      <w:r w:rsidR="0018587B">
        <w:t>ich are predominantly invested in bonds (generally 60%+), and chargeable gains on investment bonds.</w:t>
      </w:r>
    </w:p>
    <w:p w14:paraId="39913531" w14:textId="77777777" w:rsidR="00CF6748" w:rsidRDefault="00CF6748" w:rsidP="00CF6748"/>
    <w:p w14:paraId="43263380" w14:textId="52EEFF9E" w:rsidR="00004781" w:rsidRDefault="00AB44EA" w:rsidP="00CF6748">
      <w:r>
        <w:t>The amount of PSA</w:t>
      </w:r>
      <w:r w:rsidR="00004781">
        <w:t xml:space="preserve"> someone has depends on their highest marginal tax bracket:</w:t>
      </w:r>
    </w:p>
    <w:p w14:paraId="36E919D4" w14:textId="77777777" w:rsidR="00004781" w:rsidRDefault="00004781" w:rsidP="00CF6748"/>
    <w:tbl>
      <w:tblPr>
        <w:tblStyle w:val="TableGrid"/>
        <w:tblW w:w="0" w:type="auto"/>
        <w:jc w:val="center"/>
        <w:tblLook w:val="04A0" w:firstRow="1" w:lastRow="0" w:firstColumn="1" w:lastColumn="0" w:noHBand="0" w:noVBand="1"/>
      </w:tblPr>
      <w:tblGrid>
        <w:gridCol w:w="2327"/>
        <w:gridCol w:w="2327"/>
      </w:tblGrid>
      <w:tr w:rsidR="00004781" w14:paraId="7477590E" w14:textId="77777777" w:rsidTr="00004781">
        <w:trPr>
          <w:trHeight w:val="260"/>
          <w:jc w:val="center"/>
        </w:trPr>
        <w:tc>
          <w:tcPr>
            <w:tcW w:w="2327" w:type="dxa"/>
          </w:tcPr>
          <w:p w14:paraId="4D10F3D5" w14:textId="4CB1F5A3" w:rsidR="00004781" w:rsidRPr="00004781" w:rsidRDefault="00004781" w:rsidP="00004781">
            <w:pPr>
              <w:jc w:val="center"/>
              <w:rPr>
                <w:b/>
                <w:bCs/>
              </w:rPr>
            </w:pPr>
            <w:r w:rsidRPr="00004781">
              <w:rPr>
                <w:b/>
                <w:bCs/>
              </w:rPr>
              <w:t>Bracket</w:t>
            </w:r>
          </w:p>
        </w:tc>
        <w:tc>
          <w:tcPr>
            <w:tcW w:w="2327" w:type="dxa"/>
          </w:tcPr>
          <w:p w14:paraId="1E671AAE" w14:textId="50332373" w:rsidR="00004781" w:rsidRPr="00004781" w:rsidRDefault="00004781" w:rsidP="00004781">
            <w:pPr>
              <w:jc w:val="center"/>
              <w:rPr>
                <w:b/>
                <w:bCs/>
              </w:rPr>
            </w:pPr>
            <w:r w:rsidRPr="00004781">
              <w:rPr>
                <w:b/>
                <w:bCs/>
              </w:rPr>
              <w:t>PSA Available</w:t>
            </w:r>
          </w:p>
        </w:tc>
      </w:tr>
      <w:tr w:rsidR="00004781" w14:paraId="4AA7EE60" w14:textId="77777777" w:rsidTr="00004781">
        <w:trPr>
          <w:trHeight w:val="268"/>
          <w:jc w:val="center"/>
        </w:trPr>
        <w:tc>
          <w:tcPr>
            <w:tcW w:w="2327" w:type="dxa"/>
          </w:tcPr>
          <w:p w14:paraId="21A051BE" w14:textId="64AAD851" w:rsidR="00004781" w:rsidRDefault="00004781" w:rsidP="00004781">
            <w:pPr>
              <w:jc w:val="center"/>
            </w:pPr>
            <w:r>
              <w:t>Basic</w:t>
            </w:r>
          </w:p>
        </w:tc>
        <w:tc>
          <w:tcPr>
            <w:tcW w:w="2327" w:type="dxa"/>
          </w:tcPr>
          <w:p w14:paraId="1E6CAFFB" w14:textId="5EEF8786" w:rsidR="00004781" w:rsidRDefault="00004781" w:rsidP="00004781">
            <w:pPr>
              <w:jc w:val="center"/>
            </w:pPr>
            <w:r>
              <w:t>£1,000</w:t>
            </w:r>
          </w:p>
        </w:tc>
      </w:tr>
      <w:tr w:rsidR="00004781" w14:paraId="5D3C82E5" w14:textId="77777777" w:rsidTr="00004781">
        <w:trPr>
          <w:trHeight w:val="260"/>
          <w:jc w:val="center"/>
        </w:trPr>
        <w:tc>
          <w:tcPr>
            <w:tcW w:w="2327" w:type="dxa"/>
          </w:tcPr>
          <w:p w14:paraId="2770A993" w14:textId="34953E88" w:rsidR="00004781" w:rsidRDefault="00004781" w:rsidP="00004781">
            <w:pPr>
              <w:jc w:val="center"/>
            </w:pPr>
            <w:r>
              <w:t>Higher</w:t>
            </w:r>
          </w:p>
        </w:tc>
        <w:tc>
          <w:tcPr>
            <w:tcW w:w="2327" w:type="dxa"/>
          </w:tcPr>
          <w:p w14:paraId="282637EF" w14:textId="5D290D14" w:rsidR="00004781" w:rsidRDefault="00004781" w:rsidP="00004781">
            <w:pPr>
              <w:jc w:val="center"/>
            </w:pPr>
            <w:r>
              <w:t>£500</w:t>
            </w:r>
          </w:p>
        </w:tc>
      </w:tr>
      <w:tr w:rsidR="00004781" w14:paraId="1295E9EA" w14:textId="77777777" w:rsidTr="00004781">
        <w:trPr>
          <w:trHeight w:val="268"/>
          <w:jc w:val="center"/>
        </w:trPr>
        <w:tc>
          <w:tcPr>
            <w:tcW w:w="2327" w:type="dxa"/>
          </w:tcPr>
          <w:p w14:paraId="7576786F" w14:textId="1925FE28" w:rsidR="00004781" w:rsidRDefault="00004781" w:rsidP="00004781">
            <w:pPr>
              <w:jc w:val="center"/>
            </w:pPr>
            <w:r>
              <w:t>Additional</w:t>
            </w:r>
          </w:p>
        </w:tc>
        <w:tc>
          <w:tcPr>
            <w:tcW w:w="2327" w:type="dxa"/>
          </w:tcPr>
          <w:p w14:paraId="5CF73415" w14:textId="732A2CF7" w:rsidR="00004781" w:rsidRDefault="00004781" w:rsidP="00004781">
            <w:pPr>
              <w:jc w:val="center"/>
            </w:pPr>
            <w:r>
              <w:t>£0</w:t>
            </w:r>
          </w:p>
        </w:tc>
      </w:tr>
    </w:tbl>
    <w:p w14:paraId="26E99725" w14:textId="77777777" w:rsidR="00CF6748" w:rsidRDefault="00CF6748" w:rsidP="00CF6748"/>
    <w:p w14:paraId="77A367D0" w14:textId="291F0436" w:rsidR="00456C4E" w:rsidRDefault="004D0416" w:rsidP="00AA5FD4">
      <w:pPr>
        <w:pBdr>
          <w:top w:val="single" w:sz="4" w:space="1" w:color="auto"/>
          <w:left w:val="single" w:sz="4" w:space="4" w:color="auto"/>
          <w:bottom w:val="single" w:sz="4" w:space="1" w:color="auto"/>
          <w:right w:val="single" w:sz="4" w:space="4" w:color="auto"/>
        </w:pBdr>
      </w:pPr>
      <w:r>
        <w:t xml:space="preserve">The </w:t>
      </w:r>
      <w:r w:rsidRPr="00533F26">
        <w:rPr>
          <w:b/>
          <w:bCs/>
        </w:rPr>
        <w:t>Starting Savings Rate</w:t>
      </w:r>
      <w:r>
        <w:t xml:space="preserve"> </w:t>
      </w:r>
      <w:r w:rsidR="00533F26">
        <w:t xml:space="preserve">(SSR) </w:t>
      </w:r>
      <w:r w:rsidR="00E52CDA">
        <w:t xml:space="preserve">has not been impacted by the </w:t>
      </w:r>
      <w:r w:rsidR="00535D68">
        <w:t>Autumn Statement</w:t>
      </w:r>
      <w:r w:rsidR="00733248">
        <w:t>. As a reminder, it provides an additional 0% band of £5,000 which can be offset against savings income only.</w:t>
      </w:r>
      <w:r w:rsidR="0062183E">
        <w:t xml:space="preserve"> However, it’s only available for lower earners because it’s tapered away by £1 for every £1 of non-savings income</w:t>
      </w:r>
      <w:r w:rsidR="00AA5FD4">
        <w:t xml:space="preserve"> earned over the £12,570 Personal Allowance.</w:t>
      </w:r>
    </w:p>
    <w:p w14:paraId="1E762E7B" w14:textId="77777777" w:rsidR="00456C4E" w:rsidRDefault="00456C4E" w:rsidP="00CF6748"/>
    <w:p w14:paraId="782B3D2F" w14:textId="77777777" w:rsidR="00A96E55" w:rsidRDefault="00A96E55" w:rsidP="00CF6748"/>
    <w:p w14:paraId="32344E07" w14:textId="740ECB0F" w:rsidR="00A96E55" w:rsidRDefault="00A96E55" w:rsidP="00A96E55">
      <w:pPr>
        <w:pStyle w:val="Heading2"/>
      </w:pPr>
      <w:bookmarkStart w:id="6" w:name="_Toc187422030"/>
      <w:r>
        <w:t>Dividends and Capital Gains</w:t>
      </w:r>
      <w:bookmarkEnd w:id="6"/>
    </w:p>
    <w:p w14:paraId="3A57E8BF" w14:textId="77777777" w:rsidR="00A96E55" w:rsidRDefault="00A96E55" w:rsidP="00CF6748"/>
    <w:p w14:paraId="6C42FC33" w14:textId="064EE36A" w:rsidR="00CD4C58" w:rsidRDefault="00AA5FD4" w:rsidP="00AA5FD4">
      <w:r>
        <w:t>The annual dividend allowance</w:t>
      </w:r>
      <w:r w:rsidR="00CD4C58">
        <w:t xml:space="preserve"> is a 0% tax band available to offset tax on dividend</w:t>
      </w:r>
      <w:r w:rsidR="00A848C5">
        <w:t xml:space="preserve"> income only. This includes dividends received from individual company shares and </w:t>
      </w:r>
      <w:r w:rsidR="00BB332D">
        <w:t xml:space="preserve">collective investment funds. It’s </w:t>
      </w:r>
      <w:r w:rsidR="00B1173E">
        <w:t>reduced as follows:</w:t>
      </w:r>
    </w:p>
    <w:p w14:paraId="40F01016" w14:textId="77777777" w:rsidR="00BB332D" w:rsidRDefault="00BB332D" w:rsidP="00AA5FD4"/>
    <w:tbl>
      <w:tblPr>
        <w:tblStyle w:val="TableGrid"/>
        <w:tblW w:w="0" w:type="auto"/>
        <w:jc w:val="center"/>
        <w:tblLook w:val="04A0" w:firstRow="1" w:lastRow="0" w:firstColumn="1" w:lastColumn="0" w:noHBand="0" w:noVBand="1"/>
      </w:tblPr>
      <w:tblGrid>
        <w:gridCol w:w="2075"/>
        <w:gridCol w:w="2076"/>
        <w:gridCol w:w="2076"/>
      </w:tblGrid>
      <w:tr w:rsidR="00774386" w14:paraId="183914B9" w14:textId="77777777" w:rsidTr="00B90A4C">
        <w:trPr>
          <w:trHeight w:val="258"/>
          <w:jc w:val="center"/>
        </w:trPr>
        <w:tc>
          <w:tcPr>
            <w:tcW w:w="6227" w:type="dxa"/>
            <w:gridSpan w:val="3"/>
          </w:tcPr>
          <w:p w14:paraId="1325479D" w14:textId="6EA8B28C" w:rsidR="00774386" w:rsidRPr="00774386" w:rsidRDefault="00774386" w:rsidP="00774386">
            <w:pPr>
              <w:jc w:val="center"/>
              <w:rPr>
                <w:b/>
                <w:bCs/>
              </w:rPr>
            </w:pPr>
            <w:r w:rsidRPr="00774386">
              <w:rPr>
                <w:b/>
                <w:bCs/>
              </w:rPr>
              <w:t>Dividend Allowance</w:t>
            </w:r>
          </w:p>
        </w:tc>
      </w:tr>
      <w:tr w:rsidR="00774386" w14:paraId="53844B8D" w14:textId="77777777" w:rsidTr="00B90A4C">
        <w:trPr>
          <w:trHeight w:val="266"/>
          <w:jc w:val="center"/>
        </w:trPr>
        <w:tc>
          <w:tcPr>
            <w:tcW w:w="2075" w:type="dxa"/>
          </w:tcPr>
          <w:p w14:paraId="60DCCA02" w14:textId="1C126111" w:rsidR="00774386" w:rsidRDefault="00774386" w:rsidP="00774386">
            <w:pPr>
              <w:jc w:val="center"/>
            </w:pPr>
            <w:r>
              <w:t>2022/23</w:t>
            </w:r>
          </w:p>
        </w:tc>
        <w:tc>
          <w:tcPr>
            <w:tcW w:w="2076" w:type="dxa"/>
          </w:tcPr>
          <w:p w14:paraId="113E8F89" w14:textId="4AAF950E" w:rsidR="00774386" w:rsidRDefault="00774386" w:rsidP="00774386">
            <w:pPr>
              <w:jc w:val="center"/>
            </w:pPr>
            <w:r>
              <w:t>2023/24</w:t>
            </w:r>
          </w:p>
        </w:tc>
        <w:tc>
          <w:tcPr>
            <w:tcW w:w="2076" w:type="dxa"/>
          </w:tcPr>
          <w:p w14:paraId="28154852" w14:textId="6DBEE15D" w:rsidR="00774386" w:rsidRDefault="00774386" w:rsidP="00774386">
            <w:pPr>
              <w:jc w:val="center"/>
            </w:pPr>
            <w:r>
              <w:t>2024/25</w:t>
            </w:r>
          </w:p>
        </w:tc>
      </w:tr>
      <w:tr w:rsidR="00774386" w14:paraId="5FC2FCC5" w14:textId="77777777" w:rsidTr="00B90A4C">
        <w:trPr>
          <w:trHeight w:val="266"/>
          <w:jc w:val="center"/>
        </w:trPr>
        <w:tc>
          <w:tcPr>
            <w:tcW w:w="2075" w:type="dxa"/>
          </w:tcPr>
          <w:p w14:paraId="1553514B" w14:textId="739E4593" w:rsidR="00774386" w:rsidRDefault="00774386" w:rsidP="00774386">
            <w:pPr>
              <w:jc w:val="center"/>
            </w:pPr>
            <w:r>
              <w:t>£2,000</w:t>
            </w:r>
          </w:p>
        </w:tc>
        <w:tc>
          <w:tcPr>
            <w:tcW w:w="2076" w:type="dxa"/>
          </w:tcPr>
          <w:p w14:paraId="38626165" w14:textId="48D982F6" w:rsidR="00774386" w:rsidRDefault="00774386" w:rsidP="00774386">
            <w:pPr>
              <w:jc w:val="center"/>
            </w:pPr>
            <w:r>
              <w:t>£1,000</w:t>
            </w:r>
          </w:p>
        </w:tc>
        <w:tc>
          <w:tcPr>
            <w:tcW w:w="2076" w:type="dxa"/>
          </w:tcPr>
          <w:p w14:paraId="313F2D8B" w14:textId="0D18A49E" w:rsidR="00774386" w:rsidRDefault="00774386" w:rsidP="00774386">
            <w:pPr>
              <w:jc w:val="center"/>
            </w:pPr>
            <w:r>
              <w:t>£500</w:t>
            </w:r>
          </w:p>
        </w:tc>
      </w:tr>
    </w:tbl>
    <w:p w14:paraId="6906D340" w14:textId="77777777" w:rsidR="00A9561F" w:rsidRDefault="00A9561F" w:rsidP="00AA5FD4"/>
    <w:p w14:paraId="0FF71688" w14:textId="1A54E58E" w:rsidR="00D742FD" w:rsidRDefault="00D742FD" w:rsidP="00D742FD">
      <w:r>
        <w:t>Capital Gains Tax</w:t>
      </w:r>
      <w:r w:rsidR="00A96E55">
        <w:t xml:space="preserve"> </w:t>
      </w:r>
      <w:r w:rsidR="00F82AC9">
        <w:t xml:space="preserve">(CGT) </w:t>
      </w:r>
      <w:r w:rsidR="00A96E55">
        <w:t xml:space="preserve">is in </w:t>
      </w:r>
      <w:r w:rsidR="0053417D">
        <w:t>a similar position</w:t>
      </w:r>
      <w:r w:rsidR="00041FD1">
        <w:t>:</w:t>
      </w:r>
    </w:p>
    <w:p w14:paraId="4F584164" w14:textId="77777777" w:rsidR="00041FD1" w:rsidRDefault="00041FD1" w:rsidP="00D742FD"/>
    <w:tbl>
      <w:tblPr>
        <w:tblStyle w:val="TableGrid"/>
        <w:tblW w:w="0" w:type="auto"/>
        <w:jc w:val="center"/>
        <w:tblLook w:val="04A0" w:firstRow="1" w:lastRow="0" w:firstColumn="1" w:lastColumn="0" w:noHBand="0" w:noVBand="1"/>
      </w:tblPr>
      <w:tblGrid>
        <w:gridCol w:w="2075"/>
        <w:gridCol w:w="2076"/>
        <w:gridCol w:w="2076"/>
      </w:tblGrid>
      <w:tr w:rsidR="00041FD1" w14:paraId="1584D71A" w14:textId="77777777" w:rsidTr="0060768A">
        <w:trPr>
          <w:trHeight w:val="258"/>
          <w:jc w:val="center"/>
        </w:trPr>
        <w:tc>
          <w:tcPr>
            <w:tcW w:w="6227" w:type="dxa"/>
            <w:gridSpan w:val="3"/>
          </w:tcPr>
          <w:p w14:paraId="470492E9" w14:textId="606119CC" w:rsidR="00041FD1" w:rsidRPr="00774386" w:rsidRDefault="00F82AC9" w:rsidP="0060768A">
            <w:pPr>
              <w:jc w:val="center"/>
              <w:rPr>
                <w:b/>
                <w:bCs/>
              </w:rPr>
            </w:pPr>
            <w:r>
              <w:rPr>
                <w:b/>
                <w:bCs/>
              </w:rPr>
              <w:t>CGT</w:t>
            </w:r>
            <w:r w:rsidR="00041FD1">
              <w:rPr>
                <w:b/>
                <w:bCs/>
              </w:rPr>
              <w:t xml:space="preserve"> Annual Exemption</w:t>
            </w:r>
          </w:p>
        </w:tc>
      </w:tr>
      <w:tr w:rsidR="00041FD1" w14:paraId="4895855E" w14:textId="77777777" w:rsidTr="0060768A">
        <w:trPr>
          <w:trHeight w:val="266"/>
          <w:jc w:val="center"/>
        </w:trPr>
        <w:tc>
          <w:tcPr>
            <w:tcW w:w="2075" w:type="dxa"/>
          </w:tcPr>
          <w:p w14:paraId="243CCDD9" w14:textId="77777777" w:rsidR="00041FD1" w:rsidRDefault="00041FD1" w:rsidP="0060768A">
            <w:pPr>
              <w:jc w:val="center"/>
            </w:pPr>
            <w:r>
              <w:t>2022/23</w:t>
            </w:r>
          </w:p>
        </w:tc>
        <w:tc>
          <w:tcPr>
            <w:tcW w:w="2076" w:type="dxa"/>
          </w:tcPr>
          <w:p w14:paraId="4BB1C9A9" w14:textId="77777777" w:rsidR="00041FD1" w:rsidRDefault="00041FD1" w:rsidP="0060768A">
            <w:pPr>
              <w:jc w:val="center"/>
            </w:pPr>
            <w:r>
              <w:t>2023/24</w:t>
            </w:r>
          </w:p>
        </w:tc>
        <w:tc>
          <w:tcPr>
            <w:tcW w:w="2076" w:type="dxa"/>
          </w:tcPr>
          <w:p w14:paraId="7E922B56" w14:textId="77777777" w:rsidR="00041FD1" w:rsidRDefault="00041FD1" w:rsidP="0060768A">
            <w:pPr>
              <w:jc w:val="center"/>
            </w:pPr>
            <w:r>
              <w:t>2024/25</w:t>
            </w:r>
          </w:p>
        </w:tc>
      </w:tr>
      <w:tr w:rsidR="00041FD1" w14:paraId="4A391B90" w14:textId="77777777" w:rsidTr="0060768A">
        <w:trPr>
          <w:trHeight w:val="266"/>
          <w:jc w:val="center"/>
        </w:trPr>
        <w:tc>
          <w:tcPr>
            <w:tcW w:w="2075" w:type="dxa"/>
          </w:tcPr>
          <w:p w14:paraId="2B2A3C32" w14:textId="27EE5711" w:rsidR="00041FD1" w:rsidRDefault="00041FD1" w:rsidP="0060768A">
            <w:pPr>
              <w:jc w:val="center"/>
            </w:pPr>
            <w:r>
              <w:t>£12,300</w:t>
            </w:r>
          </w:p>
        </w:tc>
        <w:tc>
          <w:tcPr>
            <w:tcW w:w="2076" w:type="dxa"/>
          </w:tcPr>
          <w:p w14:paraId="0E5403DD" w14:textId="6FFEE0F4" w:rsidR="00041FD1" w:rsidRDefault="00041FD1" w:rsidP="0060768A">
            <w:pPr>
              <w:jc w:val="center"/>
            </w:pPr>
            <w:r>
              <w:t>£6,000</w:t>
            </w:r>
          </w:p>
        </w:tc>
        <w:tc>
          <w:tcPr>
            <w:tcW w:w="2076" w:type="dxa"/>
          </w:tcPr>
          <w:p w14:paraId="4824E384" w14:textId="39A72AAE" w:rsidR="00041FD1" w:rsidRDefault="00041FD1" w:rsidP="0060768A">
            <w:pPr>
              <w:jc w:val="center"/>
            </w:pPr>
            <w:r>
              <w:t>£3,000</w:t>
            </w:r>
          </w:p>
        </w:tc>
      </w:tr>
    </w:tbl>
    <w:p w14:paraId="407F1B90" w14:textId="77777777" w:rsidR="00041FD1" w:rsidRDefault="00041FD1" w:rsidP="00D742FD"/>
    <w:p w14:paraId="7AA167E2" w14:textId="14DD30EA" w:rsidR="00CD4C58" w:rsidRDefault="00804974" w:rsidP="00AA5FD4">
      <w:r>
        <w:t xml:space="preserve">For life offices, </w:t>
      </w:r>
      <w:r w:rsidR="00EE388D">
        <w:t>th</w:t>
      </w:r>
      <w:r>
        <w:t xml:space="preserve">is </w:t>
      </w:r>
      <w:r w:rsidR="00B1173E">
        <w:t>wa</w:t>
      </w:r>
      <w:r>
        <w:t>s</w:t>
      </w:r>
      <w:r w:rsidR="00EE388D">
        <w:t xml:space="preserve"> probably music to their ears because it makes unwrapped collectives (OEICs, </w:t>
      </w:r>
      <w:r w:rsidR="00515CC9">
        <w:t>u</w:t>
      </w:r>
      <w:r w:rsidR="00EE388D">
        <w:t xml:space="preserve">nit </w:t>
      </w:r>
      <w:r w:rsidR="00515CC9">
        <w:t>t</w:t>
      </w:r>
      <w:r w:rsidR="00EE388D">
        <w:t xml:space="preserve">rusts, and </w:t>
      </w:r>
      <w:r w:rsidR="00515CC9">
        <w:t>i</w:t>
      </w:r>
      <w:r w:rsidR="00EE388D">
        <w:t xml:space="preserve">nvestment </w:t>
      </w:r>
      <w:r w:rsidR="00515CC9">
        <w:t>t</w:t>
      </w:r>
      <w:r w:rsidR="00EE388D">
        <w:t xml:space="preserve">rusts) </w:t>
      </w:r>
      <w:r w:rsidR="00515CC9">
        <w:t xml:space="preserve">far less tax-efficient than they </w:t>
      </w:r>
      <w:r w:rsidR="00B1173E">
        <w:t>were</w:t>
      </w:r>
      <w:r w:rsidR="00515CC9">
        <w:t xml:space="preserve">. And bonds look much more </w:t>
      </w:r>
      <w:r w:rsidR="002B029B">
        <w:t>competitive</w:t>
      </w:r>
      <w:r w:rsidR="00D45C80">
        <w:t>.</w:t>
      </w:r>
      <w:r w:rsidR="00201024">
        <w:t xml:space="preserve"> It’s worth the reminder that investment bond chargeable gains are not subject to Capital Gains Tax, but Income Tax.</w:t>
      </w:r>
    </w:p>
    <w:p w14:paraId="1215D4D3" w14:textId="77777777" w:rsidR="00BB332D" w:rsidRDefault="00BB332D" w:rsidP="00AA5FD4"/>
    <w:p w14:paraId="494D258F" w14:textId="3CF45C7D" w:rsidR="00D45C80" w:rsidRDefault="002B029B" w:rsidP="00AA5FD4">
      <w:r>
        <w:lastRenderedPageBreak/>
        <w:t xml:space="preserve">Over the past several years, the standard tax wrapper solution for </w:t>
      </w:r>
      <w:r w:rsidR="00B04C63">
        <w:t xml:space="preserve">typical </w:t>
      </w:r>
      <w:r w:rsidR="00F659DF">
        <w:t xml:space="preserve">investment planning </w:t>
      </w:r>
      <w:r w:rsidR="00B04C63">
        <w:t xml:space="preserve">clients involved a “bed and ISA” strategy facilitated via an online platform. </w:t>
      </w:r>
      <w:r w:rsidR="00F659DF">
        <w:t xml:space="preserve">This is where the first £20,000 would be invested into an ISA, with the remainder </w:t>
      </w:r>
      <w:r w:rsidR="00201024">
        <w:t>in a General Investment Account (GIA). For tax purposes, the funds in the GIA were unwrapped, while income and gains in the ISA would not be subject to any Income Tax or Capital Gains Tax.</w:t>
      </w:r>
    </w:p>
    <w:p w14:paraId="208494A1" w14:textId="77777777" w:rsidR="00E375F3" w:rsidRDefault="00E375F3" w:rsidP="00AA5FD4"/>
    <w:p w14:paraId="4671372F" w14:textId="141D85FC" w:rsidR="00E375F3" w:rsidRDefault="00E375F3" w:rsidP="00AA5FD4">
      <w:r>
        <w:t>This worked well. For a £100,000 investment planning client, £20,000 could be immediately wrapped within an ISA</w:t>
      </w:r>
      <w:r w:rsidR="007855F8">
        <w:t>. The remaining £80,000 would then be held within a GIA. Each year, the platform would automatically sell down £20,000, move it</w:t>
      </w:r>
      <w:r w:rsidR="00DC19D9">
        <w:t xml:space="preserve"> over to the ISA,</w:t>
      </w:r>
      <w:r w:rsidR="007855F8">
        <w:t xml:space="preserve"> and immediately repurchase the same funds within the ISA.</w:t>
      </w:r>
    </w:p>
    <w:p w14:paraId="6F74F8FD" w14:textId="2DDC0815" w:rsidR="00DC19D9" w:rsidRDefault="00DC19D9" w:rsidP="00AA5FD4"/>
    <w:p w14:paraId="66DB468A" w14:textId="69C707FA" w:rsidR="00F82AC9" w:rsidRDefault="005B7C7A" w:rsidP="00AA5FD4">
      <w:r>
        <w:t>The</w:t>
      </w:r>
      <w:r w:rsidR="007E26E4">
        <w:t xml:space="preserve"> £80,000</w:t>
      </w:r>
      <w:r>
        <w:t xml:space="preserve"> in the GIA could produce a dividend yield of 2.5% before the dividend allowance was exceeded, and </w:t>
      </w:r>
      <w:r w:rsidR="00202E7C">
        <w:t xml:space="preserve">with the typical </w:t>
      </w:r>
      <w:r w:rsidR="009B50E3">
        <w:t xml:space="preserve">dividend </w:t>
      </w:r>
      <w:r w:rsidR="00202E7C">
        <w:t xml:space="preserve">yield on a </w:t>
      </w:r>
      <w:r w:rsidR="009B50E3">
        <w:t xml:space="preserve">multi-asset tracker fund being 1-2%, it was unlikely any Income Tax would ever be payable. </w:t>
      </w:r>
      <w:r w:rsidR="00F922C0">
        <w:t xml:space="preserve">For advised portfolios of single-sector funds, Advisers could prioritise wrapping higher-yielding </w:t>
      </w:r>
      <w:r w:rsidR="00680530">
        <w:t xml:space="preserve">funds within the ISA to help minimise the risk of a tax </w:t>
      </w:r>
      <w:r w:rsidR="00F82AC9">
        <w:t>liability.</w:t>
      </w:r>
      <w:r w:rsidR="00985C9A">
        <w:t xml:space="preserve"> </w:t>
      </w:r>
      <w:r w:rsidR="00F82AC9">
        <w:t xml:space="preserve">Furthermore, with such a generous CGT annual exemption, </w:t>
      </w:r>
      <w:r w:rsidR="00104151">
        <w:t xml:space="preserve">it was unlikely that </w:t>
      </w:r>
      <w:r w:rsidR="00F83B7D">
        <w:t xml:space="preserve">any of the £20,000 bed and ISA </w:t>
      </w:r>
      <w:r w:rsidR="009D5527">
        <w:t>transactions would result in gains falling outside it.</w:t>
      </w:r>
    </w:p>
    <w:p w14:paraId="5A16E3E0" w14:textId="77777777" w:rsidR="005B7C7A" w:rsidRDefault="005B7C7A" w:rsidP="00AA5FD4"/>
    <w:p w14:paraId="77CF78CB" w14:textId="5CE27BF6" w:rsidR="007E26E4" w:rsidRDefault="00985C9A" w:rsidP="00AA5FD4">
      <w:r>
        <w:t xml:space="preserve">However, from 2023/24, this is no longer the case and Advisers are going to have to think </w:t>
      </w:r>
      <w:r w:rsidR="00857148">
        <w:t>much more ‘outside the box’. Possible workarounds include:</w:t>
      </w:r>
    </w:p>
    <w:p w14:paraId="37E377BB" w14:textId="77777777" w:rsidR="00857148" w:rsidRDefault="00857148" w:rsidP="00AA5FD4"/>
    <w:p w14:paraId="208E9243" w14:textId="6538E0DB" w:rsidR="00857148" w:rsidRDefault="001A5639" w:rsidP="005B1C66">
      <w:pPr>
        <w:pStyle w:val="ListParagraph"/>
        <w:numPr>
          <w:ilvl w:val="0"/>
          <w:numId w:val="2"/>
        </w:numPr>
      </w:pPr>
      <w:r>
        <w:t>Considering whether to sell down £20,000 each year</w:t>
      </w:r>
      <w:r w:rsidR="00377C6C">
        <w:t xml:space="preserve"> to fund the ISA in full</w:t>
      </w:r>
      <w:r>
        <w:t>, or less to</w:t>
      </w:r>
      <w:r w:rsidR="0041625F">
        <w:t xml:space="preserve"> </w:t>
      </w:r>
      <w:r w:rsidR="00377C6C">
        <w:t>part-</w:t>
      </w:r>
      <w:r w:rsidR="0041625F">
        <w:t>fund the ISA</w:t>
      </w:r>
      <w:r w:rsidR="00377C6C">
        <w:t xml:space="preserve"> if </w:t>
      </w:r>
      <w:r w:rsidR="00394118">
        <w:t>it could cause an unacceptable/avoidable liability to CGT</w:t>
      </w:r>
      <w:r w:rsidR="0041625F">
        <w:t xml:space="preserve">. It may well be that </w:t>
      </w:r>
      <w:r w:rsidR="00DF677E">
        <w:t>a full</w:t>
      </w:r>
      <w:r w:rsidR="00A244C8">
        <w:t xml:space="preserve"> written and numerical</w:t>
      </w:r>
      <w:r w:rsidR="00DF677E">
        <w:t xml:space="preserve"> analysis (based on the </w:t>
      </w:r>
      <w:r w:rsidR="00F55FF1">
        <w:t>fund’s income yield</w:t>
      </w:r>
      <w:r w:rsidR="00394118">
        <w:t>,</w:t>
      </w:r>
      <w:r w:rsidR="00F55FF1">
        <w:t xml:space="preserve"> growth</w:t>
      </w:r>
      <w:r w:rsidR="00394118">
        <w:t xml:space="preserve">, and potential for a </w:t>
      </w:r>
      <w:r w:rsidR="00A244C8">
        <w:t xml:space="preserve">future </w:t>
      </w:r>
      <w:r w:rsidR="00394118">
        <w:t xml:space="preserve">reduction in the </w:t>
      </w:r>
      <w:r w:rsidR="00A244C8">
        <w:t>ISA allowance</w:t>
      </w:r>
      <w:r w:rsidR="00F55FF1">
        <w:t>)</w:t>
      </w:r>
      <w:r w:rsidR="00DF677E">
        <w:t xml:space="preserve"> is needed each year to determine </w:t>
      </w:r>
      <w:r w:rsidR="002F4038">
        <w:t>the optimal amount to surrender</w:t>
      </w:r>
      <w:r w:rsidR="00A244C8">
        <w:t xml:space="preserve"> to fund the ISA</w:t>
      </w:r>
      <w:r w:rsidR="002F4038">
        <w:t>.</w:t>
      </w:r>
    </w:p>
    <w:p w14:paraId="2AF98E53" w14:textId="5B23472B" w:rsidR="0057480F" w:rsidRDefault="007972C5" w:rsidP="005B1C66">
      <w:pPr>
        <w:pStyle w:val="ListParagraph"/>
        <w:numPr>
          <w:ilvl w:val="0"/>
          <w:numId w:val="2"/>
        </w:numPr>
      </w:pPr>
      <w:r>
        <w:t xml:space="preserve">Using advised portfolios of single-sector funds, which provides Advisers the flexibility </w:t>
      </w:r>
      <w:r w:rsidR="00634722">
        <w:t>to determine which asset classes to wrap in the ISA first. For example, higher-risk assets more likely to yield high dividends or produc</w:t>
      </w:r>
      <w:r w:rsidR="005F201F">
        <w:t>e strong growth.</w:t>
      </w:r>
    </w:p>
    <w:p w14:paraId="609187D9" w14:textId="5FEACFAC" w:rsidR="005F201F" w:rsidRDefault="005F201F" w:rsidP="005B1C66">
      <w:pPr>
        <w:pStyle w:val="ListParagraph"/>
        <w:numPr>
          <w:ilvl w:val="0"/>
          <w:numId w:val="2"/>
        </w:numPr>
      </w:pPr>
      <w:r>
        <w:t xml:space="preserve">Consider balancing growth and income funds. </w:t>
      </w:r>
      <w:r w:rsidR="000A66B5">
        <w:t>Growth funds are likely to produce a low dividend yield but strong growth which coul</w:t>
      </w:r>
      <w:r w:rsidR="00A61DFF">
        <w:t xml:space="preserve">d quickly use up </w:t>
      </w:r>
      <w:r w:rsidR="00C83014">
        <w:t>the</w:t>
      </w:r>
      <w:r w:rsidR="00A61DFF">
        <w:t xml:space="preserve"> lower CGT allowance, whereas income funds are likely to </w:t>
      </w:r>
      <w:r w:rsidR="00C83014">
        <w:t xml:space="preserve">produce a high dividend yield with lower growth, which could quickly use up the lower </w:t>
      </w:r>
      <w:r w:rsidR="005C5258">
        <w:t>dividend allowance.</w:t>
      </w:r>
    </w:p>
    <w:p w14:paraId="363255CB" w14:textId="36AC0859" w:rsidR="005C5258" w:rsidRDefault="005C5258" w:rsidP="005B1C66">
      <w:pPr>
        <w:pStyle w:val="ListParagraph"/>
        <w:numPr>
          <w:ilvl w:val="0"/>
          <w:numId w:val="2"/>
        </w:numPr>
      </w:pPr>
      <w:r>
        <w:t>Consider using alternative tax wrappers, such as pensions and investment bonds.</w:t>
      </w:r>
    </w:p>
    <w:p w14:paraId="5AD3232A" w14:textId="77777777" w:rsidR="00201024" w:rsidRDefault="00201024" w:rsidP="00AA5FD4"/>
    <w:p w14:paraId="3EF45418" w14:textId="7AF92AE0" w:rsidR="00661243" w:rsidRPr="00601A9F" w:rsidRDefault="00661243" w:rsidP="00661243">
      <w:pPr>
        <w:pBdr>
          <w:top w:val="single" w:sz="4" w:space="1" w:color="auto"/>
          <w:left w:val="single" w:sz="4" w:space="4" w:color="auto"/>
          <w:bottom w:val="single" w:sz="4" w:space="1" w:color="auto"/>
          <w:right w:val="single" w:sz="4" w:space="4" w:color="auto"/>
        </w:pBdr>
        <w:rPr>
          <w:b/>
          <w:bCs/>
        </w:rPr>
      </w:pPr>
      <w:r w:rsidRPr="00601A9F">
        <w:rPr>
          <w:b/>
          <w:bCs/>
        </w:rPr>
        <w:t xml:space="preserve">The Holborn </w:t>
      </w:r>
      <w:r w:rsidR="00601A9F" w:rsidRPr="00601A9F">
        <w:rPr>
          <w:b/>
          <w:bCs/>
        </w:rPr>
        <w:t>Cash ISA</w:t>
      </w:r>
      <w:r w:rsidR="006D09CE">
        <w:rPr>
          <w:b/>
          <w:bCs/>
        </w:rPr>
        <w:t xml:space="preserve"> </w:t>
      </w:r>
      <w:r w:rsidR="004902F8">
        <w:rPr>
          <w:b/>
          <w:bCs/>
        </w:rPr>
        <w:t>Cleverness</w:t>
      </w:r>
    </w:p>
    <w:p w14:paraId="08687753" w14:textId="77777777" w:rsidR="00601A9F" w:rsidRDefault="00601A9F" w:rsidP="00661243">
      <w:pPr>
        <w:pBdr>
          <w:top w:val="single" w:sz="4" w:space="1" w:color="auto"/>
          <w:left w:val="single" w:sz="4" w:space="4" w:color="auto"/>
          <w:bottom w:val="single" w:sz="4" w:space="1" w:color="auto"/>
          <w:right w:val="single" w:sz="4" w:space="4" w:color="auto"/>
        </w:pBdr>
      </w:pPr>
    </w:p>
    <w:p w14:paraId="322AEEB8" w14:textId="7B5D2F60" w:rsidR="00601A9F" w:rsidRDefault="00601A9F" w:rsidP="00661243">
      <w:pPr>
        <w:pBdr>
          <w:top w:val="single" w:sz="4" w:space="1" w:color="auto"/>
          <w:left w:val="single" w:sz="4" w:space="4" w:color="auto"/>
          <w:bottom w:val="single" w:sz="4" w:space="1" w:color="auto"/>
          <w:right w:val="single" w:sz="4" w:space="4" w:color="auto"/>
        </w:pBdr>
      </w:pPr>
      <w:r>
        <w:t>The Team at financial planning firm Holborn Assets</w:t>
      </w:r>
      <w:r w:rsidR="006D09CE">
        <w:t xml:space="preserve"> came up with a clever tax planning strategy </w:t>
      </w:r>
      <w:r w:rsidR="004902F8">
        <w:t>for clients with existing cash ISA money that they didn’t want touched, and new money requiring investment advice.</w:t>
      </w:r>
      <w:r w:rsidR="000224BF">
        <w:t xml:space="preserve"> It involves </w:t>
      </w:r>
      <w:r w:rsidR="00DB26F8">
        <w:t>replacing the cash ISA with a deposit account, and the effect is to wrap investments within the ISA much more quickly. Again, it’s best explained with an example.</w:t>
      </w:r>
    </w:p>
    <w:p w14:paraId="49842234" w14:textId="77777777" w:rsidR="004902F8" w:rsidRDefault="004902F8" w:rsidP="00661243">
      <w:pPr>
        <w:pBdr>
          <w:top w:val="single" w:sz="4" w:space="1" w:color="auto"/>
          <w:left w:val="single" w:sz="4" w:space="4" w:color="auto"/>
          <w:bottom w:val="single" w:sz="4" w:space="1" w:color="auto"/>
          <w:right w:val="single" w:sz="4" w:space="4" w:color="auto"/>
        </w:pBdr>
      </w:pPr>
    </w:p>
    <w:p w14:paraId="3CF3960D" w14:textId="59085CD9" w:rsidR="00DB26F8" w:rsidRDefault="00DD7B18" w:rsidP="00661243">
      <w:pPr>
        <w:pBdr>
          <w:top w:val="single" w:sz="4" w:space="1" w:color="auto"/>
          <w:left w:val="single" w:sz="4" w:space="4" w:color="auto"/>
          <w:bottom w:val="single" w:sz="4" w:space="1" w:color="auto"/>
          <w:right w:val="single" w:sz="4" w:space="4" w:color="auto"/>
        </w:pBdr>
      </w:pPr>
      <w:r>
        <w:lastRenderedPageBreak/>
        <w:t>Harriet</w:t>
      </w:r>
      <w:r w:rsidR="00717675">
        <w:t>, a basic-rate taxpayer,</w:t>
      </w:r>
      <w:r>
        <w:t xml:space="preserve"> has a</w:t>
      </w:r>
      <w:r w:rsidR="00D3522D">
        <w:t>n existing</w:t>
      </w:r>
      <w:r>
        <w:t xml:space="preserve"> cash ISA of £25,000 and </w:t>
      </w:r>
      <w:r w:rsidR="000B0BA9">
        <w:t xml:space="preserve">a recent inheritance of £100,000. The cash ISA money is an emergency fund/cash savings account </w:t>
      </w:r>
      <w:r w:rsidR="00C176E8">
        <w:t>on which she is not requesting investment advice. However, she is requesting investment advice for the £100,000 inheritance.</w:t>
      </w:r>
    </w:p>
    <w:p w14:paraId="7FE079DA" w14:textId="77777777" w:rsidR="00C176E8" w:rsidRDefault="00C176E8" w:rsidP="00661243">
      <w:pPr>
        <w:pBdr>
          <w:top w:val="single" w:sz="4" w:space="1" w:color="auto"/>
          <w:left w:val="single" w:sz="4" w:space="4" w:color="auto"/>
          <w:bottom w:val="single" w:sz="4" w:space="1" w:color="auto"/>
          <w:right w:val="single" w:sz="4" w:space="4" w:color="auto"/>
        </w:pBdr>
      </w:pPr>
    </w:p>
    <w:p w14:paraId="1F5847F3" w14:textId="37D3116D" w:rsidR="00EB73A5" w:rsidRDefault="00C176E8" w:rsidP="00661243">
      <w:pPr>
        <w:pBdr>
          <w:top w:val="single" w:sz="4" w:space="1" w:color="auto"/>
          <w:left w:val="single" w:sz="4" w:space="4" w:color="auto"/>
          <w:bottom w:val="single" w:sz="4" w:space="1" w:color="auto"/>
          <w:right w:val="single" w:sz="4" w:space="4" w:color="auto"/>
        </w:pBdr>
      </w:pPr>
      <w:r>
        <w:t xml:space="preserve">Her Adviser recommends that she </w:t>
      </w:r>
      <w:r w:rsidR="00D3522D">
        <w:t>transfer the £25,000 ISA into a stocks and shares ISA</w:t>
      </w:r>
      <w:r w:rsidR="00EB73A5">
        <w:t xml:space="preserve">. The money is then used to purchase investment funds. The cash ISA is replaced by £25,000 of the </w:t>
      </w:r>
      <w:r w:rsidR="00717675">
        <w:t>inheritance money within an ordinary instant-access savings account</w:t>
      </w:r>
      <w:r w:rsidR="004E3F3C">
        <w:t xml:space="preserve"> with a </w:t>
      </w:r>
      <w:r w:rsidR="003C4FB8">
        <w:t>3</w:t>
      </w:r>
      <w:r w:rsidR="004E3F3C">
        <w:t xml:space="preserve">% interest rate. The </w:t>
      </w:r>
      <w:r w:rsidR="00197629">
        <w:t>3</w:t>
      </w:r>
      <w:r w:rsidR="004E3F3C">
        <w:t>% interest is £</w:t>
      </w:r>
      <w:r w:rsidR="00197629">
        <w:t>750</w:t>
      </w:r>
      <w:r w:rsidR="004E3F3C">
        <w:t xml:space="preserve">, </w:t>
      </w:r>
      <w:r w:rsidR="003C4FB8">
        <w:t>which is within her PSA.</w:t>
      </w:r>
    </w:p>
    <w:p w14:paraId="23581A72" w14:textId="77777777" w:rsidR="004902F8" w:rsidRDefault="004902F8" w:rsidP="00661243">
      <w:pPr>
        <w:pBdr>
          <w:top w:val="single" w:sz="4" w:space="1" w:color="auto"/>
          <w:left w:val="single" w:sz="4" w:space="4" w:color="auto"/>
          <w:bottom w:val="single" w:sz="4" w:space="1" w:color="auto"/>
          <w:right w:val="single" w:sz="4" w:space="4" w:color="auto"/>
        </w:pBdr>
      </w:pPr>
    </w:p>
    <w:p w14:paraId="4E98E6ED" w14:textId="2CFCF69D" w:rsidR="003C4FB8" w:rsidRDefault="00197629" w:rsidP="00661243">
      <w:pPr>
        <w:pBdr>
          <w:top w:val="single" w:sz="4" w:space="1" w:color="auto"/>
          <w:left w:val="single" w:sz="4" w:space="4" w:color="auto"/>
          <w:bottom w:val="single" w:sz="4" w:space="1" w:color="auto"/>
          <w:right w:val="single" w:sz="4" w:space="4" w:color="auto"/>
        </w:pBdr>
      </w:pPr>
      <w:r>
        <w:t>The Adviser then recommends a further £20,000 contribution into the ISA</w:t>
      </w:r>
      <w:r w:rsidR="00D7000A">
        <w:t xml:space="preserve"> to use this tax year’s ISA allowance in full, with the remain</w:t>
      </w:r>
      <w:r w:rsidR="00432CC1">
        <w:t>ing £</w:t>
      </w:r>
      <w:r w:rsidR="00871940">
        <w:t>55,000 of the Inheritance</w:t>
      </w:r>
      <w:r w:rsidR="00D7000A">
        <w:t xml:space="preserve"> being invested into a</w:t>
      </w:r>
      <w:r w:rsidR="00432CC1">
        <w:t xml:space="preserve"> GIA</w:t>
      </w:r>
      <w:r w:rsidR="006112B4">
        <w:t>, into dividend-paying multi-asset collectives</w:t>
      </w:r>
      <w:r w:rsidR="00432CC1">
        <w:t>.</w:t>
      </w:r>
    </w:p>
    <w:p w14:paraId="2120BB8C" w14:textId="77777777" w:rsidR="00601A9F" w:rsidRDefault="00601A9F" w:rsidP="00661243">
      <w:pPr>
        <w:pBdr>
          <w:top w:val="single" w:sz="4" w:space="1" w:color="auto"/>
          <w:left w:val="single" w:sz="4" w:space="4" w:color="auto"/>
          <w:bottom w:val="single" w:sz="4" w:space="1" w:color="auto"/>
          <w:right w:val="single" w:sz="4" w:space="4" w:color="auto"/>
        </w:pBdr>
      </w:pPr>
    </w:p>
    <w:p w14:paraId="2D46E03A" w14:textId="7B26078F" w:rsidR="00601A9F" w:rsidRPr="00651AD3" w:rsidRDefault="00871940" w:rsidP="00661243">
      <w:pPr>
        <w:pBdr>
          <w:top w:val="single" w:sz="4" w:space="1" w:color="auto"/>
          <w:left w:val="single" w:sz="4" w:space="4" w:color="auto"/>
          <w:bottom w:val="single" w:sz="4" w:space="1" w:color="auto"/>
          <w:right w:val="single" w:sz="4" w:space="4" w:color="auto"/>
        </w:pBdr>
        <w:rPr>
          <w:u w:val="single"/>
        </w:rPr>
      </w:pPr>
      <w:r w:rsidRPr="00651AD3">
        <w:rPr>
          <w:u w:val="single"/>
        </w:rPr>
        <w:t>The result is as follows:</w:t>
      </w:r>
    </w:p>
    <w:p w14:paraId="1B642DEF" w14:textId="51624135" w:rsidR="00871940" w:rsidRDefault="00871940" w:rsidP="00661243">
      <w:pPr>
        <w:pBdr>
          <w:top w:val="single" w:sz="4" w:space="1" w:color="auto"/>
          <w:left w:val="single" w:sz="4" w:space="4" w:color="auto"/>
          <w:bottom w:val="single" w:sz="4" w:space="1" w:color="auto"/>
          <w:right w:val="single" w:sz="4" w:space="4" w:color="auto"/>
        </w:pBdr>
      </w:pPr>
      <w:r>
        <w:t xml:space="preserve">1. Harriet </w:t>
      </w:r>
      <w:r w:rsidR="00613D11">
        <w:t xml:space="preserve">still </w:t>
      </w:r>
      <w:r>
        <w:t xml:space="preserve">has </w:t>
      </w:r>
      <w:r w:rsidR="00613D11">
        <w:t xml:space="preserve">her cash savings of £25,000, and she’s still not paying any tax on </w:t>
      </w:r>
      <w:r w:rsidR="006112B4">
        <w:t>her income</w:t>
      </w:r>
      <w:r w:rsidR="00613D11">
        <w:t>.</w:t>
      </w:r>
    </w:p>
    <w:p w14:paraId="7DFE60D5" w14:textId="37E2BFF8" w:rsidR="00613D11" w:rsidRDefault="006112B4" w:rsidP="00661243">
      <w:pPr>
        <w:pBdr>
          <w:top w:val="single" w:sz="4" w:space="1" w:color="auto"/>
          <w:left w:val="single" w:sz="4" w:space="4" w:color="auto"/>
          <w:bottom w:val="single" w:sz="4" w:space="1" w:color="auto"/>
          <w:right w:val="single" w:sz="4" w:space="4" w:color="auto"/>
        </w:pBdr>
      </w:pPr>
      <w:r>
        <w:t xml:space="preserve">2. Harriet has £45,000 of her </w:t>
      </w:r>
      <w:r w:rsidR="007E30D0">
        <w:t>inheritance immediately wrapped in her stocks and shares ISA, as opposed to just £20,000.</w:t>
      </w:r>
    </w:p>
    <w:p w14:paraId="17283A88" w14:textId="42D90360" w:rsidR="00871940" w:rsidRDefault="007E30D0" w:rsidP="00661243">
      <w:pPr>
        <w:pBdr>
          <w:top w:val="single" w:sz="4" w:space="1" w:color="auto"/>
          <w:left w:val="single" w:sz="4" w:space="4" w:color="auto"/>
          <w:bottom w:val="single" w:sz="4" w:space="1" w:color="auto"/>
          <w:right w:val="single" w:sz="4" w:space="4" w:color="auto"/>
        </w:pBdr>
      </w:pPr>
      <w:r>
        <w:t xml:space="preserve">3. The remaining £55,000 </w:t>
      </w:r>
      <w:r w:rsidR="00592051">
        <w:t>in the GIA is potentially low enough to avoid breaching the dividend allowance</w:t>
      </w:r>
      <w:r w:rsidR="00651AD3">
        <w:t xml:space="preserve"> and CGT annual exemptions over the coming years, especially when combined with the Wicks ISA Strategy.</w:t>
      </w:r>
    </w:p>
    <w:p w14:paraId="6E56133F" w14:textId="77777777" w:rsidR="00E06C12" w:rsidRDefault="00E06C12" w:rsidP="00661243">
      <w:pPr>
        <w:pBdr>
          <w:top w:val="single" w:sz="4" w:space="1" w:color="auto"/>
          <w:left w:val="single" w:sz="4" w:space="4" w:color="auto"/>
          <w:bottom w:val="single" w:sz="4" w:space="1" w:color="auto"/>
          <w:right w:val="single" w:sz="4" w:space="4" w:color="auto"/>
        </w:pBdr>
      </w:pPr>
    </w:p>
    <w:p w14:paraId="1FDBB013" w14:textId="16BE3D55" w:rsidR="00E06C12" w:rsidRDefault="00E06C12" w:rsidP="00661243">
      <w:pPr>
        <w:pBdr>
          <w:top w:val="single" w:sz="4" w:space="1" w:color="auto"/>
          <w:left w:val="single" w:sz="4" w:space="4" w:color="auto"/>
          <w:bottom w:val="single" w:sz="4" w:space="1" w:color="auto"/>
          <w:right w:val="single" w:sz="4" w:space="4" w:color="auto"/>
        </w:pBdr>
      </w:pPr>
      <w:r>
        <w:t>Had this strategy not been used, it could have taken 2-3 years longer to wrap everything</w:t>
      </w:r>
      <w:r w:rsidR="00B84F61">
        <w:t>, exposing Harriet to increased risk of a tax liability, particularly given the reducing dividend allowance and CGT</w:t>
      </w:r>
      <w:r w:rsidR="00ED0E01">
        <w:t xml:space="preserve"> </w:t>
      </w:r>
      <w:r w:rsidR="00DC38F1">
        <w:t>annual exemption. This is very efficient use of her available allowances – real financial planning; the kind that retail clients need and for which they are prepared to pay.</w:t>
      </w:r>
    </w:p>
    <w:p w14:paraId="5A63A9DF" w14:textId="77777777" w:rsidR="00AA5FD4" w:rsidRDefault="00AA5FD4" w:rsidP="00AA5FD4"/>
    <w:p w14:paraId="41E1F8E0" w14:textId="77777777" w:rsidR="00B81768" w:rsidRDefault="00B81768" w:rsidP="00AA5FD4"/>
    <w:p w14:paraId="52CAD59D" w14:textId="277B5857" w:rsidR="002F2287" w:rsidRDefault="002F2287" w:rsidP="002F2287">
      <w:pPr>
        <w:pStyle w:val="Heading2"/>
      </w:pPr>
      <w:bookmarkStart w:id="7" w:name="_Toc187422031"/>
      <w:r>
        <w:t>Inheritance Tax</w:t>
      </w:r>
      <w:bookmarkEnd w:id="7"/>
    </w:p>
    <w:p w14:paraId="74E4ABD3" w14:textId="77777777" w:rsidR="00B81768" w:rsidRDefault="00B81768" w:rsidP="00AA5FD4"/>
    <w:p w14:paraId="71A23584" w14:textId="4E41F3B5" w:rsidR="00F548F3" w:rsidRDefault="00CD79C8" w:rsidP="00556D11">
      <w:r>
        <w:t>The</w:t>
      </w:r>
      <w:r w:rsidR="00F548F3">
        <w:t xml:space="preserve"> Inheritance Tax</w:t>
      </w:r>
      <w:r>
        <w:t xml:space="preserve"> </w:t>
      </w:r>
      <w:r w:rsidR="00F548F3">
        <w:t>(</w:t>
      </w:r>
      <w:r>
        <w:t>IHT</w:t>
      </w:r>
      <w:r w:rsidR="00F548F3">
        <w:t>)</w:t>
      </w:r>
      <w:r>
        <w:t xml:space="preserve"> </w:t>
      </w:r>
      <w:r w:rsidR="00722613">
        <w:t>N</w:t>
      </w:r>
      <w:r>
        <w:t>il-</w:t>
      </w:r>
      <w:r w:rsidR="00722613">
        <w:t>R</w:t>
      </w:r>
      <w:r>
        <w:t xml:space="preserve">ate </w:t>
      </w:r>
      <w:r w:rsidR="00722613">
        <w:t>B</w:t>
      </w:r>
      <w:r>
        <w:t>and</w:t>
      </w:r>
      <w:r w:rsidR="00722613">
        <w:t xml:space="preserve"> (NRB)</w:t>
      </w:r>
      <w:r>
        <w:t xml:space="preserve"> and R</w:t>
      </w:r>
      <w:r w:rsidR="00F548F3">
        <w:t xml:space="preserve">esidence </w:t>
      </w:r>
      <w:r>
        <w:t>N</w:t>
      </w:r>
      <w:r w:rsidR="00F548F3">
        <w:t xml:space="preserve">il-Rate </w:t>
      </w:r>
      <w:r>
        <w:t>B</w:t>
      </w:r>
      <w:r w:rsidR="00F548F3">
        <w:t>and (RNRB)</w:t>
      </w:r>
      <w:r>
        <w:t xml:space="preserve"> will remain frozen at £325,000 and £175,000 respectively until 2028/29.</w:t>
      </w:r>
    </w:p>
    <w:p w14:paraId="274B4474" w14:textId="77777777" w:rsidR="007D5CB1" w:rsidRDefault="007D5CB1" w:rsidP="00556D11"/>
    <w:p w14:paraId="16C0FE70" w14:textId="2A0CB1E8" w:rsidR="007D5CB1" w:rsidRDefault="007D5CB1" w:rsidP="00556D11">
      <w:r>
        <w:t>This is arguably another stealth tax because, over time, peoples’ investments and property are expected to increase in value</w:t>
      </w:r>
      <w:r w:rsidR="009963DE">
        <w:t xml:space="preserve">. More and more of a person’s assets are therefore likely to </w:t>
      </w:r>
      <w:r w:rsidR="00722613">
        <w:t>fall outside the NRB and RNRB</w:t>
      </w:r>
      <w:r w:rsidR="00775685">
        <w:t>, increasing the proportion of assets which are ultimately paid in tax.</w:t>
      </w:r>
    </w:p>
    <w:p w14:paraId="1F1CB12D" w14:textId="493D622E" w:rsidR="00556D11" w:rsidRDefault="00556D11" w:rsidP="00556D11"/>
    <w:p w14:paraId="52EC5840" w14:textId="581CA1F3" w:rsidR="00D40FD0" w:rsidRDefault="00775685" w:rsidP="00556D11">
      <w:r>
        <w:t xml:space="preserve">IHT is relevant to this course because </w:t>
      </w:r>
      <w:r w:rsidR="00004D53">
        <w:t xml:space="preserve">bonds can </w:t>
      </w:r>
      <w:r w:rsidR="00427DFC">
        <w:t>very easily be ass</w:t>
      </w:r>
      <w:r w:rsidR="0075624F">
        <w:t>igned into trust</w:t>
      </w:r>
      <w:r w:rsidR="00A0520C">
        <w:t xml:space="preserve"> for IHT purposes</w:t>
      </w:r>
      <w:r w:rsidR="0075624F">
        <w:t xml:space="preserve">, whereas ISAs cannot. While GIAs can be held in trust, </w:t>
      </w:r>
      <w:r w:rsidR="00A0520C">
        <w:t>they also yield income in the form of savings income or dividends</w:t>
      </w:r>
      <w:r w:rsidR="00143C93">
        <w:t xml:space="preserve">, which can </w:t>
      </w:r>
      <w:r w:rsidR="007B135F">
        <w:t>create complexity and tax-inefficiency</w:t>
      </w:r>
      <w:r w:rsidR="0017309F">
        <w:t xml:space="preserve">. Bonds continue to be more attractive for many Financial </w:t>
      </w:r>
      <w:r w:rsidR="00177A49">
        <w:t xml:space="preserve">Planners advising </w:t>
      </w:r>
      <w:r w:rsidR="00DC55FF">
        <w:t xml:space="preserve">settlors and </w:t>
      </w:r>
      <w:r w:rsidR="00177A49">
        <w:t>trustees.</w:t>
      </w:r>
    </w:p>
    <w:p w14:paraId="07DF8506" w14:textId="24FEDD8C" w:rsidR="00D40FD0" w:rsidRDefault="00D40FD0" w:rsidP="00556D11"/>
    <w:p w14:paraId="201C75D9" w14:textId="49257FEB" w:rsidR="00DC55FF" w:rsidRDefault="00DC55FF">
      <w:pPr>
        <w:spacing w:after="160"/>
      </w:pPr>
      <w:r>
        <w:br w:type="page"/>
      </w:r>
    </w:p>
    <w:p w14:paraId="3EA92E5E" w14:textId="39A4EB5C" w:rsidR="00390EDC" w:rsidRDefault="00E3267E" w:rsidP="00DC55FF">
      <w:pPr>
        <w:pStyle w:val="Heading1"/>
      </w:pPr>
      <w:bookmarkStart w:id="8" w:name="_Toc187422032"/>
      <w:r>
        <w:lastRenderedPageBreak/>
        <w:t>Top-Slicing Relief</w:t>
      </w:r>
      <w:bookmarkEnd w:id="8"/>
    </w:p>
    <w:p w14:paraId="3F9E6546" w14:textId="77777777" w:rsidR="00E3267E" w:rsidRDefault="00E3267E" w:rsidP="00E96C2A"/>
    <w:p w14:paraId="267BA6FC" w14:textId="4D7E6650" w:rsidR="00E3267E" w:rsidRDefault="00507809" w:rsidP="00E96C2A">
      <w:r>
        <w:t>The taxation of investment bonds is complex</w:t>
      </w:r>
      <w:r w:rsidR="00326BAE">
        <w:t xml:space="preserve">. However, Financial Advisers should be able to complete basic </w:t>
      </w:r>
      <w:r w:rsidR="000A689C">
        <w:t>Income Tax</w:t>
      </w:r>
      <w:r w:rsidR="00326BAE">
        <w:t xml:space="preserve"> calculations for UK and offshore investment bonds.</w:t>
      </w:r>
      <w:r w:rsidR="000A689C">
        <w:t xml:space="preserve"> That said, w</w:t>
      </w:r>
      <w:r w:rsidR="00D953CB">
        <w:t xml:space="preserve">hile taught in some professional exams, </w:t>
      </w:r>
      <w:r w:rsidR="007D7D54">
        <w:t>many Financial Advisers struggle.</w:t>
      </w:r>
      <w:r w:rsidR="000A689C">
        <w:t xml:space="preserve"> The main sticking poin</w:t>
      </w:r>
      <w:r w:rsidR="00044ABF">
        <w:t>ts are as follows:</w:t>
      </w:r>
    </w:p>
    <w:p w14:paraId="6953E342" w14:textId="77777777" w:rsidR="00044ABF" w:rsidRDefault="00044ABF" w:rsidP="00E96C2A"/>
    <w:p w14:paraId="51B47ECD" w14:textId="1786F61F" w:rsidR="00044ABF" w:rsidRDefault="00044ABF" w:rsidP="00E96C2A">
      <w:pPr>
        <w:pStyle w:val="ListParagraph"/>
        <w:numPr>
          <w:ilvl w:val="0"/>
          <w:numId w:val="4"/>
        </w:numPr>
      </w:pPr>
      <w:r>
        <w:t>Understanding how to correctly apply Top-Slicing Relief (TSR).</w:t>
      </w:r>
    </w:p>
    <w:p w14:paraId="1518CAA2" w14:textId="455EF887" w:rsidR="00044ABF" w:rsidRPr="00E3267E" w:rsidRDefault="00044ABF" w:rsidP="00E96C2A">
      <w:pPr>
        <w:pStyle w:val="ListParagraph"/>
        <w:numPr>
          <w:ilvl w:val="0"/>
          <w:numId w:val="4"/>
        </w:numPr>
      </w:pPr>
      <w:r>
        <w:t xml:space="preserve">Understanding that </w:t>
      </w:r>
      <w:r w:rsidR="008D0EDF">
        <w:t xml:space="preserve">the taxation of the investment bond needs to be established in context with the client’s other income for the year. It’s not about the taxation of the investment bond in isolation, it’s about the taxation of the client based on the bond and their other </w:t>
      </w:r>
      <w:r w:rsidR="003C32F0">
        <w:t>income</w:t>
      </w:r>
      <w:r w:rsidR="008D0EDF">
        <w:t>.</w:t>
      </w:r>
    </w:p>
    <w:p w14:paraId="701F3177" w14:textId="77B9982A" w:rsidR="00390EDC" w:rsidRDefault="00390EDC" w:rsidP="00E96C2A"/>
    <w:p w14:paraId="40387E1F" w14:textId="4897AD0E" w:rsidR="00136E39" w:rsidRDefault="003C32F0" w:rsidP="00E96C2A">
      <w:r>
        <w:t>Investment bonds are only subject to Income Tax when a “chargeable event” occurs. The</w:t>
      </w:r>
      <w:r w:rsidR="00075B12">
        <w:t xml:space="preserve">re are several, with the most common being upon full encashment of </w:t>
      </w:r>
      <w:r w:rsidR="005B1C66">
        <w:t xml:space="preserve">segments, or partial encashment </w:t>
      </w:r>
      <w:proofErr w:type="gramStart"/>
      <w:r w:rsidR="005B1C66">
        <w:t>in excess of</w:t>
      </w:r>
      <w:proofErr w:type="gramEnd"/>
      <w:r w:rsidR="005B1C66">
        <w:t xml:space="preserve"> the 5% cumulative annual withdrawal limit.</w:t>
      </w:r>
    </w:p>
    <w:p w14:paraId="3226AE1E" w14:textId="77777777" w:rsidR="00136E39" w:rsidRDefault="00136E39" w:rsidP="00E96C2A"/>
    <w:tbl>
      <w:tblPr>
        <w:tblStyle w:val="TableGrid"/>
        <w:tblW w:w="0" w:type="auto"/>
        <w:tblLook w:val="04A0" w:firstRow="1" w:lastRow="0" w:firstColumn="1" w:lastColumn="0" w:noHBand="0" w:noVBand="1"/>
      </w:tblPr>
      <w:tblGrid>
        <w:gridCol w:w="4531"/>
        <w:gridCol w:w="4819"/>
      </w:tblGrid>
      <w:tr w:rsidR="00136E39" w14:paraId="1492E7CC" w14:textId="77777777" w:rsidTr="002A1130">
        <w:tc>
          <w:tcPr>
            <w:tcW w:w="4531" w:type="dxa"/>
          </w:tcPr>
          <w:p w14:paraId="6542D4D2" w14:textId="6664ABD9" w:rsidR="00136E39" w:rsidRPr="00ED31CB" w:rsidRDefault="00286A2F" w:rsidP="00ED31CB">
            <w:pPr>
              <w:jc w:val="center"/>
              <w:rPr>
                <w:b/>
                <w:bCs/>
              </w:rPr>
            </w:pPr>
            <w:r w:rsidRPr="00ED31CB">
              <w:rPr>
                <w:b/>
                <w:bCs/>
              </w:rPr>
              <w:t>Type of Surrender</w:t>
            </w:r>
          </w:p>
        </w:tc>
        <w:tc>
          <w:tcPr>
            <w:tcW w:w="4819" w:type="dxa"/>
          </w:tcPr>
          <w:p w14:paraId="4FEB651D" w14:textId="1302409D" w:rsidR="00136E39" w:rsidRPr="00ED31CB" w:rsidRDefault="00286A2F" w:rsidP="00ED31CB">
            <w:pPr>
              <w:jc w:val="center"/>
              <w:rPr>
                <w:b/>
                <w:bCs/>
              </w:rPr>
            </w:pPr>
            <w:r w:rsidRPr="00ED31CB">
              <w:rPr>
                <w:b/>
                <w:bCs/>
              </w:rPr>
              <w:t>Chargeable Gain</w:t>
            </w:r>
          </w:p>
        </w:tc>
      </w:tr>
      <w:tr w:rsidR="00136E39" w14:paraId="62864DE2" w14:textId="77777777" w:rsidTr="002A1130">
        <w:tc>
          <w:tcPr>
            <w:tcW w:w="4531" w:type="dxa"/>
          </w:tcPr>
          <w:p w14:paraId="21334A98" w14:textId="73EB15D3" w:rsidR="00136E39" w:rsidRDefault="00286A2F" w:rsidP="0053195A">
            <w:r>
              <w:t>Full segment</w:t>
            </w:r>
          </w:p>
        </w:tc>
        <w:tc>
          <w:tcPr>
            <w:tcW w:w="4819" w:type="dxa"/>
          </w:tcPr>
          <w:p w14:paraId="47C16D2E" w14:textId="243326BB" w:rsidR="00136E39" w:rsidRDefault="002A1130" w:rsidP="0053195A">
            <w:r>
              <w:t>The actual investment gain on the segment(s).</w:t>
            </w:r>
          </w:p>
        </w:tc>
      </w:tr>
      <w:tr w:rsidR="00136E39" w14:paraId="52F5AF32" w14:textId="77777777" w:rsidTr="002A1130">
        <w:tc>
          <w:tcPr>
            <w:tcW w:w="4531" w:type="dxa"/>
          </w:tcPr>
          <w:p w14:paraId="5566BE94" w14:textId="4C9A48AE" w:rsidR="00136E39" w:rsidRDefault="00286A2F" w:rsidP="0053195A">
            <w:r>
              <w:t xml:space="preserve">Partial (across the top of all segments) </w:t>
            </w:r>
            <w:proofErr w:type="gramStart"/>
            <w:r>
              <w:t>in excess of</w:t>
            </w:r>
            <w:proofErr w:type="gramEnd"/>
            <w:r>
              <w:t xml:space="preserve"> the 5% cumulative annual withdrawal limit</w:t>
            </w:r>
          </w:p>
        </w:tc>
        <w:tc>
          <w:tcPr>
            <w:tcW w:w="4819" w:type="dxa"/>
          </w:tcPr>
          <w:p w14:paraId="61AA07AF" w14:textId="53018E0B" w:rsidR="00136E39" w:rsidRDefault="00FF7DC4" w:rsidP="0053195A">
            <w:r>
              <w:t xml:space="preserve">The full amount of the excess over the 5% cumulative annual withdrawal limit, which may </w:t>
            </w:r>
            <w:r w:rsidR="00ED31CB">
              <w:t>mean that the client needs to pay tax on their original capital.</w:t>
            </w:r>
          </w:p>
        </w:tc>
      </w:tr>
    </w:tbl>
    <w:p w14:paraId="6177A143" w14:textId="77777777" w:rsidR="00275A41" w:rsidRDefault="00275A41" w:rsidP="00E96C2A"/>
    <w:p w14:paraId="74368F14" w14:textId="77777777" w:rsidR="00D87CA7" w:rsidRDefault="00D87CA7" w:rsidP="00E96C2A"/>
    <w:p w14:paraId="57423577" w14:textId="3563906A" w:rsidR="00D87CA7" w:rsidRDefault="00AC271E" w:rsidP="00D87CA7">
      <w:pPr>
        <w:pStyle w:val="Heading2"/>
      </w:pPr>
      <w:bookmarkStart w:id="9" w:name="_Toc187422033"/>
      <w:r>
        <w:t xml:space="preserve">Bond </w:t>
      </w:r>
      <w:r w:rsidR="00D87CA7">
        <w:t>Segmentation</w:t>
      </w:r>
      <w:bookmarkEnd w:id="9"/>
    </w:p>
    <w:p w14:paraId="02F8E7F9" w14:textId="77777777" w:rsidR="00D87CA7" w:rsidRDefault="00D87CA7" w:rsidP="00D87CA7"/>
    <w:p w14:paraId="1364B5B9" w14:textId="77777777" w:rsidR="00AC271E" w:rsidRDefault="00275A41" w:rsidP="00D87CA7">
      <w:r>
        <w:t xml:space="preserve">Most investment bonds are not single </w:t>
      </w:r>
      <w:r w:rsidR="00DA1A0D">
        <w:t xml:space="preserve">life assurance </w:t>
      </w:r>
      <w:r>
        <w:t>policies but made up of</w:t>
      </w:r>
      <w:r w:rsidR="00D801D1">
        <w:t xml:space="preserve"> clusters of smaller individual life assurance policies. Each of these smaller policies within the cluster are called</w:t>
      </w:r>
      <w:r>
        <w:t xml:space="preserve"> </w:t>
      </w:r>
      <w:r w:rsidR="00DA1A0D" w:rsidRPr="00DA1A0D">
        <w:rPr>
          <w:b/>
          <w:bCs/>
        </w:rPr>
        <w:t>segments</w:t>
      </w:r>
      <w:r w:rsidR="00DA1A0D">
        <w:t>.</w:t>
      </w:r>
    </w:p>
    <w:p w14:paraId="1B9F1590" w14:textId="77777777" w:rsidR="00AC271E" w:rsidRDefault="00AC271E" w:rsidP="00D87CA7"/>
    <w:p w14:paraId="31B13137" w14:textId="132E7BCF" w:rsidR="00623E4D" w:rsidRDefault="00623E4D" w:rsidP="00D87CA7">
      <w:r>
        <w:t xml:space="preserve">The overall bond (made up of the cluster of segments) is allocated a policy number, e.g., A123456. Then, </w:t>
      </w:r>
      <w:r w:rsidR="00B56D02">
        <w:t xml:space="preserve">each segment is identifiable via its own policy number. A simple </w:t>
      </w:r>
      <w:r w:rsidR="00CD09D5">
        <w:t>investment bond consisting of 10 segments would be structured as follows:</w:t>
      </w:r>
    </w:p>
    <w:p w14:paraId="3FCB0DD0" w14:textId="77777777" w:rsidR="0070037D" w:rsidRDefault="0070037D" w:rsidP="0070037D"/>
    <w:p w14:paraId="508D94B5" w14:textId="77ABF6E6" w:rsidR="00CD09D5" w:rsidRDefault="00A06D63" w:rsidP="00A06D63">
      <w:pPr>
        <w:jc w:val="center"/>
      </w:pPr>
      <w:r>
        <w:t>A123456-001</w:t>
      </w:r>
    </w:p>
    <w:p w14:paraId="197E6C5B" w14:textId="372D3D05" w:rsidR="00A06D63" w:rsidRDefault="00A06D63" w:rsidP="00A06D63">
      <w:pPr>
        <w:jc w:val="center"/>
      </w:pPr>
      <w:r>
        <w:t>A123456-002</w:t>
      </w:r>
    </w:p>
    <w:p w14:paraId="5D8AAEF3" w14:textId="3931EB59" w:rsidR="00A06D63" w:rsidRDefault="00A06D63" w:rsidP="00A06D63">
      <w:pPr>
        <w:jc w:val="center"/>
      </w:pPr>
      <w:r>
        <w:t>A123456-003</w:t>
      </w:r>
    </w:p>
    <w:p w14:paraId="727EA188" w14:textId="6C705349" w:rsidR="00A06D63" w:rsidRDefault="00A06D63" w:rsidP="00A06D63">
      <w:pPr>
        <w:jc w:val="center"/>
      </w:pPr>
      <w:r>
        <w:t>A123456-004</w:t>
      </w:r>
    </w:p>
    <w:p w14:paraId="6CB18FE1" w14:textId="7DB9941F" w:rsidR="00A06D63" w:rsidRDefault="00A06D63" w:rsidP="00A06D63">
      <w:pPr>
        <w:jc w:val="center"/>
      </w:pPr>
      <w:r>
        <w:t>A123456-005</w:t>
      </w:r>
    </w:p>
    <w:p w14:paraId="09C86BDF" w14:textId="3457E80B" w:rsidR="00A06D63" w:rsidRDefault="00A06D63" w:rsidP="00A06D63">
      <w:pPr>
        <w:jc w:val="center"/>
      </w:pPr>
      <w:r>
        <w:t>A123456-006</w:t>
      </w:r>
    </w:p>
    <w:p w14:paraId="4BBB4C96" w14:textId="2DB7CCFE" w:rsidR="00A06D63" w:rsidRDefault="00A06D63" w:rsidP="00A06D63">
      <w:pPr>
        <w:jc w:val="center"/>
      </w:pPr>
      <w:r>
        <w:t>A123456-007</w:t>
      </w:r>
    </w:p>
    <w:p w14:paraId="24BA53C3" w14:textId="551AC502" w:rsidR="00A06D63" w:rsidRDefault="00A06D63" w:rsidP="00A06D63">
      <w:pPr>
        <w:jc w:val="center"/>
      </w:pPr>
      <w:r>
        <w:t>A123456-008</w:t>
      </w:r>
    </w:p>
    <w:p w14:paraId="086EB3C0" w14:textId="769ADDF6" w:rsidR="00A06D63" w:rsidRDefault="00A06D63" w:rsidP="00A06D63">
      <w:pPr>
        <w:jc w:val="center"/>
      </w:pPr>
      <w:r>
        <w:t>A123456-009</w:t>
      </w:r>
    </w:p>
    <w:p w14:paraId="09E5A373" w14:textId="75C90E99" w:rsidR="00A06D63" w:rsidRDefault="00A06D63" w:rsidP="00A06D63">
      <w:pPr>
        <w:jc w:val="center"/>
      </w:pPr>
      <w:r>
        <w:lastRenderedPageBreak/>
        <w:t>A123456-010</w:t>
      </w:r>
    </w:p>
    <w:p w14:paraId="7A24B71F" w14:textId="77777777" w:rsidR="00A06D63" w:rsidRDefault="00A06D63" w:rsidP="00D87CA7"/>
    <w:p w14:paraId="58E2081D" w14:textId="3DA63480" w:rsidR="000E3837" w:rsidRDefault="00263DCC" w:rsidP="00D87CA7">
      <w:r>
        <w:t xml:space="preserve">Writing investment bonds in segments provides additional flexibility for tax planning, because </w:t>
      </w:r>
      <w:r w:rsidR="00AB5B02">
        <w:t>where a</w:t>
      </w:r>
      <w:r w:rsidR="00204E07">
        <w:t xml:space="preserve"> large</w:t>
      </w:r>
      <w:r w:rsidR="00AB5B02">
        <w:t xml:space="preserve"> partial withdrawal is required, and the client has not </w:t>
      </w:r>
      <w:r w:rsidR="00204E07">
        <w:t xml:space="preserve">yet </w:t>
      </w:r>
      <w:r w:rsidR="00AB5B02">
        <w:t xml:space="preserve">built up </w:t>
      </w:r>
      <w:r w:rsidR="000A0411">
        <w:t xml:space="preserve">an </w:t>
      </w:r>
      <w:r w:rsidR="00AB5B02">
        <w:t>adequate 5% cumulative annual withdrawal</w:t>
      </w:r>
      <w:r w:rsidR="000A0411">
        <w:t xml:space="preserve"> l</w:t>
      </w:r>
      <w:r w:rsidR="000E3837">
        <w:t>imit</w:t>
      </w:r>
      <w:r w:rsidR="000A0411">
        <w:t xml:space="preserve"> to facilitate the withdrawal, the client can simply encash full segments</w:t>
      </w:r>
      <w:r w:rsidR="000E3837">
        <w:t xml:space="preserve"> and pay tax on the true gain on the surrendered segments rather than the excess over the 5% limit</w:t>
      </w:r>
      <w:r w:rsidR="00204E07">
        <w:t>.</w:t>
      </w:r>
    </w:p>
    <w:p w14:paraId="78B74E05" w14:textId="77777777" w:rsidR="008D3B89" w:rsidRDefault="008D3B89" w:rsidP="00D87CA7"/>
    <w:p w14:paraId="46ACFF65" w14:textId="26DED831" w:rsidR="008D3B89" w:rsidRDefault="008D3B89" w:rsidP="00D87CA7">
      <w:r>
        <w:t xml:space="preserve">In the example above, if the client wanted to take half their money out, they could simply encash </w:t>
      </w:r>
      <w:r w:rsidR="0070037D">
        <w:t>segments A123456-001 through to A123456-005.</w:t>
      </w:r>
    </w:p>
    <w:p w14:paraId="3E6EA62C" w14:textId="77777777" w:rsidR="00F84ADF" w:rsidRDefault="00F84ADF" w:rsidP="00D87CA7"/>
    <w:p w14:paraId="516A212E" w14:textId="6FE1D8B5" w:rsidR="00E96C2A" w:rsidRDefault="00F84ADF" w:rsidP="00D87CA7">
      <w:r>
        <w:t>There</w:t>
      </w:r>
      <w:r w:rsidR="007E4C96">
        <w:t xml:space="preserve"> </w:t>
      </w:r>
      <w:r w:rsidR="00394B90">
        <w:t>aren’</w:t>
      </w:r>
      <w:r>
        <w:t xml:space="preserve">t really any </w:t>
      </w:r>
      <w:r w:rsidR="00394B90">
        <w:t xml:space="preserve">tangible </w:t>
      </w:r>
      <w:r>
        <w:t>disadvantages to segment</w:t>
      </w:r>
      <w:r w:rsidR="007E4C96">
        <w:t>ation. However, Financial Advisers need to ensure they’re recommending a suitable number of segments which will vary from client to client, based on their objectives.</w:t>
      </w:r>
    </w:p>
    <w:p w14:paraId="6B49B68A" w14:textId="77777777" w:rsidR="005A0DB1" w:rsidRDefault="005A0DB1" w:rsidP="00D87CA7"/>
    <w:p w14:paraId="0CFAEBC5" w14:textId="636315D7" w:rsidR="000F0243" w:rsidRPr="00137C5B" w:rsidRDefault="000F0243" w:rsidP="00137C5B">
      <w:pPr>
        <w:pBdr>
          <w:top w:val="single" w:sz="4" w:space="1" w:color="auto"/>
          <w:left w:val="single" w:sz="4" w:space="4" w:color="auto"/>
          <w:bottom w:val="single" w:sz="4" w:space="1" w:color="auto"/>
          <w:right w:val="single" w:sz="4" w:space="4" w:color="auto"/>
        </w:pBdr>
        <w:rPr>
          <w:b/>
          <w:bCs/>
        </w:rPr>
      </w:pPr>
      <w:r w:rsidRPr="00137C5B">
        <w:rPr>
          <w:b/>
          <w:bCs/>
        </w:rPr>
        <w:t>Scenario: You have a client who has an objective to mitigate Inheritance Tax, and you have decided to recommend an investment bond in a discretionary trust (for example, a gift trust, loan trust, or discounted gift trust). But how many segments should you have?</w:t>
      </w:r>
    </w:p>
    <w:p w14:paraId="1133902E" w14:textId="77777777" w:rsidR="000F0243" w:rsidRDefault="000F0243" w:rsidP="00D87CA7"/>
    <w:p w14:paraId="022EDD40" w14:textId="77777777" w:rsidR="000F0243" w:rsidRDefault="000F0243" w:rsidP="00D87CA7">
      <w:r>
        <w:t>One answer is "as many as possible" but this isn't always (or often!) the optimal number.</w:t>
      </w:r>
    </w:p>
    <w:p w14:paraId="5AEA9DFD" w14:textId="77777777" w:rsidR="000F0243" w:rsidRDefault="000F0243" w:rsidP="00D87CA7"/>
    <w:p w14:paraId="75BBE686" w14:textId="77777777" w:rsidR="000F0243" w:rsidRDefault="000F0243" w:rsidP="00D87CA7">
      <w:r>
        <w:t xml:space="preserve">Essentially, the number of segments should be divisible by the number of beneficiaries. For example, if you have two beneficiaries, it makes sense for there to be, say, 100 segments. This provides a great deal of flexibility for tax planning and is divisible by two (50 segments for each beneficiary). 100 segments </w:t>
      </w:r>
      <w:proofErr w:type="gramStart"/>
      <w:r>
        <w:t>is</w:t>
      </w:r>
      <w:proofErr w:type="gramEnd"/>
      <w:r>
        <w:t xml:space="preserve"> very common for investment bonds.</w:t>
      </w:r>
    </w:p>
    <w:p w14:paraId="44879DF0" w14:textId="77777777" w:rsidR="000F0243" w:rsidRDefault="000F0243" w:rsidP="00D87CA7"/>
    <w:p w14:paraId="21C2D263" w14:textId="77777777" w:rsidR="000F0243" w:rsidRDefault="000F0243" w:rsidP="00D87CA7">
      <w:r>
        <w:t>However, what if there are three beneficiaries? 100 doesn't go into 3 exactly, so when the time comes to assign the segments to the beneficiaries for them to encash at their marginal rates of tax, there will be a remainder which may need to be encashed within the trust. This creates unnecessary complexity with the plan.</w:t>
      </w:r>
    </w:p>
    <w:p w14:paraId="4A0DDD68" w14:textId="77777777" w:rsidR="000F0243" w:rsidRDefault="000F0243" w:rsidP="00D87CA7"/>
    <w:p w14:paraId="10F3B687" w14:textId="77777777" w:rsidR="000F0243" w:rsidRDefault="000F0243" w:rsidP="00D87CA7">
      <w:r>
        <w:t>100 divides by two (50 segments each), four (25 segments each), five (20 segments each), and ten (10 segments each) perfectly.</w:t>
      </w:r>
    </w:p>
    <w:p w14:paraId="70AE010D" w14:textId="77777777" w:rsidR="000F0243" w:rsidRDefault="000F0243" w:rsidP="00D87CA7"/>
    <w:p w14:paraId="5E6B4FC6" w14:textId="77777777" w:rsidR="000F0243" w:rsidRDefault="000F0243" w:rsidP="00D87CA7">
      <w:r>
        <w:t>Some bonds allow 1,000 segments. This works even better because we now have more flexibility for tax planning for each beneficiary, and we can now divide by eight (125 segments each).</w:t>
      </w:r>
    </w:p>
    <w:p w14:paraId="55E0491A" w14:textId="77777777" w:rsidR="000F0243" w:rsidRDefault="000F0243" w:rsidP="00D87CA7"/>
    <w:p w14:paraId="05438BA8" w14:textId="4DD33679" w:rsidR="000F0243" w:rsidRDefault="000F0243" w:rsidP="00D87CA7">
      <w:r>
        <w:t>Yet, this is still not optimal because many trusts have, say, two beneficiaries but there may be a third one born in the future. Where the number of beneficiaries is unknown, it makes sense for the number of segments to be divisible by as many numbers as possible. So, what is the answer?</w:t>
      </w:r>
    </w:p>
    <w:p w14:paraId="0B5150F9" w14:textId="77777777" w:rsidR="000F0243" w:rsidRDefault="000F0243" w:rsidP="00D87CA7"/>
    <w:p w14:paraId="499C28FD" w14:textId="77777777" w:rsidR="000F0243" w:rsidRPr="009E2BD0" w:rsidRDefault="000F0243" w:rsidP="00D87CA7">
      <w:pPr>
        <w:rPr>
          <w:b/>
          <w:bCs/>
        </w:rPr>
      </w:pPr>
      <w:r w:rsidRPr="009E2BD0">
        <w:rPr>
          <w:b/>
          <w:bCs/>
        </w:rPr>
        <w:t>Our Answer is 120 (or Multiples Thereof) Such As 1,200</w:t>
      </w:r>
    </w:p>
    <w:p w14:paraId="631CD060" w14:textId="77777777" w:rsidR="009E2BD0" w:rsidRDefault="009E2BD0" w:rsidP="00D87CA7"/>
    <w:p w14:paraId="06DD4529" w14:textId="3ADD9EAB" w:rsidR="000F0243" w:rsidRDefault="000F0243" w:rsidP="00D87CA7">
      <w:r>
        <w:t>120 divides into two (60 segments each), three (40 segments each), four (30 segments each), five (24 segments each), six (20 segments each), eight (15 segments each), and ten (12 segments each).</w:t>
      </w:r>
    </w:p>
    <w:p w14:paraId="71B2E1CD" w14:textId="77777777" w:rsidR="000F0243" w:rsidRDefault="000F0243" w:rsidP="00D87CA7"/>
    <w:p w14:paraId="768D603E" w14:textId="77777777" w:rsidR="000F0243" w:rsidRDefault="000F0243" w:rsidP="00D87CA7">
      <w:r>
        <w:t>For example, if you have two possible beneficiaries just now, but more grandchildren or even great grandchildren could be born in future, 120 offers a great deal of chance that the number of segments will be divisible by the number of beneficiaries, as it allows for a further FOUR beneficiaries to be born before we hit 7 and the game is up.</w:t>
      </w:r>
    </w:p>
    <w:p w14:paraId="28B22495" w14:textId="77777777" w:rsidR="000F0243" w:rsidRDefault="000F0243" w:rsidP="00D87CA7"/>
    <w:p w14:paraId="55323DEC" w14:textId="77777777" w:rsidR="000F0243" w:rsidRDefault="000F0243" w:rsidP="00D87CA7">
      <w:proofErr w:type="spellStart"/>
      <w:r>
        <w:t>Pru</w:t>
      </w:r>
      <w:proofErr w:type="spellEnd"/>
      <w:r>
        <w:t xml:space="preserve"> / M&amp;G is one provider which offers only up to 100 segments on </w:t>
      </w:r>
      <w:r w:rsidRPr="00D87CA7">
        <w:rPr>
          <w:b/>
          <w:bCs/>
        </w:rPr>
        <w:t>some</w:t>
      </w:r>
      <w:r w:rsidRPr="00D87CA7">
        <w:t xml:space="preserve"> </w:t>
      </w:r>
      <w:r>
        <w:t xml:space="preserve">of its investment bonds. So, 120 cannot be used. What we can do is take the closest multiple of twelve which is 96. 96 total segments </w:t>
      </w:r>
      <w:proofErr w:type="gramStart"/>
      <w:r>
        <w:t>divides</w:t>
      </w:r>
      <w:proofErr w:type="gramEnd"/>
      <w:r>
        <w:t xml:space="preserve"> into two (48 segments each), three (32 segments each), four (24 segments each), six (16 segments each), and eight (12 segments each).</w:t>
      </w:r>
    </w:p>
    <w:p w14:paraId="037E5FC1" w14:textId="77777777" w:rsidR="000F0243" w:rsidRDefault="000F0243" w:rsidP="00D87CA7"/>
    <w:p w14:paraId="1CAA00B8" w14:textId="222C1A80" w:rsidR="00C14795" w:rsidRDefault="000F0243" w:rsidP="00D87CA7">
      <w:r>
        <w:t>This can be compared with 100 segments, which would give you five (20 segments each) but not three.</w:t>
      </w:r>
    </w:p>
    <w:p w14:paraId="7847B60F" w14:textId="77777777" w:rsidR="00C14795" w:rsidRDefault="00C14795" w:rsidP="00D87CA7"/>
    <w:p w14:paraId="0AF15B3F" w14:textId="77777777" w:rsidR="00D87CA7" w:rsidRDefault="00D87CA7" w:rsidP="00D87CA7"/>
    <w:p w14:paraId="2A62DDEA" w14:textId="1AA6489D" w:rsidR="008C70EE" w:rsidRDefault="009B5AF2" w:rsidP="008C70EE">
      <w:pPr>
        <w:pStyle w:val="Heading2"/>
      </w:pPr>
      <w:bookmarkStart w:id="10" w:name="_Toc187422034"/>
      <w:r>
        <w:t>Income Tax Calculation – Basic Rate</w:t>
      </w:r>
      <w:bookmarkEnd w:id="10"/>
    </w:p>
    <w:p w14:paraId="5E0FA0EC" w14:textId="77777777" w:rsidR="00AC271E" w:rsidRDefault="00AC271E" w:rsidP="00D87CA7"/>
    <w:p w14:paraId="0D4D50BD" w14:textId="30DCA451" w:rsidR="00292539" w:rsidRDefault="00275A41" w:rsidP="00E96C2A">
      <w:r>
        <w:t>Let’s consider a simple example to get us started:</w:t>
      </w:r>
      <w:r w:rsidR="009B5AF2">
        <w:t xml:space="preserve"> Lucius has a salary of </w:t>
      </w:r>
      <w:r w:rsidR="00292539">
        <w:t xml:space="preserve">£44,770, savings income from his cash savings account of £500, and a UK investment bond chargeable gain </w:t>
      </w:r>
      <w:r w:rsidR="00CE4650">
        <w:t>of £50,000.</w:t>
      </w:r>
      <w:r w:rsidR="007F79BB">
        <w:t xml:space="preserve"> Lucius has held the bond for 5.5 years.</w:t>
      </w:r>
    </w:p>
    <w:p w14:paraId="4C0317AE" w14:textId="77777777" w:rsidR="00CE4650" w:rsidRDefault="00CE4650" w:rsidP="00E96C2A"/>
    <w:p w14:paraId="0CCCF3B1" w14:textId="67AB5711" w:rsidR="006E35E5" w:rsidRDefault="00CA5A14" w:rsidP="00E96C2A">
      <w:r>
        <w:t xml:space="preserve">The first thing we do in any Income Tax calculation is establish whether we’re over £100,000 </w:t>
      </w:r>
      <w:r w:rsidR="006E35E5">
        <w:t xml:space="preserve">of adjusted net income, which determines whether we have any Personal Allowance tapered away. </w:t>
      </w:r>
      <w:r w:rsidR="001A2F9B">
        <w:t>Fortunately, we’re at £95,270, so we’re all good.</w:t>
      </w:r>
    </w:p>
    <w:p w14:paraId="333805E3" w14:textId="07469FB9" w:rsidR="006A5875" w:rsidRDefault="006A5875" w:rsidP="00E96C2A"/>
    <w:p w14:paraId="3B6A2FE8" w14:textId="3E6A3C30" w:rsidR="006A5875" w:rsidRPr="00F77ABE" w:rsidRDefault="006A5875" w:rsidP="006A5875">
      <w:pPr>
        <w:pBdr>
          <w:top w:val="single" w:sz="4" w:space="1" w:color="auto"/>
          <w:left w:val="single" w:sz="4" w:space="4" w:color="auto"/>
          <w:bottom w:val="single" w:sz="4" w:space="1" w:color="auto"/>
          <w:right w:val="single" w:sz="4" w:space="4" w:color="auto"/>
        </w:pBdr>
        <w:rPr>
          <w:b/>
          <w:bCs/>
        </w:rPr>
      </w:pPr>
      <w:r w:rsidRPr="00F77ABE">
        <w:rPr>
          <w:b/>
          <w:bCs/>
        </w:rPr>
        <w:t xml:space="preserve">REMEMBER: </w:t>
      </w:r>
      <w:r w:rsidRPr="00F77ABE">
        <w:t>IT IS THE GROSS GAIN THAT DETERMINES</w:t>
      </w:r>
      <w:r w:rsidR="00F77ABE" w:rsidRPr="00F77ABE">
        <w:t xml:space="preserve"> OUR ADJUSTED NET INCOME, AND OUR LEVEL OF PERSONAL SAVINGS ALLOWANCE - NOT THE SLICE!</w:t>
      </w:r>
    </w:p>
    <w:p w14:paraId="5E36B615" w14:textId="77777777" w:rsidR="00CE4650" w:rsidRDefault="00CE4650" w:rsidP="00E96C2A"/>
    <w:tbl>
      <w:tblPr>
        <w:tblStyle w:val="TableGrid"/>
        <w:tblW w:w="0" w:type="auto"/>
        <w:tblLook w:val="04A0" w:firstRow="1" w:lastRow="0" w:firstColumn="1" w:lastColumn="0" w:noHBand="0" w:noVBand="1"/>
      </w:tblPr>
      <w:tblGrid>
        <w:gridCol w:w="2405"/>
        <w:gridCol w:w="2196"/>
        <w:gridCol w:w="2324"/>
        <w:gridCol w:w="2425"/>
      </w:tblGrid>
      <w:tr w:rsidR="001639C6" w14:paraId="365BD3B6" w14:textId="77777777" w:rsidTr="001639C6">
        <w:tc>
          <w:tcPr>
            <w:tcW w:w="2405" w:type="dxa"/>
          </w:tcPr>
          <w:p w14:paraId="291D950F" w14:textId="08B1D472" w:rsidR="001639C6" w:rsidRPr="00E871BE" w:rsidRDefault="001639C6" w:rsidP="00E96C2A">
            <w:pPr>
              <w:rPr>
                <w:b/>
                <w:bCs/>
              </w:rPr>
            </w:pPr>
            <w:r w:rsidRPr="00E871BE">
              <w:rPr>
                <w:b/>
                <w:bCs/>
              </w:rPr>
              <w:t>Income Source</w:t>
            </w:r>
          </w:p>
        </w:tc>
        <w:tc>
          <w:tcPr>
            <w:tcW w:w="2196" w:type="dxa"/>
          </w:tcPr>
          <w:p w14:paraId="2BD0BDA7" w14:textId="36CD2D57" w:rsidR="001639C6" w:rsidRPr="00E871BE" w:rsidRDefault="001639C6" w:rsidP="00E871BE">
            <w:pPr>
              <w:jc w:val="center"/>
              <w:rPr>
                <w:b/>
                <w:bCs/>
              </w:rPr>
            </w:pPr>
            <w:r w:rsidRPr="00E871BE">
              <w:rPr>
                <w:b/>
                <w:bCs/>
              </w:rPr>
              <w:t>Amount</w:t>
            </w:r>
          </w:p>
        </w:tc>
        <w:tc>
          <w:tcPr>
            <w:tcW w:w="2324" w:type="dxa"/>
          </w:tcPr>
          <w:p w14:paraId="6EEC2289" w14:textId="75BE97C1" w:rsidR="001639C6" w:rsidRPr="00E871BE" w:rsidRDefault="001639C6" w:rsidP="00E871BE">
            <w:pPr>
              <w:jc w:val="center"/>
              <w:rPr>
                <w:b/>
                <w:bCs/>
              </w:rPr>
            </w:pPr>
            <w:r w:rsidRPr="00E871BE">
              <w:rPr>
                <w:b/>
                <w:bCs/>
              </w:rPr>
              <w:t>Tax Rate</w:t>
            </w:r>
          </w:p>
        </w:tc>
        <w:tc>
          <w:tcPr>
            <w:tcW w:w="2425" w:type="dxa"/>
          </w:tcPr>
          <w:p w14:paraId="73F5C38C" w14:textId="220BA6A3" w:rsidR="001639C6" w:rsidRPr="00E871BE" w:rsidRDefault="001639C6" w:rsidP="00E871BE">
            <w:pPr>
              <w:jc w:val="center"/>
              <w:rPr>
                <w:b/>
                <w:bCs/>
              </w:rPr>
            </w:pPr>
            <w:r w:rsidRPr="00E871BE">
              <w:rPr>
                <w:b/>
                <w:bCs/>
              </w:rPr>
              <w:t>Amount of Tax</w:t>
            </w:r>
          </w:p>
        </w:tc>
      </w:tr>
      <w:tr w:rsidR="001639C6" w14:paraId="51EE1015" w14:textId="77777777" w:rsidTr="002B59FD">
        <w:tc>
          <w:tcPr>
            <w:tcW w:w="2405" w:type="dxa"/>
            <w:shd w:val="clear" w:color="auto" w:fill="BFBFBF" w:themeFill="background1" w:themeFillShade="BF"/>
          </w:tcPr>
          <w:p w14:paraId="7BD5BEB6" w14:textId="66D1ED99" w:rsidR="001639C6" w:rsidRDefault="001639C6" w:rsidP="00E96C2A">
            <w:r>
              <w:t>Salary</w:t>
            </w:r>
          </w:p>
        </w:tc>
        <w:tc>
          <w:tcPr>
            <w:tcW w:w="2196" w:type="dxa"/>
            <w:shd w:val="clear" w:color="auto" w:fill="BFBFBF" w:themeFill="background1" w:themeFillShade="BF"/>
          </w:tcPr>
          <w:p w14:paraId="4024CFA3" w14:textId="4C2B1D5F" w:rsidR="001639C6" w:rsidRDefault="001639C6" w:rsidP="00E871BE">
            <w:pPr>
              <w:jc w:val="center"/>
            </w:pPr>
            <w:r>
              <w:t>£12,570</w:t>
            </w:r>
          </w:p>
        </w:tc>
        <w:tc>
          <w:tcPr>
            <w:tcW w:w="2324" w:type="dxa"/>
            <w:shd w:val="clear" w:color="auto" w:fill="BFBFBF" w:themeFill="background1" w:themeFillShade="BF"/>
          </w:tcPr>
          <w:p w14:paraId="520244E7" w14:textId="70A74CA9" w:rsidR="001639C6" w:rsidRDefault="001639C6" w:rsidP="00E871BE">
            <w:pPr>
              <w:jc w:val="center"/>
            </w:pPr>
            <w:r>
              <w:t>0%</w:t>
            </w:r>
            <w:r w:rsidR="002623B1">
              <w:t xml:space="preserve"> Personal Allowance</w:t>
            </w:r>
          </w:p>
        </w:tc>
        <w:tc>
          <w:tcPr>
            <w:tcW w:w="2425" w:type="dxa"/>
            <w:shd w:val="clear" w:color="auto" w:fill="BFBFBF" w:themeFill="background1" w:themeFillShade="BF"/>
          </w:tcPr>
          <w:p w14:paraId="3C1A2444" w14:textId="5F564113" w:rsidR="001639C6" w:rsidRDefault="001639C6" w:rsidP="00E871BE">
            <w:pPr>
              <w:jc w:val="center"/>
            </w:pPr>
            <w:r>
              <w:t>£0</w:t>
            </w:r>
          </w:p>
        </w:tc>
      </w:tr>
      <w:tr w:rsidR="001639C6" w14:paraId="71A2CCF6" w14:textId="77777777" w:rsidTr="002B59FD">
        <w:tc>
          <w:tcPr>
            <w:tcW w:w="2405" w:type="dxa"/>
            <w:shd w:val="clear" w:color="auto" w:fill="BFBFBF" w:themeFill="background1" w:themeFillShade="BF"/>
          </w:tcPr>
          <w:p w14:paraId="34EBC521" w14:textId="77777777" w:rsidR="001639C6" w:rsidRDefault="001639C6" w:rsidP="00E96C2A"/>
        </w:tc>
        <w:tc>
          <w:tcPr>
            <w:tcW w:w="2196" w:type="dxa"/>
            <w:shd w:val="clear" w:color="auto" w:fill="BFBFBF" w:themeFill="background1" w:themeFillShade="BF"/>
          </w:tcPr>
          <w:p w14:paraId="00DF4A94" w14:textId="17B261FC" w:rsidR="001639C6" w:rsidRDefault="001639C6" w:rsidP="00E871BE">
            <w:pPr>
              <w:jc w:val="center"/>
            </w:pPr>
            <w:r>
              <w:t>£</w:t>
            </w:r>
            <w:r w:rsidR="004B099E" w:rsidRPr="004B099E">
              <w:t>32,200</w:t>
            </w:r>
          </w:p>
        </w:tc>
        <w:tc>
          <w:tcPr>
            <w:tcW w:w="2324" w:type="dxa"/>
            <w:shd w:val="clear" w:color="auto" w:fill="BFBFBF" w:themeFill="background1" w:themeFillShade="BF"/>
          </w:tcPr>
          <w:p w14:paraId="53F6521D" w14:textId="61A16D20" w:rsidR="001639C6" w:rsidRDefault="004B099E" w:rsidP="00E871BE">
            <w:pPr>
              <w:jc w:val="center"/>
            </w:pPr>
            <w:r>
              <w:t>20%</w:t>
            </w:r>
          </w:p>
        </w:tc>
        <w:tc>
          <w:tcPr>
            <w:tcW w:w="2425" w:type="dxa"/>
            <w:shd w:val="clear" w:color="auto" w:fill="BFBFBF" w:themeFill="background1" w:themeFillShade="BF"/>
          </w:tcPr>
          <w:p w14:paraId="2BB8F52F" w14:textId="6F064FA5" w:rsidR="001639C6" w:rsidRDefault="00E871BE" w:rsidP="00E871BE">
            <w:pPr>
              <w:jc w:val="center"/>
            </w:pPr>
            <w:r>
              <w:t>£</w:t>
            </w:r>
            <w:r w:rsidRPr="00E871BE">
              <w:t>6,440</w:t>
            </w:r>
          </w:p>
        </w:tc>
      </w:tr>
      <w:tr w:rsidR="001639C6" w14:paraId="62216CC0" w14:textId="77777777" w:rsidTr="002B59FD">
        <w:tc>
          <w:tcPr>
            <w:tcW w:w="2405" w:type="dxa"/>
            <w:shd w:val="clear" w:color="auto" w:fill="BFBFBF" w:themeFill="background1" w:themeFillShade="BF"/>
          </w:tcPr>
          <w:p w14:paraId="0D9DDEC0" w14:textId="77777777" w:rsidR="001639C6" w:rsidRDefault="001639C6" w:rsidP="00E96C2A"/>
        </w:tc>
        <w:tc>
          <w:tcPr>
            <w:tcW w:w="2196" w:type="dxa"/>
            <w:shd w:val="clear" w:color="auto" w:fill="BFBFBF" w:themeFill="background1" w:themeFillShade="BF"/>
          </w:tcPr>
          <w:p w14:paraId="09F5D920" w14:textId="2241E5C5" w:rsidR="001639C6" w:rsidRDefault="00E871BE" w:rsidP="00E871BE">
            <w:pPr>
              <w:jc w:val="center"/>
            </w:pPr>
            <w:r>
              <w:t>£0</w:t>
            </w:r>
          </w:p>
        </w:tc>
        <w:tc>
          <w:tcPr>
            <w:tcW w:w="2324" w:type="dxa"/>
            <w:shd w:val="clear" w:color="auto" w:fill="BFBFBF" w:themeFill="background1" w:themeFillShade="BF"/>
          </w:tcPr>
          <w:p w14:paraId="7C771615" w14:textId="755ACCA8" w:rsidR="001639C6" w:rsidRDefault="00E871BE" w:rsidP="00E871BE">
            <w:pPr>
              <w:jc w:val="center"/>
            </w:pPr>
            <w:r>
              <w:t>40%</w:t>
            </w:r>
          </w:p>
        </w:tc>
        <w:tc>
          <w:tcPr>
            <w:tcW w:w="2425" w:type="dxa"/>
            <w:shd w:val="clear" w:color="auto" w:fill="BFBFBF" w:themeFill="background1" w:themeFillShade="BF"/>
          </w:tcPr>
          <w:p w14:paraId="7F971584" w14:textId="5531B2CF" w:rsidR="001639C6" w:rsidRDefault="00E871BE" w:rsidP="00E871BE">
            <w:pPr>
              <w:jc w:val="center"/>
            </w:pPr>
            <w:r>
              <w:t>£0</w:t>
            </w:r>
          </w:p>
        </w:tc>
      </w:tr>
      <w:tr w:rsidR="001639C6" w14:paraId="695EF257" w14:textId="77777777" w:rsidTr="002B59FD">
        <w:tc>
          <w:tcPr>
            <w:tcW w:w="2405" w:type="dxa"/>
            <w:shd w:val="clear" w:color="auto" w:fill="BFBFBF" w:themeFill="background1" w:themeFillShade="BF"/>
          </w:tcPr>
          <w:p w14:paraId="3755EF12" w14:textId="77777777" w:rsidR="001639C6" w:rsidRDefault="001639C6" w:rsidP="00E96C2A"/>
        </w:tc>
        <w:tc>
          <w:tcPr>
            <w:tcW w:w="2196" w:type="dxa"/>
            <w:shd w:val="clear" w:color="auto" w:fill="BFBFBF" w:themeFill="background1" w:themeFillShade="BF"/>
          </w:tcPr>
          <w:p w14:paraId="0FB4B690" w14:textId="2644072D" w:rsidR="001639C6" w:rsidRDefault="00E871BE" w:rsidP="00E871BE">
            <w:pPr>
              <w:jc w:val="center"/>
            </w:pPr>
            <w:r>
              <w:t>£0</w:t>
            </w:r>
          </w:p>
        </w:tc>
        <w:tc>
          <w:tcPr>
            <w:tcW w:w="2324" w:type="dxa"/>
            <w:shd w:val="clear" w:color="auto" w:fill="BFBFBF" w:themeFill="background1" w:themeFillShade="BF"/>
          </w:tcPr>
          <w:p w14:paraId="76C15FE6" w14:textId="7181EE77" w:rsidR="001639C6" w:rsidRDefault="00E871BE" w:rsidP="00E871BE">
            <w:pPr>
              <w:jc w:val="center"/>
            </w:pPr>
            <w:r>
              <w:t>45%</w:t>
            </w:r>
          </w:p>
        </w:tc>
        <w:tc>
          <w:tcPr>
            <w:tcW w:w="2425" w:type="dxa"/>
            <w:shd w:val="clear" w:color="auto" w:fill="BFBFBF" w:themeFill="background1" w:themeFillShade="BF"/>
          </w:tcPr>
          <w:p w14:paraId="7388FD01" w14:textId="626F94CF" w:rsidR="001639C6" w:rsidRDefault="00E871BE" w:rsidP="00E871BE">
            <w:pPr>
              <w:jc w:val="center"/>
            </w:pPr>
            <w:r>
              <w:t>£0</w:t>
            </w:r>
          </w:p>
        </w:tc>
      </w:tr>
      <w:tr w:rsidR="001639C6" w14:paraId="23179160" w14:textId="77777777" w:rsidTr="002B59FD">
        <w:tc>
          <w:tcPr>
            <w:tcW w:w="2405" w:type="dxa"/>
            <w:shd w:val="clear" w:color="auto" w:fill="F2F2F2" w:themeFill="background1" w:themeFillShade="F2"/>
          </w:tcPr>
          <w:p w14:paraId="7A83F1DB" w14:textId="52A5DEB2" w:rsidR="001639C6" w:rsidRDefault="00A747AB" w:rsidP="00E96C2A">
            <w:r>
              <w:t>Savings Income</w:t>
            </w:r>
          </w:p>
        </w:tc>
        <w:tc>
          <w:tcPr>
            <w:tcW w:w="2196" w:type="dxa"/>
            <w:shd w:val="clear" w:color="auto" w:fill="F2F2F2" w:themeFill="background1" w:themeFillShade="F2"/>
          </w:tcPr>
          <w:p w14:paraId="6196FD3A" w14:textId="57D44DDC" w:rsidR="001639C6" w:rsidRDefault="00A747AB" w:rsidP="00E871BE">
            <w:pPr>
              <w:jc w:val="center"/>
            </w:pPr>
            <w:r>
              <w:t>£500</w:t>
            </w:r>
          </w:p>
        </w:tc>
        <w:tc>
          <w:tcPr>
            <w:tcW w:w="2324" w:type="dxa"/>
            <w:shd w:val="clear" w:color="auto" w:fill="F2F2F2" w:themeFill="background1" w:themeFillShade="F2"/>
          </w:tcPr>
          <w:p w14:paraId="32E2613C" w14:textId="20FAC7C0" w:rsidR="001639C6" w:rsidRDefault="00A747AB" w:rsidP="00E871BE">
            <w:pPr>
              <w:jc w:val="center"/>
            </w:pPr>
            <w:r>
              <w:t>0%</w:t>
            </w:r>
            <w:r w:rsidR="002623B1">
              <w:t xml:space="preserve"> PSA</w:t>
            </w:r>
          </w:p>
        </w:tc>
        <w:tc>
          <w:tcPr>
            <w:tcW w:w="2425" w:type="dxa"/>
            <w:shd w:val="clear" w:color="auto" w:fill="F2F2F2" w:themeFill="background1" w:themeFillShade="F2"/>
          </w:tcPr>
          <w:p w14:paraId="31B90C3F" w14:textId="2149298A" w:rsidR="001639C6" w:rsidRDefault="00A747AB" w:rsidP="00E871BE">
            <w:pPr>
              <w:jc w:val="center"/>
            </w:pPr>
            <w:r>
              <w:t>£0</w:t>
            </w:r>
          </w:p>
        </w:tc>
      </w:tr>
      <w:tr w:rsidR="00A747AB" w14:paraId="0DE87E64" w14:textId="77777777" w:rsidTr="002B59FD">
        <w:tc>
          <w:tcPr>
            <w:tcW w:w="2405" w:type="dxa"/>
            <w:shd w:val="clear" w:color="auto" w:fill="F2F2F2" w:themeFill="background1" w:themeFillShade="F2"/>
          </w:tcPr>
          <w:p w14:paraId="5A30C419" w14:textId="77777777" w:rsidR="00A747AB" w:rsidRDefault="00A747AB" w:rsidP="00A747AB"/>
        </w:tc>
        <w:tc>
          <w:tcPr>
            <w:tcW w:w="2196" w:type="dxa"/>
            <w:shd w:val="clear" w:color="auto" w:fill="F2F2F2" w:themeFill="background1" w:themeFillShade="F2"/>
          </w:tcPr>
          <w:p w14:paraId="6F5CC322" w14:textId="4F1F6067" w:rsidR="00A747AB" w:rsidRDefault="00A747AB" w:rsidP="00A747AB">
            <w:pPr>
              <w:jc w:val="center"/>
            </w:pPr>
            <w:r>
              <w:t>£0</w:t>
            </w:r>
          </w:p>
        </w:tc>
        <w:tc>
          <w:tcPr>
            <w:tcW w:w="2324" w:type="dxa"/>
            <w:shd w:val="clear" w:color="auto" w:fill="F2F2F2" w:themeFill="background1" w:themeFillShade="F2"/>
          </w:tcPr>
          <w:p w14:paraId="1BDFE414" w14:textId="151E20DD" w:rsidR="00A747AB" w:rsidRDefault="00A747AB" w:rsidP="00A747AB">
            <w:pPr>
              <w:jc w:val="center"/>
            </w:pPr>
            <w:r>
              <w:t>20%</w:t>
            </w:r>
          </w:p>
        </w:tc>
        <w:tc>
          <w:tcPr>
            <w:tcW w:w="2425" w:type="dxa"/>
            <w:shd w:val="clear" w:color="auto" w:fill="F2F2F2" w:themeFill="background1" w:themeFillShade="F2"/>
          </w:tcPr>
          <w:p w14:paraId="773D8371" w14:textId="2722CC01" w:rsidR="00A747AB" w:rsidRDefault="00A747AB" w:rsidP="00A747AB">
            <w:pPr>
              <w:jc w:val="center"/>
            </w:pPr>
            <w:r>
              <w:t>£0</w:t>
            </w:r>
          </w:p>
        </w:tc>
      </w:tr>
      <w:tr w:rsidR="00A747AB" w14:paraId="586E5B6D" w14:textId="77777777" w:rsidTr="002B59FD">
        <w:tc>
          <w:tcPr>
            <w:tcW w:w="2405" w:type="dxa"/>
            <w:shd w:val="clear" w:color="auto" w:fill="F2F2F2" w:themeFill="background1" w:themeFillShade="F2"/>
          </w:tcPr>
          <w:p w14:paraId="2B456B04" w14:textId="77777777" w:rsidR="00A747AB" w:rsidRDefault="00A747AB" w:rsidP="00A747AB"/>
        </w:tc>
        <w:tc>
          <w:tcPr>
            <w:tcW w:w="2196" w:type="dxa"/>
            <w:shd w:val="clear" w:color="auto" w:fill="F2F2F2" w:themeFill="background1" w:themeFillShade="F2"/>
          </w:tcPr>
          <w:p w14:paraId="0E9E83DF" w14:textId="01C2285D" w:rsidR="00A747AB" w:rsidRDefault="00A747AB" w:rsidP="00A747AB">
            <w:pPr>
              <w:jc w:val="center"/>
            </w:pPr>
            <w:r>
              <w:t>£0</w:t>
            </w:r>
          </w:p>
        </w:tc>
        <w:tc>
          <w:tcPr>
            <w:tcW w:w="2324" w:type="dxa"/>
            <w:shd w:val="clear" w:color="auto" w:fill="F2F2F2" w:themeFill="background1" w:themeFillShade="F2"/>
          </w:tcPr>
          <w:p w14:paraId="21274422" w14:textId="3FDF8ACA" w:rsidR="00A747AB" w:rsidRDefault="00A747AB" w:rsidP="00A747AB">
            <w:pPr>
              <w:jc w:val="center"/>
            </w:pPr>
            <w:r>
              <w:t>40%</w:t>
            </w:r>
          </w:p>
        </w:tc>
        <w:tc>
          <w:tcPr>
            <w:tcW w:w="2425" w:type="dxa"/>
            <w:shd w:val="clear" w:color="auto" w:fill="F2F2F2" w:themeFill="background1" w:themeFillShade="F2"/>
          </w:tcPr>
          <w:p w14:paraId="7A6D915B" w14:textId="7CF90486" w:rsidR="00A747AB" w:rsidRDefault="00A747AB" w:rsidP="00A747AB">
            <w:pPr>
              <w:jc w:val="center"/>
            </w:pPr>
            <w:r>
              <w:t>£0</w:t>
            </w:r>
          </w:p>
        </w:tc>
      </w:tr>
      <w:tr w:rsidR="00A747AB" w14:paraId="0BEF7127" w14:textId="77777777" w:rsidTr="002B59FD">
        <w:tc>
          <w:tcPr>
            <w:tcW w:w="2405" w:type="dxa"/>
            <w:shd w:val="clear" w:color="auto" w:fill="F2F2F2" w:themeFill="background1" w:themeFillShade="F2"/>
          </w:tcPr>
          <w:p w14:paraId="5BC899F1" w14:textId="77777777" w:rsidR="00A747AB" w:rsidRDefault="00A747AB" w:rsidP="00A747AB"/>
        </w:tc>
        <w:tc>
          <w:tcPr>
            <w:tcW w:w="2196" w:type="dxa"/>
            <w:shd w:val="clear" w:color="auto" w:fill="F2F2F2" w:themeFill="background1" w:themeFillShade="F2"/>
          </w:tcPr>
          <w:p w14:paraId="39C6ACC2" w14:textId="10931C34" w:rsidR="00A747AB" w:rsidRDefault="00A747AB" w:rsidP="00A747AB">
            <w:pPr>
              <w:jc w:val="center"/>
            </w:pPr>
            <w:r>
              <w:t>£0</w:t>
            </w:r>
          </w:p>
        </w:tc>
        <w:tc>
          <w:tcPr>
            <w:tcW w:w="2324" w:type="dxa"/>
            <w:shd w:val="clear" w:color="auto" w:fill="F2F2F2" w:themeFill="background1" w:themeFillShade="F2"/>
          </w:tcPr>
          <w:p w14:paraId="15DE7222" w14:textId="7DDC2C50" w:rsidR="00A747AB" w:rsidRDefault="00A747AB" w:rsidP="00A747AB">
            <w:pPr>
              <w:jc w:val="center"/>
            </w:pPr>
            <w:r>
              <w:t>45%</w:t>
            </w:r>
          </w:p>
        </w:tc>
        <w:tc>
          <w:tcPr>
            <w:tcW w:w="2425" w:type="dxa"/>
            <w:shd w:val="clear" w:color="auto" w:fill="F2F2F2" w:themeFill="background1" w:themeFillShade="F2"/>
          </w:tcPr>
          <w:p w14:paraId="11CD4C29" w14:textId="782F716D" w:rsidR="00A747AB" w:rsidRDefault="00A747AB" w:rsidP="00A747AB">
            <w:pPr>
              <w:jc w:val="center"/>
            </w:pPr>
            <w:r>
              <w:t>£0</w:t>
            </w:r>
          </w:p>
        </w:tc>
      </w:tr>
      <w:tr w:rsidR="004619E5" w14:paraId="2E720BE9" w14:textId="77777777" w:rsidTr="002B59FD">
        <w:tc>
          <w:tcPr>
            <w:tcW w:w="2405" w:type="dxa"/>
            <w:shd w:val="clear" w:color="auto" w:fill="BFBFBF" w:themeFill="background1" w:themeFillShade="BF"/>
          </w:tcPr>
          <w:p w14:paraId="7BD497BE" w14:textId="797CC60C" w:rsidR="004619E5" w:rsidRDefault="004619E5" w:rsidP="004619E5">
            <w:r>
              <w:t>UK Chargeable Gain</w:t>
            </w:r>
          </w:p>
        </w:tc>
        <w:tc>
          <w:tcPr>
            <w:tcW w:w="2196" w:type="dxa"/>
            <w:shd w:val="clear" w:color="auto" w:fill="BFBFBF" w:themeFill="background1" w:themeFillShade="BF"/>
          </w:tcPr>
          <w:p w14:paraId="25CE452B" w14:textId="713B0B25" w:rsidR="004619E5" w:rsidRDefault="004619E5" w:rsidP="004619E5">
            <w:pPr>
              <w:jc w:val="center"/>
            </w:pPr>
            <w:r>
              <w:t>£0</w:t>
            </w:r>
          </w:p>
        </w:tc>
        <w:tc>
          <w:tcPr>
            <w:tcW w:w="2324" w:type="dxa"/>
            <w:shd w:val="clear" w:color="auto" w:fill="BFBFBF" w:themeFill="background1" w:themeFillShade="BF"/>
          </w:tcPr>
          <w:p w14:paraId="754040E2" w14:textId="11B6B250" w:rsidR="004619E5" w:rsidRDefault="004619E5" w:rsidP="004619E5">
            <w:pPr>
              <w:jc w:val="center"/>
            </w:pPr>
            <w:r>
              <w:t>0%</w:t>
            </w:r>
          </w:p>
        </w:tc>
        <w:tc>
          <w:tcPr>
            <w:tcW w:w="2425" w:type="dxa"/>
            <w:shd w:val="clear" w:color="auto" w:fill="BFBFBF" w:themeFill="background1" w:themeFillShade="BF"/>
          </w:tcPr>
          <w:p w14:paraId="3D061C22" w14:textId="7ABD8B43" w:rsidR="004619E5" w:rsidRDefault="00CF3FB1" w:rsidP="004619E5">
            <w:pPr>
              <w:jc w:val="center"/>
            </w:pPr>
            <w:r>
              <w:t>£0</w:t>
            </w:r>
          </w:p>
        </w:tc>
      </w:tr>
      <w:tr w:rsidR="004619E5" w14:paraId="20041F46" w14:textId="77777777" w:rsidTr="002B59FD">
        <w:tc>
          <w:tcPr>
            <w:tcW w:w="2405" w:type="dxa"/>
            <w:shd w:val="clear" w:color="auto" w:fill="BFBFBF" w:themeFill="background1" w:themeFillShade="BF"/>
          </w:tcPr>
          <w:p w14:paraId="683FAF07" w14:textId="77777777" w:rsidR="004619E5" w:rsidRDefault="004619E5" w:rsidP="004619E5"/>
        </w:tc>
        <w:tc>
          <w:tcPr>
            <w:tcW w:w="2196" w:type="dxa"/>
            <w:shd w:val="clear" w:color="auto" w:fill="BFBFBF" w:themeFill="background1" w:themeFillShade="BF"/>
          </w:tcPr>
          <w:p w14:paraId="6E2A8106" w14:textId="34C0D38E" w:rsidR="004619E5" w:rsidRDefault="004619E5" w:rsidP="004619E5">
            <w:pPr>
              <w:jc w:val="center"/>
            </w:pPr>
            <w:r>
              <w:t>£</w:t>
            </w:r>
            <w:r w:rsidR="00CF3FB1">
              <w:t>5,000</w:t>
            </w:r>
          </w:p>
        </w:tc>
        <w:tc>
          <w:tcPr>
            <w:tcW w:w="2324" w:type="dxa"/>
            <w:shd w:val="clear" w:color="auto" w:fill="BFBFBF" w:themeFill="background1" w:themeFillShade="BF"/>
          </w:tcPr>
          <w:p w14:paraId="6FA4A914" w14:textId="28E371EB" w:rsidR="004619E5" w:rsidRDefault="004619E5" w:rsidP="004619E5">
            <w:pPr>
              <w:jc w:val="center"/>
            </w:pPr>
            <w:r>
              <w:t>20%</w:t>
            </w:r>
          </w:p>
        </w:tc>
        <w:tc>
          <w:tcPr>
            <w:tcW w:w="2425" w:type="dxa"/>
            <w:shd w:val="clear" w:color="auto" w:fill="BFBFBF" w:themeFill="background1" w:themeFillShade="BF"/>
          </w:tcPr>
          <w:p w14:paraId="1AF765AB" w14:textId="538E5E81" w:rsidR="004619E5" w:rsidRDefault="00CF3FB1" w:rsidP="004619E5">
            <w:pPr>
              <w:jc w:val="center"/>
            </w:pPr>
            <w:r>
              <w:t>£1,000</w:t>
            </w:r>
          </w:p>
        </w:tc>
      </w:tr>
      <w:tr w:rsidR="004619E5" w14:paraId="1BA79D58" w14:textId="77777777" w:rsidTr="002B59FD">
        <w:tc>
          <w:tcPr>
            <w:tcW w:w="2405" w:type="dxa"/>
            <w:shd w:val="clear" w:color="auto" w:fill="BFBFBF" w:themeFill="background1" w:themeFillShade="BF"/>
          </w:tcPr>
          <w:p w14:paraId="59308536" w14:textId="77777777" w:rsidR="004619E5" w:rsidRDefault="004619E5" w:rsidP="004619E5"/>
        </w:tc>
        <w:tc>
          <w:tcPr>
            <w:tcW w:w="2196" w:type="dxa"/>
            <w:shd w:val="clear" w:color="auto" w:fill="BFBFBF" w:themeFill="background1" w:themeFillShade="BF"/>
          </w:tcPr>
          <w:p w14:paraId="35735F14" w14:textId="6086A0B2" w:rsidR="004619E5" w:rsidRDefault="00CF3FB1" w:rsidP="004619E5">
            <w:pPr>
              <w:jc w:val="center"/>
            </w:pPr>
            <w:r>
              <w:t>£45,000</w:t>
            </w:r>
          </w:p>
        </w:tc>
        <w:tc>
          <w:tcPr>
            <w:tcW w:w="2324" w:type="dxa"/>
            <w:shd w:val="clear" w:color="auto" w:fill="BFBFBF" w:themeFill="background1" w:themeFillShade="BF"/>
          </w:tcPr>
          <w:p w14:paraId="261362C6" w14:textId="38960975" w:rsidR="004619E5" w:rsidRDefault="004619E5" w:rsidP="004619E5">
            <w:pPr>
              <w:jc w:val="center"/>
            </w:pPr>
            <w:r>
              <w:t>40%</w:t>
            </w:r>
          </w:p>
        </w:tc>
        <w:tc>
          <w:tcPr>
            <w:tcW w:w="2425" w:type="dxa"/>
            <w:shd w:val="clear" w:color="auto" w:fill="BFBFBF" w:themeFill="background1" w:themeFillShade="BF"/>
          </w:tcPr>
          <w:p w14:paraId="50C11DF8" w14:textId="7925B343" w:rsidR="004619E5" w:rsidRDefault="00CF3FB1" w:rsidP="004619E5">
            <w:pPr>
              <w:jc w:val="center"/>
            </w:pPr>
            <w:r>
              <w:t>£</w:t>
            </w:r>
            <w:r w:rsidR="002B59FD">
              <w:t>18,000</w:t>
            </w:r>
          </w:p>
        </w:tc>
      </w:tr>
      <w:tr w:rsidR="004619E5" w14:paraId="6BE62EED" w14:textId="77777777" w:rsidTr="002B59FD">
        <w:tc>
          <w:tcPr>
            <w:tcW w:w="2405" w:type="dxa"/>
            <w:shd w:val="clear" w:color="auto" w:fill="BFBFBF" w:themeFill="background1" w:themeFillShade="BF"/>
          </w:tcPr>
          <w:p w14:paraId="084C022D" w14:textId="77777777" w:rsidR="004619E5" w:rsidRDefault="004619E5" w:rsidP="004619E5"/>
        </w:tc>
        <w:tc>
          <w:tcPr>
            <w:tcW w:w="2196" w:type="dxa"/>
            <w:shd w:val="clear" w:color="auto" w:fill="BFBFBF" w:themeFill="background1" w:themeFillShade="BF"/>
          </w:tcPr>
          <w:p w14:paraId="66FC3D94" w14:textId="53C5E2FE" w:rsidR="004619E5" w:rsidRDefault="002B59FD" w:rsidP="004619E5">
            <w:pPr>
              <w:jc w:val="center"/>
            </w:pPr>
            <w:r>
              <w:t>£0</w:t>
            </w:r>
          </w:p>
        </w:tc>
        <w:tc>
          <w:tcPr>
            <w:tcW w:w="2324" w:type="dxa"/>
            <w:shd w:val="clear" w:color="auto" w:fill="BFBFBF" w:themeFill="background1" w:themeFillShade="BF"/>
          </w:tcPr>
          <w:p w14:paraId="75D350AC" w14:textId="6EF5931C" w:rsidR="004619E5" w:rsidRDefault="004619E5" w:rsidP="004619E5">
            <w:pPr>
              <w:jc w:val="center"/>
            </w:pPr>
            <w:r>
              <w:t>45%</w:t>
            </w:r>
          </w:p>
        </w:tc>
        <w:tc>
          <w:tcPr>
            <w:tcW w:w="2425" w:type="dxa"/>
            <w:shd w:val="clear" w:color="auto" w:fill="BFBFBF" w:themeFill="background1" w:themeFillShade="BF"/>
          </w:tcPr>
          <w:p w14:paraId="46CAC4A1" w14:textId="5F804A72" w:rsidR="004619E5" w:rsidRDefault="002B59FD" w:rsidP="004619E5">
            <w:pPr>
              <w:jc w:val="center"/>
            </w:pPr>
            <w:r>
              <w:t>£0</w:t>
            </w:r>
          </w:p>
        </w:tc>
      </w:tr>
      <w:tr w:rsidR="004619E5" w14:paraId="54A3AA78" w14:textId="77777777" w:rsidTr="0012299F">
        <w:tc>
          <w:tcPr>
            <w:tcW w:w="2405" w:type="dxa"/>
            <w:shd w:val="clear" w:color="auto" w:fill="000000" w:themeFill="text1"/>
          </w:tcPr>
          <w:p w14:paraId="78A31D26" w14:textId="537BA59A" w:rsidR="004619E5" w:rsidRPr="00AF1059" w:rsidRDefault="00E06FCB" w:rsidP="004619E5">
            <w:pPr>
              <w:rPr>
                <w:b/>
                <w:bCs/>
              </w:rPr>
            </w:pPr>
            <w:r w:rsidRPr="00AF1059">
              <w:rPr>
                <w:b/>
                <w:bCs/>
              </w:rPr>
              <w:t>Total</w:t>
            </w:r>
          </w:p>
        </w:tc>
        <w:tc>
          <w:tcPr>
            <w:tcW w:w="2196" w:type="dxa"/>
            <w:shd w:val="clear" w:color="auto" w:fill="000000" w:themeFill="text1"/>
          </w:tcPr>
          <w:p w14:paraId="24A2401B" w14:textId="6192B980" w:rsidR="004619E5" w:rsidRPr="00AF1059" w:rsidRDefault="00E06FCB" w:rsidP="004619E5">
            <w:pPr>
              <w:jc w:val="center"/>
              <w:rPr>
                <w:b/>
                <w:bCs/>
              </w:rPr>
            </w:pPr>
            <w:r w:rsidRPr="00AF1059">
              <w:rPr>
                <w:b/>
                <w:bCs/>
              </w:rPr>
              <w:t>£95,270</w:t>
            </w:r>
          </w:p>
        </w:tc>
        <w:tc>
          <w:tcPr>
            <w:tcW w:w="2324" w:type="dxa"/>
            <w:shd w:val="clear" w:color="auto" w:fill="000000" w:themeFill="text1"/>
          </w:tcPr>
          <w:p w14:paraId="7F8204AD" w14:textId="2F4466CB" w:rsidR="004619E5" w:rsidRPr="00AF1059" w:rsidRDefault="004619E5" w:rsidP="004619E5">
            <w:pPr>
              <w:jc w:val="center"/>
              <w:rPr>
                <w:b/>
                <w:bCs/>
              </w:rPr>
            </w:pPr>
          </w:p>
        </w:tc>
        <w:tc>
          <w:tcPr>
            <w:tcW w:w="2425" w:type="dxa"/>
            <w:shd w:val="clear" w:color="auto" w:fill="000000" w:themeFill="text1"/>
          </w:tcPr>
          <w:p w14:paraId="39FA5BE1" w14:textId="40A40716" w:rsidR="004619E5" w:rsidRPr="00AF1059" w:rsidRDefault="00E06FCB" w:rsidP="004619E5">
            <w:pPr>
              <w:jc w:val="center"/>
              <w:rPr>
                <w:b/>
                <w:bCs/>
              </w:rPr>
            </w:pPr>
            <w:r w:rsidRPr="00AF1059">
              <w:rPr>
                <w:b/>
                <w:bCs/>
              </w:rPr>
              <w:t>£</w:t>
            </w:r>
            <w:r w:rsidR="0012299F" w:rsidRPr="00AF1059">
              <w:rPr>
                <w:b/>
                <w:bCs/>
              </w:rPr>
              <w:t>25,440</w:t>
            </w:r>
          </w:p>
        </w:tc>
      </w:tr>
    </w:tbl>
    <w:p w14:paraId="6A65AA93" w14:textId="493F8C9C" w:rsidR="001A2F9B" w:rsidRDefault="001A2F9B" w:rsidP="00E96C2A"/>
    <w:p w14:paraId="451D521E" w14:textId="1A32CA80" w:rsidR="002623B1" w:rsidRDefault="002623B1" w:rsidP="00E96C2A">
      <w:r>
        <w:lastRenderedPageBreak/>
        <w:t>This is a straightforward Income Tax calculation</w:t>
      </w:r>
      <w:r w:rsidR="00141E3A">
        <w:t>.</w:t>
      </w:r>
      <w:r w:rsidR="00444963">
        <w:t xml:space="preserve"> Financial Advisers should be able to complete this without any trouble.</w:t>
      </w:r>
    </w:p>
    <w:p w14:paraId="1925A4AE" w14:textId="77777777" w:rsidR="002623B1" w:rsidRDefault="002623B1" w:rsidP="00E96C2A"/>
    <w:p w14:paraId="4CF57C31" w14:textId="159A5CB3" w:rsidR="00AF1059" w:rsidRDefault="00AF1059" w:rsidP="00E96C2A">
      <w:r>
        <w:t>That seems like a lot of tax, but we have two tax reliefs at our disposal</w:t>
      </w:r>
      <w:r w:rsidR="00DC782E">
        <w:t>:</w:t>
      </w:r>
    </w:p>
    <w:p w14:paraId="652DBFAA" w14:textId="77777777" w:rsidR="00DC782E" w:rsidRDefault="00DC782E" w:rsidP="00E96C2A"/>
    <w:p w14:paraId="63831865" w14:textId="57A5B6F1" w:rsidR="00DC782E" w:rsidRDefault="00DC782E" w:rsidP="00DC782E">
      <w:pPr>
        <w:pStyle w:val="ListParagraph"/>
        <w:numPr>
          <w:ilvl w:val="0"/>
          <w:numId w:val="5"/>
        </w:numPr>
      </w:pPr>
      <w:r>
        <w:t>The onshore tax credit.</w:t>
      </w:r>
    </w:p>
    <w:p w14:paraId="2E9F866C" w14:textId="7CE9F78D" w:rsidR="00DC782E" w:rsidRDefault="00DC782E" w:rsidP="00DC782E">
      <w:pPr>
        <w:pStyle w:val="ListParagraph"/>
        <w:numPr>
          <w:ilvl w:val="0"/>
          <w:numId w:val="5"/>
        </w:numPr>
      </w:pPr>
      <w:r>
        <w:t>TSR</w:t>
      </w:r>
    </w:p>
    <w:p w14:paraId="1EAC8703" w14:textId="77777777" w:rsidR="00AF1059" w:rsidRDefault="00AF1059" w:rsidP="00E96C2A"/>
    <w:p w14:paraId="108626AA" w14:textId="2DC368D9" w:rsidR="00AF1059" w:rsidRDefault="00DC782E" w:rsidP="00E96C2A">
      <w:r>
        <w:t xml:space="preserve">The onshore tax credit is simply calculated as 20% of the chargeable gain. This </w:t>
      </w:r>
      <w:r w:rsidR="00444963">
        <w:t>represents the theoretical 20% tax paid within the UK life fund</w:t>
      </w:r>
      <w:r w:rsidR="008F0E1D">
        <w:t xml:space="preserve"> by the Fund Manager</w:t>
      </w:r>
      <w:r w:rsidR="005A4E23">
        <w:t>:</w:t>
      </w:r>
    </w:p>
    <w:p w14:paraId="43564614" w14:textId="77777777" w:rsidR="008F0E1D" w:rsidRDefault="008F0E1D" w:rsidP="00E96C2A"/>
    <w:tbl>
      <w:tblPr>
        <w:tblStyle w:val="TableGrid"/>
        <w:tblW w:w="0" w:type="auto"/>
        <w:tblLook w:val="04A0" w:firstRow="1" w:lastRow="0" w:firstColumn="1" w:lastColumn="0" w:noHBand="0" w:noVBand="1"/>
      </w:tblPr>
      <w:tblGrid>
        <w:gridCol w:w="2405"/>
        <w:gridCol w:w="2196"/>
        <w:gridCol w:w="2324"/>
        <w:gridCol w:w="2425"/>
      </w:tblGrid>
      <w:tr w:rsidR="008F0E1D" w:rsidRPr="00E871BE" w14:paraId="1E0F1F83" w14:textId="77777777" w:rsidTr="0060768A">
        <w:tc>
          <w:tcPr>
            <w:tcW w:w="2405" w:type="dxa"/>
          </w:tcPr>
          <w:p w14:paraId="29F5C864" w14:textId="77777777" w:rsidR="008F0E1D" w:rsidRPr="00E871BE" w:rsidRDefault="008F0E1D" w:rsidP="0060768A">
            <w:pPr>
              <w:rPr>
                <w:b/>
                <w:bCs/>
              </w:rPr>
            </w:pPr>
            <w:r w:rsidRPr="00E871BE">
              <w:rPr>
                <w:b/>
                <w:bCs/>
              </w:rPr>
              <w:t>Income Source</w:t>
            </w:r>
          </w:p>
        </w:tc>
        <w:tc>
          <w:tcPr>
            <w:tcW w:w="2196" w:type="dxa"/>
          </w:tcPr>
          <w:p w14:paraId="5515800A" w14:textId="77777777" w:rsidR="008F0E1D" w:rsidRPr="00E871BE" w:rsidRDefault="008F0E1D" w:rsidP="0060768A">
            <w:pPr>
              <w:jc w:val="center"/>
              <w:rPr>
                <w:b/>
                <w:bCs/>
              </w:rPr>
            </w:pPr>
            <w:r w:rsidRPr="00E871BE">
              <w:rPr>
                <w:b/>
                <w:bCs/>
              </w:rPr>
              <w:t>Amount</w:t>
            </w:r>
          </w:p>
        </w:tc>
        <w:tc>
          <w:tcPr>
            <w:tcW w:w="2324" w:type="dxa"/>
          </w:tcPr>
          <w:p w14:paraId="34DDE610" w14:textId="77777777" w:rsidR="008F0E1D" w:rsidRPr="00E871BE" w:rsidRDefault="008F0E1D" w:rsidP="0060768A">
            <w:pPr>
              <w:jc w:val="center"/>
              <w:rPr>
                <w:b/>
                <w:bCs/>
              </w:rPr>
            </w:pPr>
            <w:r w:rsidRPr="00E871BE">
              <w:rPr>
                <w:b/>
                <w:bCs/>
              </w:rPr>
              <w:t>Tax Rate</w:t>
            </w:r>
          </w:p>
        </w:tc>
        <w:tc>
          <w:tcPr>
            <w:tcW w:w="2425" w:type="dxa"/>
          </w:tcPr>
          <w:p w14:paraId="3FCFB2E7" w14:textId="77777777" w:rsidR="008F0E1D" w:rsidRPr="00E871BE" w:rsidRDefault="008F0E1D" w:rsidP="0060768A">
            <w:pPr>
              <w:jc w:val="center"/>
              <w:rPr>
                <w:b/>
                <w:bCs/>
              </w:rPr>
            </w:pPr>
            <w:r w:rsidRPr="00E871BE">
              <w:rPr>
                <w:b/>
                <w:bCs/>
              </w:rPr>
              <w:t>Amount of Tax</w:t>
            </w:r>
          </w:p>
        </w:tc>
      </w:tr>
      <w:tr w:rsidR="008F0E1D" w14:paraId="0608D66B" w14:textId="77777777" w:rsidTr="0060768A">
        <w:tc>
          <w:tcPr>
            <w:tcW w:w="2405" w:type="dxa"/>
            <w:shd w:val="clear" w:color="auto" w:fill="BFBFBF" w:themeFill="background1" w:themeFillShade="BF"/>
          </w:tcPr>
          <w:p w14:paraId="4538A507" w14:textId="77777777" w:rsidR="008F0E1D" w:rsidRDefault="008F0E1D" w:rsidP="0060768A">
            <w:r>
              <w:t>Salary</w:t>
            </w:r>
          </w:p>
        </w:tc>
        <w:tc>
          <w:tcPr>
            <w:tcW w:w="2196" w:type="dxa"/>
            <w:shd w:val="clear" w:color="auto" w:fill="BFBFBF" w:themeFill="background1" w:themeFillShade="BF"/>
          </w:tcPr>
          <w:p w14:paraId="291FDF7A" w14:textId="77777777" w:rsidR="008F0E1D" w:rsidRDefault="008F0E1D" w:rsidP="0060768A">
            <w:pPr>
              <w:jc w:val="center"/>
            </w:pPr>
            <w:r>
              <w:t>£12,570</w:t>
            </w:r>
          </w:p>
        </w:tc>
        <w:tc>
          <w:tcPr>
            <w:tcW w:w="2324" w:type="dxa"/>
            <w:shd w:val="clear" w:color="auto" w:fill="BFBFBF" w:themeFill="background1" w:themeFillShade="BF"/>
          </w:tcPr>
          <w:p w14:paraId="46CD0E4E" w14:textId="77777777" w:rsidR="008F0E1D" w:rsidRDefault="008F0E1D" w:rsidP="0060768A">
            <w:pPr>
              <w:jc w:val="center"/>
            </w:pPr>
            <w:r>
              <w:t>0% Personal Allowance</w:t>
            </w:r>
          </w:p>
        </w:tc>
        <w:tc>
          <w:tcPr>
            <w:tcW w:w="2425" w:type="dxa"/>
            <w:shd w:val="clear" w:color="auto" w:fill="BFBFBF" w:themeFill="background1" w:themeFillShade="BF"/>
          </w:tcPr>
          <w:p w14:paraId="43AAAF03" w14:textId="77777777" w:rsidR="008F0E1D" w:rsidRDefault="008F0E1D" w:rsidP="0060768A">
            <w:pPr>
              <w:jc w:val="center"/>
            </w:pPr>
            <w:r>
              <w:t>£0</w:t>
            </w:r>
          </w:p>
        </w:tc>
      </w:tr>
      <w:tr w:rsidR="008F0E1D" w14:paraId="2F0EDB39" w14:textId="77777777" w:rsidTr="0060768A">
        <w:tc>
          <w:tcPr>
            <w:tcW w:w="2405" w:type="dxa"/>
            <w:shd w:val="clear" w:color="auto" w:fill="BFBFBF" w:themeFill="background1" w:themeFillShade="BF"/>
          </w:tcPr>
          <w:p w14:paraId="1C166F8F" w14:textId="77777777" w:rsidR="008F0E1D" w:rsidRDefault="008F0E1D" w:rsidP="0060768A"/>
        </w:tc>
        <w:tc>
          <w:tcPr>
            <w:tcW w:w="2196" w:type="dxa"/>
            <w:shd w:val="clear" w:color="auto" w:fill="BFBFBF" w:themeFill="background1" w:themeFillShade="BF"/>
          </w:tcPr>
          <w:p w14:paraId="23C28CA1" w14:textId="77777777" w:rsidR="008F0E1D" w:rsidRDefault="008F0E1D" w:rsidP="0060768A">
            <w:pPr>
              <w:jc w:val="center"/>
            </w:pPr>
            <w:r>
              <w:t>£</w:t>
            </w:r>
            <w:r w:rsidRPr="004B099E">
              <w:t>32,200</w:t>
            </w:r>
          </w:p>
        </w:tc>
        <w:tc>
          <w:tcPr>
            <w:tcW w:w="2324" w:type="dxa"/>
            <w:shd w:val="clear" w:color="auto" w:fill="BFBFBF" w:themeFill="background1" w:themeFillShade="BF"/>
          </w:tcPr>
          <w:p w14:paraId="7999C17E" w14:textId="77777777" w:rsidR="008F0E1D" w:rsidRDefault="008F0E1D" w:rsidP="0060768A">
            <w:pPr>
              <w:jc w:val="center"/>
            </w:pPr>
            <w:r>
              <w:t>20%</w:t>
            </w:r>
          </w:p>
        </w:tc>
        <w:tc>
          <w:tcPr>
            <w:tcW w:w="2425" w:type="dxa"/>
            <w:shd w:val="clear" w:color="auto" w:fill="BFBFBF" w:themeFill="background1" w:themeFillShade="BF"/>
          </w:tcPr>
          <w:p w14:paraId="1AA10A25" w14:textId="77777777" w:rsidR="008F0E1D" w:rsidRDefault="008F0E1D" w:rsidP="0060768A">
            <w:pPr>
              <w:jc w:val="center"/>
            </w:pPr>
            <w:r>
              <w:t>£</w:t>
            </w:r>
            <w:r w:rsidRPr="00E871BE">
              <w:t>6,440</w:t>
            </w:r>
          </w:p>
        </w:tc>
      </w:tr>
      <w:tr w:rsidR="008F0E1D" w14:paraId="67ACE5AC" w14:textId="77777777" w:rsidTr="0060768A">
        <w:tc>
          <w:tcPr>
            <w:tcW w:w="2405" w:type="dxa"/>
            <w:shd w:val="clear" w:color="auto" w:fill="BFBFBF" w:themeFill="background1" w:themeFillShade="BF"/>
          </w:tcPr>
          <w:p w14:paraId="67FCF2DF" w14:textId="77777777" w:rsidR="008F0E1D" w:rsidRDefault="008F0E1D" w:rsidP="0060768A"/>
        </w:tc>
        <w:tc>
          <w:tcPr>
            <w:tcW w:w="2196" w:type="dxa"/>
            <w:shd w:val="clear" w:color="auto" w:fill="BFBFBF" w:themeFill="background1" w:themeFillShade="BF"/>
          </w:tcPr>
          <w:p w14:paraId="6DFE34B1" w14:textId="77777777" w:rsidR="008F0E1D" w:rsidRDefault="008F0E1D" w:rsidP="0060768A">
            <w:pPr>
              <w:jc w:val="center"/>
            </w:pPr>
            <w:r>
              <w:t>£0</w:t>
            </w:r>
          </w:p>
        </w:tc>
        <w:tc>
          <w:tcPr>
            <w:tcW w:w="2324" w:type="dxa"/>
            <w:shd w:val="clear" w:color="auto" w:fill="BFBFBF" w:themeFill="background1" w:themeFillShade="BF"/>
          </w:tcPr>
          <w:p w14:paraId="4C3868C8" w14:textId="77777777" w:rsidR="008F0E1D" w:rsidRDefault="008F0E1D" w:rsidP="0060768A">
            <w:pPr>
              <w:jc w:val="center"/>
            </w:pPr>
            <w:r>
              <w:t>40%</w:t>
            </w:r>
          </w:p>
        </w:tc>
        <w:tc>
          <w:tcPr>
            <w:tcW w:w="2425" w:type="dxa"/>
            <w:shd w:val="clear" w:color="auto" w:fill="BFBFBF" w:themeFill="background1" w:themeFillShade="BF"/>
          </w:tcPr>
          <w:p w14:paraId="2B188B83" w14:textId="77777777" w:rsidR="008F0E1D" w:rsidRDefault="008F0E1D" w:rsidP="0060768A">
            <w:pPr>
              <w:jc w:val="center"/>
            </w:pPr>
            <w:r>
              <w:t>£0</w:t>
            </w:r>
          </w:p>
        </w:tc>
      </w:tr>
      <w:tr w:rsidR="008F0E1D" w14:paraId="2E862FE8" w14:textId="77777777" w:rsidTr="0060768A">
        <w:tc>
          <w:tcPr>
            <w:tcW w:w="2405" w:type="dxa"/>
            <w:shd w:val="clear" w:color="auto" w:fill="BFBFBF" w:themeFill="background1" w:themeFillShade="BF"/>
          </w:tcPr>
          <w:p w14:paraId="6EF3E374" w14:textId="77777777" w:rsidR="008F0E1D" w:rsidRDefault="008F0E1D" w:rsidP="0060768A"/>
        </w:tc>
        <w:tc>
          <w:tcPr>
            <w:tcW w:w="2196" w:type="dxa"/>
            <w:shd w:val="clear" w:color="auto" w:fill="BFBFBF" w:themeFill="background1" w:themeFillShade="BF"/>
          </w:tcPr>
          <w:p w14:paraId="1D69CF88" w14:textId="77777777" w:rsidR="008F0E1D" w:rsidRDefault="008F0E1D" w:rsidP="0060768A">
            <w:pPr>
              <w:jc w:val="center"/>
            </w:pPr>
            <w:r>
              <w:t>£0</w:t>
            </w:r>
          </w:p>
        </w:tc>
        <w:tc>
          <w:tcPr>
            <w:tcW w:w="2324" w:type="dxa"/>
            <w:shd w:val="clear" w:color="auto" w:fill="BFBFBF" w:themeFill="background1" w:themeFillShade="BF"/>
          </w:tcPr>
          <w:p w14:paraId="7F4B4794" w14:textId="77777777" w:rsidR="008F0E1D" w:rsidRDefault="008F0E1D" w:rsidP="0060768A">
            <w:pPr>
              <w:jc w:val="center"/>
            </w:pPr>
            <w:r>
              <w:t>45%</w:t>
            </w:r>
          </w:p>
        </w:tc>
        <w:tc>
          <w:tcPr>
            <w:tcW w:w="2425" w:type="dxa"/>
            <w:shd w:val="clear" w:color="auto" w:fill="BFBFBF" w:themeFill="background1" w:themeFillShade="BF"/>
          </w:tcPr>
          <w:p w14:paraId="0605FB4B" w14:textId="77777777" w:rsidR="008F0E1D" w:rsidRDefault="008F0E1D" w:rsidP="0060768A">
            <w:pPr>
              <w:jc w:val="center"/>
            </w:pPr>
            <w:r>
              <w:t>£0</w:t>
            </w:r>
          </w:p>
        </w:tc>
      </w:tr>
      <w:tr w:rsidR="008F0E1D" w14:paraId="7C200CF4" w14:textId="77777777" w:rsidTr="0060768A">
        <w:tc>
          <w:tcPr>
            <w:tcW w:w="2405" w:type="dxa"/>
            <w:shd w:val="clear" w:color="auto" w:fill="F2F2F2" w:themeFill="background1" w:themeFillShade="F2"/>
          </w:tcPr>
          <w:p w14:paraId="6CE8B1F1" w14:textId="77777777" w:rsidR="008F0E1D" w:rsidRDefault="008F0E1D" w:rsidP="0060768A">
            <w:r>
              <w:t>Savings Income</w:t>
            </w:r>
          </w:p>
        </w:tc>
        <w:tc>
          <w:tcPr>
            <w:tcW w:w="2196" w:type="dxa"/>
            <w:shd w:val="clear" w:color="auto" w:fill="F2F2F2" w:themeFill="background1" w:themeFillShade="F2"/>
          </w:tcPr>
          <w:p w14:paraId="35FF6283" w14:textId="77777777" w:rsidR="008F0E1D" w:rsidRDefault="008F0E1D" w:rsidP="0060768A">
            <w:pPr>
              <w:jc w:val="center"/>
            </w:pPr>
            <w:r>
              <w:t>£500</w:t>
            </w:r>
          </w:p>
        </w:tc>
        <w:tc>
          <w:tcPr>
            <w:tcW w:w="2324" w:type="dxa"/>
            <w:shd w:val="clear" w:color="auto" w:fill="F2F2F2" w:themeFill="background1" w:themeFillShade="F2"/>
          </w:tcPr>
          <w:p w14:paraId="21730E17" w14:textId="77777777" w:rsidR="008F0E1D" w:rsidRDefault="008F0E1D" w:rsidP="0060768A">
            <w:pPr>
              <w:jc w:val="center"/>
            </w:pPr>
            <w:r>
              <w:t>0% PSA</w:t>
            </w:r>
          </w:p>
        </w:tc>
        <w:tc>
          <w:tcPr>
            <w:tcW w:w="2425" w:type="dxa"/>
            <w:shd w:val="clear" w:color="auto" w:fill="F2F2F2" w:themeFill="background1" w:themeFillShade="F2"/>
          </w:tcPr>
          <w:p w14:paraId="55F03B4E" w14:textId="77777777" w:rsidR="008F0E1D" w:rsidRDefault="008F0E1D" w:rsidP="0060768A">
            <w:pPr>
              <w:jc w:val="center"/>
            </w:pPr>
            <w:r>
              <w:t>£0</w:t>
            </w:r>
          </w:p>
        </w:tc>
      </w:tr>
      <w:tr w:rsidR="008F0E1D" w14:paraId="29DCB943" w14:textId="77777777" w:rsidTr="0060768A">
        <w:tc>
          <w:tcPr>
            <w:tcW w:w="2405" w:type="dxa"/>
            <w:shd w:val="clear" w:color="auto" w:fill="F2F2F2" w:themeFill="background1" w:themeFillShade="F2"/>
          </w:tcPr>
          <w:p w14:paraId="749DE2E0" w14:textId="77777777" w:rsidR="008F0E1D" w:rsidRDefault="008F0E1D" w:rsidP="0060768A"/>
        </w:tc>
        <w:tc>
          <w:tcPr>
            <w:tcW w:w="2196" w:type="dxa"/>
            <w:shd w:val="clear" w:color="auto" w:fill="F2F2F2" w:themeFill="background1" w:themeFillShade="F2"/>
          </w:tcPr>
          <w:p w14:paraId="68159D7D" w14:textId="77777777" w:rsidR="008F0E1D" w:rsidRDefault="008F0E1D" w:rsidP="0060768A">
            <w:pPr>
              <w:jc w:val="center"/>
            </w:pPr>
            <w:r>
              <w:t>£0</w:t>
            </w:r>
          </w:p>
        </w:tc>
        <w:tc>
          <w:tcPr>
            <w:tcW w:w="2324" w:type="dxa"/>
            <w:shd w:val="clear" w:color="auto" w:fill="F2F2F2" w:themeFill="background1" w:themeFillShade="F2"/>
          </w:tcPr>
          <w:p w14:paraId="2047B6D4" w14:textId="77777777" w:rsidR="008F0E1D" w:rsidRDefault="008F0E1D" w:rsidP="0060768A">
            <w:pPr>
              <w:jc w:val="center"/>
            </w:pPr>
            <w:r>
              <w:t>20%</w:t>
            </w:r>
          </w:p>
        </w:tc>
        <w:tc>
          <w:tcPr>
            <w:tcW w:w="2425" w:type="dxa"/>
            <w:shd w:val="clear" w:color="auto" w:fill="F2F2F2" w:themeFill="background1" w:themeFillShade="F2"/>
          </w:tcPr>
          <w:p w14:paraId="7A3DA480" w14:textId="77777777" w:rsidR="008F0E1D" w:rsidRDefault="008F0E1D" w:rsidP="0060768A">
            <w:pPr>
              <w:jc w:val="center"/>
            </w:pPr>
            <w:r>
              <w:t>£0</w:t>
            </w:r>
          </w:p>
        </w:tc>
      </w:tr>
      <w:tr w:rsidR="008F0E1D" w14:paraId="2C5C4ECE" w14:textId="77777777" w:rsidTr="0060768A">
        <w:tc>
          <w:tcPr>
            <w:tcW w:w="2405" w:type="dxa"/>
            <w:shd w:val="clear" w:color="auto" w:fill="F2F2F2" w:themeFill="background1" w:themeFillShade="F2"/>
          </w:tcPr>
          <w:p w14:paraId="13BC156F" w14:textId="77777777" w:rsidR="008F0E1D" w:rsidRDefault="008F0E1D" w:rsidP="0060768A"/>
        </w:tc>
        <w:tc>
          <w:tcPr>
            <w:tcW w:w="2196" w:type="dxa"/>
            <w:shd w:val="clear" w:color="auto" w:fill="F2F2F2" w:themeFill="background1" w:themeFillShade="F2"/>
          </w:tcPr>
          <w:p w14:paraId="318F11DA" w14:textId="77777777" w:rsidR="008F0E1D" w:rsidRDefault="008F0E1D" w:rsidP="0060768A">
            <w:pPr>
              <w:jc w:val="center"/>
            </w:pPr>
            <w:r>
              <w:t>£0</w:t>
            </w:r>
          </w:p>
        </w:tc>
        <w:tc>
          <w:tcPr>
            <w:tcW w:w="2324" w:type="dxa"/>
            <w:shd w:val="clear" w:color="auto" w:fill="F2F2F2" w:themeFill="background1" w:themeFillShade="F2"/>
          </w:tcPr>
          <w:p w14:paraId="58AC9975" w14:textId="77777777" w:rsidR="008F0E1D" w:rsidRDefault="008F0E1D" w:rsidP="0060768A">
            <w:pPr>
              <w:jc w:val="center"/>
            </w:pPr>
            <w:r>
              <w:t>40%</w:t>
            </w:r>
          </w:p>
        </w:tc>
        <w:tc>
          <w:tcPr>
            <w:tcW w:w="2425" w:type="dxa"/>
            <w:shd w:val="clear" w:color="auto" w:fill="F2F2F2" w:themeFill="background1" w:themeFillShade="F2"/>
          </w:tcPr>
          <w:p w14:paraId="7087FF5C" w14:textId="77777777" w:rsidR="008F0E1D" w:rsidRDefault="008F0E1D" w:rsidP="0060768A">
            <w:pPr>
              <w:jc w:val="center"/>
            </w:pPr>
            <w:r>
              <w:t>£0</w:t>
            </w:r>
          </w:p>
        </w:tc>
      </w:tr>
      <w:tr w:rsidR="008F0E1D" w14:paraId="3B16D7BC" w14:textId="77777777" w:rsidTr="0060768A">
        <w:tc>
          <w:tcPr>
            <w:tcW w:w="2405" w:type="dxa"/>
            <w:shd w:val="clear" w:color="auto" w:fill="F2F2F2" w:themeFill="background1" w:themeFillShade="F2"/>
          </w:tcPr>
          <w:p w14:paraId="6C47FB57" w14:textId="77777777" w:rsidR="008F0E1D" w:rsidRDefault="008F0E1D" w:rsidP="0060768A"/>
        </w:tc>
        <w:tc>
          <w:tcPr>
            <w:tcW w:w="2196" w:type="dxa"/>
            <w:shd w:val="clear" w:color="auto" w:fill="F2F2F2" w:themeFill="background1" w:themeFillShade="F2"/>
          </w:tcPr>
          <w:p w14:paraId="208235E3" w14:textId="77777777" w:rsidR="008F0E1D" w:rsidRDefault="008F0E1D" w:rsidP="0060768A">
            <w:pPr>
              <w:jc w:val="center"/>
            </w:pPr>
            <w:r>
              <w:t>£0</w:t>
            </w:r>
          </w:p>
        </w:tc>
        <w:tc>
          <w:tcPr>
            <w:tcW w:w="2324" w:type="dxa"/>
            <w:shd w:val="clear" w:color="auto" w:fill="F2F2F2" w:themeFill="background1" w:themeFillShade="F2"/>
          </w:tcPr>
          <w:p w14:paraId="3E5A13EA" w14:textId="77777777" w:rsidR="008F0E1D" w:rsidRDefault="008F0E1D" w:rsidP="0060768A">
            <w:pPr>
              <w:jc w:val="center"/>
            </w:pPr>
            <w:r>
              <w:t>45%</w:t>
            </w:r>
          </w:p>
        </w:tc>
        <w:tc>
          <w:tcPr>
            <w:tcW w:w="2425" w:type="dxa"/>
            <w:shd w:val="clear" w:color="auto" w:fill="F2F2F2" w:themeFill="background1" w:themeFillShade="F2"/>
          </w:tcPr>
          <w:p w14:paraId="20BAD8AB" w14:textId="77777777" w:rsidR="008F0E1D" w:rsidRDefault="008F0E1D" w:rsidP="0060768A">
            <w:pPr>
              <w:jc w:val="center"/>
            </w:pPr>
            <w:r>
              <w:t>£0</w:t>
            </w:r>
          </w:p>
        </w:tc>
      </w:tr>
      <w:tr w:rsidR="008F0E1D" w14:paraId="48F58E62" w14:textId="77777777" w:rsidTr="0060768A">
        <w:tc>
          <w:tcPr>
            <w:tcW w:w="2405" w:type="dxa"/>
            <w:shd w:val="clear" w:color="auto" w:fill="BFBFBF" w:themeFill="background1" w:themeFillShade="BF"/>
          </w:tcPr>
          <w:p w14:paraId="765F294D" w14:textId="77777777" w:rsidR="008F0E1D" w:rsidRDefault="008F0E1D" w:rsidP="0060768A">
            <w:r>
              <w:t>UK Chargeable Gain</w:t>
            </w:r>
          </w:p>
        </w:tc>
        <w:tc>
          <w:tcPr>
            <w:tcW w:w="2196" w:type="dxa"/>
            <w:shd w:val="clear" w:color="auto" w:fill="BFBFBF" w:themeFill="background1" w:themeFillShade="BF"/>
          </w:tcPr>
          <w:p w14:paraId="3BC05F4A" w14:textId="77777777" w:rsidR="008F0E1D" w:rsidRDefault="008F0E1D" w:rsidP="0060768A">
            <w:pPr>
              <w:jc w:val="center"/>
            </w:pPr>
            <w:r>
              <w:t>£0</w:t>
            </w:r>
          </w:p>
        </w:tc>
        <w:tc>
          <w:tcPr>
            <w:tcW w:w="2324" w:type="dxa"/>
            <w:shd w:val="clear" w:color="auto" w:fill="BFBFBF" w:themeFill="background1" w:themeFillShade="BF"/>
          </w:tcPr>
          <w:p w14:paraId="5E147E83" w14:textId="77777777" w:rsidR="008F0E1D" w:rsidRDefault="008F0E1D" w:rsidP="0060768A">
            <w:pPr>
              <w:jc w:val="center"/>
            </w:pPr>
            <w:r>
              <w:t>0%</w:t>
            </w:r>
          </w:p>
        </w:tc>
        <w:tc>
          <w:tcPr>
            <w:tcW w:w="2425" w:type="dxa"/>
            <w:shd w:val="clear" w:color="auto" w:fill="BFBFBF" w:themeFill="background1" w:themeFillShade="BF"/>
          </w:tcPr>
          <w:p w14:paraId="53463F41" w14:textId="77777777" w:rsidR="008F0E1D" w:rsidRDefault="008F0E1D" w:rsidP="0060768A">
            <w:pPr>
              <w:jc w:val="center"/>
            </w:pPr>
            <w:r>
              <w:t>£0</w:t>
            </w:r>
          </w:p>
        </w:tc>
      </w:tr>
      <w:tr w:rsidR="008F0E1D" w14:paraId="17A50783" w14:textId="77777777" w:rsidTr="0060768A">
        <w:tc>
          <w:tcPr>
            <w:tcW w:w="2405" w:type="dxa"/>
            <w:shd w:val="clear" w:color="auto" w:fill="BFBFBF" w:themeFill="background1" w:themeFillShade="BF"/>
          </w:tcPr>
          <w:p w14:paraId="0F64236A" w14:textId="77777777" w:rsidR="008F0E1D" w:rsidRDefault="008F0E1D" w:rsidP="0060768A"/>
        </w:tc>
        <w:tc>
          <w:tcPr>
            <w:tcW w:w="2196" w:type="dxa"/>
            <w:shd w:val="clear" w:color="auto" w:fill="BFBFBF" w:themeFill="background1" w:themeFillShade="BF"/>
          </w:tcPr>
          <w:p w14:paraId="0FAF5CDF" w14:textId="77777777" w:rsidR="008F0E1D" w:rsidRDefault="008F0E1D" w:rsidP="0060768A">
            <w:pPr>
              <w:jc w:val="center"/>
            </w:pPr>
            <w:r>
              <w:t>£5,000</w:t>
            </w:r>
          </w:p>
        </w:tc>
        <w:tc>
          <w:tcPr>
            <w:tcW w:w="2324" w:type="dxa"/>
            <w:shd w:val="clear" w:color="auto" w:fill="BFBFBF" w:themeFill="background1" w:themeFillShade="BF"/>
          </w:tcPr>
          <w:p w14:paraId="558A95CD" w14:textId="77777777" w:rsidR="008F0E1D" w:rsidRDefault="008F0E1D" w:rsidP="0060768A">
            <w:pPr>
              <w:jc w:val="center"/>
            </w:pPr>
            <w:r>
              <w:t>20%</w:t>
            </w:r>
          </w:p>
        </w:tc>
        <w:tc>
          <w:tcPr>
            <w:tcW w:w="2425" w:type="dxa"/>
            <w:shd w:val="clear" w:color="auto" w:fill="BFBFBF" w:themeFill="background1" w:themeFillShade="BF"/>
          </w:tcPr>
          <w:p w14:paraId="40A1BB8E" w14:textId="77777777" w:rsidR="008F0E1D" w:rsidRDefault="008F0E1D" w:rsidP="0060768A">
            <w:pPr>
              <w:jc w:val="center"/>
            </w:pPr>
            <w:r>
              <w:t>£1,000</w:t>
            </w:r>
          </w:p>
        </w:tc>
      </w:tr>
      <w:tr w:rsidR="008F0E1D" w14:paraId="28C91C0D" w14:textId="77777777" w:rsidTr="0060768A">
        <w:tc>
          <w:tcPr>
            <w:tcW w:w="2405" w:type="dxa"/>
            <w:shd w:val="clear" w:color="auto" w:fill="BFBFBF" w:themeFill="background1" w:themeFillShade="BF"/>
          </w:tcPr>
          <w:p w14:paraId="311DE6A9" w14:textId="77777777" w:rsidR="008F0E1D" w:rsidRDefault="008F0E1D" w:rsidP="0060768A"/>
        </w:tc>
        <w:tc>
          <w:tcPr>
            <w:tcW w:w="2196" w:type="dxa"/>
            <w:shd w:val="clear" w:color="auto" w:fill="BFBFBF" w:themeFill="background1" w:themeFillShade="BF"/>
          </w:tcPr>
          <w:p w14:paraId="6326B277" w14:textId="77777777" w:rsidR="008F0E1D" w:rsidRDefault="008F0E1D" w:rsidP="0060768A">
            <w:pPr>
              <w:jc w:val="center"/>
            </w:pPr>
            <w:r>
              <w:t>£45,000</w:t>
            </w:r>
          </w:p>
        </w:tc>
        <w:tc>
          <w:tcPr>
            <w:tcW w:w="2324" w:type="dxa"/>
            <w:shd w:val="clear" w:color="auto" w:fill="BFBFBF" w:themeFill="background1" w:themeFillShade="BF"/>
          </w:tcPr>
          <w:p w14:paraId="5E996D99" w14:textId="77777777" w:rsidR="008F0E1D" w:rsidRDefault="008F0E1D" w:rsidP="0060768A">
            <w:pPr>
              <w:jc w:val="center"/>
            </w:pPr>
            <w:r>
              <w:t>40%</w:t>
            </w:r>
          </w:p>
        </w:tc>
        <w:tc>
          <w:tcPr>
            <w:tcW w:w="2425" w:type="dxa"/>
            <w:shd w:val="clear" w:color="auto" w:fill="BFBFBF" w:themeFill="background1" w:themeFillShade="BF"/>
          </w:tcPr>
          <w:p w14:paraId="3F0E75C7" w14:textId="77777777" w:rsidR="008F0E1D" w:rsidRDefault="008F0E1D" w:rsidP="0060768A">
            <w:pPr>
              <w:jc w:val="center"/>
            </w:pPr>
            <w:r>
              <w:t>£18,000</w:t>
            </w:r>
          </w:p>
        </w:tc>
      </w:tr>
      <w:tr w:rsidR="008F0E1D" w14:paraId="30C835D1" w14:textId="77777777" w:rsidTr="0060768A">
        <w:tc>
          <w:tcPr>
            <w:tcW w:w="2405" w:type="dxa"/>
            <w:shd w:val="clear" w:color="auto" w:fill="BFBFBF" w:themeFill="background1" w:themeFillShade="BF"/>
          </w:tcPr>
          <w:p w14:paraId="4645E082" w14:textId="77777777" w:rsidR="008F0E1D" w:rsidRDefault="008F0E1D" w:rsidP="0060768A"/>
        </w:tc>
        <w:tc>
          <w:tcPr>
            <w:tcW w:w="2196" w:type="dxa"/>
            <w:shd w:val="clear" w:color="auto" w:fill="BFBFBF" w:themeFill="background1" w:themeFillShade="BF"/>
          </w:tcPr>
          <w:p w14:paraId="01C2C781" w14:textId="77777777" w:rsidR="008F0E1D" w:rsidRDefault="008F0E1D" w:rsidP="0060768A">
            <w:pPr>
              <w:jc w:val="center"/>
            </w:pPr>
            <w:r>
              <w:t>£0</w:t>
            </w:r>
          </w:p>
        </w:tc>
        <w:tc>
          <w:tcPr>
            <w:tcW w:w="2324" w:type="dxa"/>
            <w:shd w:val="clear" w:color="auto" w:fill="BFBFBF" w:themeFill="background1" w:themeFillShade="BF"/>
          </w:tcPr>
          <w:p w14:paraId="286C3F09" w14:textId="77777777" w:rsidR="008F0E1D" w:rsidRDefault="008F0E1D" w:rsidP="0060768A">
            <w:pPr>
              <w:jc w:val="center"/>
            </w:pPr>
            <w:r>
              <w:t>45%</w:t>
            </w:r>
          </w:p>
        </w:tc>
        <w:tc>
          <w:tcPr>
            <w:tcW w:w="2425" w:type="dxa"/>
            <w:shd w:val="clear" w:color="auto" w:fill="BFBFBF" w:themeFill="background1" w:themeFillShade="BF"/>
          </w:tcPr>
          <w:p w14:paraId="5BBB0553" w14:textId="77777777" w:rsidR="008F0E1D" w:rsidRDefault="008F0E1D" w:rsidP="0060768A">
            <w:pPr>
              <w:jc w:val="center"/>
            </w:pPr>
            <w:r>
              <w:t>£0</w:t>
            </w:r>
          </w:p>
        </w:tc>
      </w:tr>
      <w:tr w:rsidR="008F0E1D" w:rsidRPr="00AF1059" w14:paraId="10150AA9" w14:textId="77777777" w:rsidTr="0060768A">
        <w:tc>
          <w:tcPr>
            <w:tcW w:w="2405" w:type="dxa"/>
            <w:shd w:val="clear" w:color="auto" w:fill="000000" w:themeFill="text1"/>
          </w:tcPr>
          <w:p w14:paraId="0BC565A6" w14:textId="77777777" w:rsidR="008F0E1D" w:rsidRPr="00AF1059" w:rsidRDefault="008F0E1D" w:rsidP="0060768A">
            <w:pPr>
              <w:rPr>
                <w:b/>
                <w:bCs/>
              </w:rPr>
            </w:pPr>
            <w:r w:rsidRPr="00AF1059">
              <w:rPr>
                <w:b/>
                <w:bCs/>
              </w:rPr>
              <w:t>Total</w:t>
            </w:r>
          </w:p>
        </w:tc>
        <w:tc>
          <w:tcPr>
            <w:tcW w:w="2196" w:type="dxa"/>
            <w:shd w:val="clear" w:color="auto" w:fill="000000" w:themeFill="text1"/>
          </w:tcPr>
          <w:p w14:paraId="2ED9592A" w14:textId="77777777" w:rsidR="008F0E1D" w:rsidRPr="00AF1059" w:rsidRDefault="008F0E1D" w:rsidP="0060768A">
            <w:pPr>
              <w:jc w:val="center"/>
              <w:rPr>
                <w:b/>
                <w:bCs/>
              </w:rPr>
            </w:pPr>
            <w:r w:rsidRPr="00AF1059">
              <w:rPr>
                <w:b/>
                <w:bCs/>
              </w:rPr>
              <w:t>£95,270</w:t>
            </w:r>
          </w:p>
        </w:tc>
        <w:tc>
          <w:tcPr>
            <w:tcW w:w="2324" w:type="dxa"/>
            <w:shd w:val="clear" w:color="auto" w:fill="000000" w:themeFill="text1"/>
          </w:tcPr>
          <w:p w14:paraId="633E5B26" w14:textId="77777777" w:rsidR="008F0E1D" w:rsidRPr="00AF1059" w:rsidRDefault="008F0E1D" w:rsidP="0060768A">
            <w:pPr>
              <w:jc w:val="center"/>
              <w:rPr>
                <w:b/>
                <w:bCs/>
              </w:rPr>
            </w:pPr>
          </w:p>
        </w:tc>
        <w:tc>
          <w:tcPr>
            <w:tcW w:w="2425" w:type="dxa"/>
            <w:shd w:val="clear" w:color="auto" w:fill="000000" w:themeFill="text1"/>
          </w:tcPr>
          <w:p w14:paraId="6A3BB82A" w14:textId="77777777" w:rsidR="008F0E1D" w:rsidRPr="00AF1059" w:rsidRDefault="008F0E1D" w:rsidP="0060768A">
            <w:pPr>
              <w:jc w:val="center"/>
              <w:rPr>
                <w:b/>
                <w:bCs/>
              </w:rPr>
            </w:pPr>
            <w:r w:rsidRPr="00AF1059">
              <w:rPr>
                <w:b/>
                <w:bCs/>
              </w:rPr>
              <w:t>£25,440</w:t>
            </w:r>
          </w:p>
        </w:tc>
      </w:tr>
      <w:tr w:rsidR="008F0E1D" w:rsidRPr="00AF1059" w14:paraId="1CDF53EF" w14:textId="77777777" w:rsidTr="008F0E1D">
        <w:tc>
          <w:tcPr>
            <w:tcW w:w="2405" w:type="dxa"/>
            <w:shd w:val="clear" w:color="auto" w:fill="F2F2F2" w:themeFill="background1" w:themeFillShade="F2"/>
          </w:tcPr>
          <w:p w14:paraId="3AF3EF37" w14:textId="46A971E5" w:rsidR="008F0E1D" w:rsidRPr="008F0E1D" w:rsidRDefault="008F0E1D" w:rsidP="0060768A">
            <w:r w:rsidRPr="008F0E1D">
              <w:t>Onshore Tax Credit</w:t>
            </w:r>
          </w:p>
        </w:tc>
        <w:tc>
          <w:tcPr>
            <w:tcW w:w="2196" w:type="dxa"/>
            <w:shd w:val="clear" w:color="auto" w:fill="F2F2F2" w:themeFill="background1" w:themeFillShade="F2"/>
          </w:tcPr>
          <w:p w14:paraId="3B2CEBA5" w14:textId="684C6352" w:rsidR="008F0E1D" w:rsidRPr="009A0175" w:rsidRDefault="009A0175" w:rsidP="0060768A">
            <w:pPr>
              <w:jc w:val="center"/>
            </w:pPr>
            <w:r w:rsidRPr="009A0175">
              <w:t>(</w:t>
            </w:r>
            <w:r w:rsidR="008F0E1D" w:rsidRPr="009A0175">
              <w:t>£</w:t>
            </w:r>
            <w:r w:rsidRPr="009A0175">
              <w:t>50,000)</w:t>
            </w:r>
          </w:p>
        </w:tc>
        <w:tc>
          <w:tcPr>
            <w:tcW w:w="2324" w:type="dxa"/>
            <w:shd w:val="clear" w:color="auto" w:fill="F2F2F2" w:themeFill="background1" w:themeFillShade="F2"/>
          </w:tcPr>
          <w:p w14:paraId="4558EA8A" w14:textId="313CE5A0" w:rsidR="008F0E1D" w:rsidRPr="009A0175" w:rsidRDefault="009A0175" w:rsidP="0060768A">
            <w:pPr>
              <w:jc w:val="center"/>
            </w:pPr>
            <w:r w:rsidRPr="009A0175">
              <w:t>20%</w:t>
            </w:r>
          </w:p>
        </w:tc>
        <w:tc>
          <w:tcPr>
            <w:tcW w:w="2425" w:type="dxa"/>
            <w:shd w:val="clear" w:color="auto" w:fill="F2F2F2" w:themeFill="background1" w:themeFillShade="F2"/>
          </w:tcPr>
          <w:p w14:paraId="7F2A828D" w14:textId="79538F96" w:rsidR="008F0E1D" w:rsidRPr="009A0175" w:rsidRDefault="009A0175" w:rsidP="0060768A">
            <w:pPr>
              <w:jc w:val="center"/>
            </w:pPr>
            <w:r w:rsidRPr="009A0175">
              <w:t>(£10,000)</w:t>
            </w:r>
          </w:p>
        </w:tc>
      </w:tr>
      <w:tr w:rsidR="008F0E1D" w:rsidRPr="00AF1059" w14:paraId="2F0C59A4" w14:textId="77777777" w:rsidTr="008F0E1D">
        <w:tc>
          <w:tcPr>
            <w:tcW w:w="2405" w:type="dxa"/>
            <w:shd w:val="clear" w:color="auto" w:fill="F2F2F2" w:themeFill="background1" w:themeFillShade="F2"/>
          </w:tcPr>
          <w:p w14:paraId="3EA3C347" w14:textId="7FFD28C6" w:rsidR="008F0E1D" w:rsidRPr="00644F44" w:rsidRDefault="00644F44" w:rsidP="0060768A">
            <w:r w:rsidRPr="00644F44">
              <w:t>Top-Slicing Relief</w:t>
            </w:r>
          </w:p>
        </w:tc>
        <w:tc>
          <w:tcPr>
            <w:tcW w:w="2196" w:type="dxa"/>
            <w:shd w:val="clear" w:color="auto" w:fill="F2F2F2" w:themeFill="background1" w:themeFillShade="F2"/>
          </w:tcPr>
          <w:p w14:paraId="2B875143" w14:textId="77777777" w:rsidR="008F0E1D" w:rsidRPr="00AF1059" w:rsidRDefault="008F0E1D" w:rsidP="0060768A">
            <w:pPr>
              <w:jc w:val="center"/>
              <w:rPr>
                <w:b/>
                <w:bCs/>
              </w:rPr>
            </w:pPr>
          </w:p>
        </w:tc>
        <w:tc>
          <w:tcPr>
            <w:tcW w:w="2324" w:type="dxa"/>
            <w:shd w:val="clear" w:color="auto" w:fill="F2F2F2" w:themeFill="background1" w:themeFillShade="F2"/>
          </w:tcPr>
          <w:p w14:paraId="01454259" w14:textId="77777777" w:rsidR="008F0E1D" w:rsidRPr="00AF1059" w:rsidRDefault="008F0E1D" w:rsidP="0060768A">
            <w:pPr>
              <w:jc w:val="center"/>
              <w:rPr>
                <w:b/>
                <w:bCs/>
              </w:rPr>
            </w:pPr>
          </w:p>
        </w:tc>
        <w:tc>
          <w:tcPr>
            <w:tcW w:w="2425" w:type="dxa"/>
            <w:shd w:val="clear" w:color="auto" w:fill="F2F2F2" w:themeFill="background1" w:themeFillShade="F2"/>
          </w:tcPr>
          <w:p w14:paraId="590EFCFD" w14:textId="77777777" w:rsidR="008F0E1D" w:rsidRPr="00AF1059" w:rsidRDefault="008F0E1D" w:rsidP="0060768A">
            <w:pPr>
              <w:jc w:val="center"/>
              <w:rPr>
                <w:b/>
                <w:bCs/>
              </w:rPr>
            </w:pPr>
          </w:p>
        </w:tc>
      </w:tr>
      <w:tr w:rsidR="008F0E1D" w:rsidRPr="00AF1059" w14:paraId="35B0E0BC" w14:textId="77777777" w:rsidTr="005A4E23">
        <w:tc>
          <w:tcPr>
            <w:tcW w:w="2405" w:type="dxa"/>
            <w:shd w:val="clear" w:color="auto" w:fill="000000" w:themeFill="text1"/>
          </w:tcPr>
          <w:p w14:paraId="07D7C4D2" w14:textId="5F2FE94B" w:rsidR="008F0E1D" w:rsidRPr="00AF1059" w:rsidRDefault="005A4E23" w:rsidP="0060768A">
            <w:pPr>
              <w:rPr>
                <w:b/>
                <w:bCs/>
              </w:rPr>
            </w:pPr>
            <w:r>
              <w:rPr>
                <w:b/>
                <w:bCs/>
              </w:rPr>
              <w:t>Actual Tax Due</w:t>
            </w:r>
          </w:p>
        </w:tc>
        <w:tc>
          <w:tcPr>
            <w:tcW w:w="2196" w:type="dxa"/>
            <w:shd w:val="clear" w:color="auto" w:fill="000000" w:themeFill="text1"/>
          </w:tcPr>
          <w:p w14:paraId="7BA65067" w14:textId="77777777" w:rsidR="008F0E1D" w:rsidRPr="00AF1059" w:rsidRDefault="008F0E1D" w:rsidP="0060768A">
            <w:pPr>
              <w:jc w:val="center"/>
              <w:rPr>
                <w:b/>
                <w:bCs/>
              </w:rPr>
            </w:pPr>
          </w:p>
        </w:tc>
        <w:tc>
          <w:tcPr>
            <w:tcW w:w="2324" w:type="dxa"/>
            <w:shd w:val="clear" w:color="auto" w:fill="000000" w:themeFill="text1"/>
          </w:tcPr>
          <w:p w14:paraId="36676E63" w14:textId="77777777" w:rsidR="008F0E1D" w:rsidRPr="00AF1059" w:rsidRDefault="008F0E1D" w:rsidP="0060768A">
            <w:pPr>
              <w:jc w:val="center"/>
              <w:rPr>
                <w:b/>
                <w:bCs/>
              </w:rPr>
            </w:pPr>
          </w:p>
        </w:tc>
        <w:tc>
          <w:tcPr>
            <w:tcW w:w="2425" w:type="dxa"/>
            <w:shd w:val="clear" w:color="auto" w:fill="000000" w:themeFill="text1"/>
          </w:tcPr>
          <w:p w14:paraId="3902A641" w14:textId="77777777" w:rsidR="008F0E1D" w:rsidRPr="00AF1059" w:rsidRDefault="008F0E1D" w:rsidP="0060768A">
            <w:pPr>
              <w:jc w:val="center"/>
              <w:rPr>
                <w:b/>
                <w:bCs/>
              </w:rPr>
            </w:pPr>
          </w:p>
        </w:tc>
      </w:tr>
    </w:tbl>
    <w:p w14:paraId="124EA12F" w14:textId="77777777" w:rsidR="008F0E1D" w:rsidRDefault="008F0E1D" w:rsidP="00E96C2A"/>
    <w:p w14:paraId="6E610857" w14:textId="353353D7" w:rsidR="00025DBD" w:rsidRDefault="007E25C2" w:rsidP="00E96C2A">
      <w:r>
        <w:t>For the TSR, we need to compl</w:t>
      </w:r>
      <w:r w:rsidR="00552E38">
        <w:t>ete some calculations. Contrary to common myth, they’re not very difficult; it just takes time and practice to memorise all the steps.</w:t>
      </w:r>
    </w:p>
    <w:p w14:paraId="0D24368D" w14:textId="414D71B9" w:rsidR="00025DBD" w:rsidRDefault="00025DBD" w:rsidP="00E96C2A"/>
    <w:p w14:paraId="53F5B55D" w14:textId="5A4B7062" w:rsidR="00FC6983" w:rsidRDefault="00025DBD" w:rsidP="00E96C2A">
      <w:r>
        <w:t xml:space="preserve">The point of TSR is to acknowledge that a gain has likely accrued over several years, and </w:t>
      </w:r>
      <w:r w:rsidR="00625119">
        <w:t xml:space="preserve">it would be unfair to tax it all as if the entire gain was </w:t>
      </w:r>
      <w:r w:rsidR="003C1AEB">
        <w:t xml:space="preserve">earned </w:t>
      </w:r>
      <w:r w:rsidR="00625119">
        <w:t>in a single year.</w:t>
      </w:r>
      <w:r w:rsidR="003C1AEB">
        <w:t xml:space="preserve"> TSR has the effect of spreading the gain over all the complete years the policy has been in force</w:t>
      </w:r>
      <w:r w:rsidR="00CE0368">
        <w:t>, resulting in a much more proportionate tax bill.</w:t>
      </w:r>
      <w:r w:rsidR="00820C2A">
        <w:t xml:space="preserve"> </w:t>
      </w:r>
      <w:r w:rsidR="00F53A16">
        <w:t xml:space="preserve">TSR is usually available where a chargeable gain results in </w:t>
      </w:r>
      <w:r w:rsidR="00501F21">
        <w:t>the policyholder being brought into a higher tax bracket than they would otherwise be</w:t>
      </w:r>
      <w:r w:rsidR="00784CFD">
        <w:t>; however, this is not always the case</w:t>
      </w:r>
      <w:r w:rsidR="00FC6983">
        <w:t>.</w:t>
      </w:r>
    </w:p>
    <w:p w14:paraId="1B234548" w14:textId="3325A14A" w:rsidR="00FC6983" w:rsidRDefault="00FC6983" w:rsidP="00E96C2A"/>
    <w:p w14:paraId="45A96E52" w14:textId="3EB8F2D1" w:rsidR="00FC6983" w:rsidRDefault="006A069E" w:rsidP="00E96C2A">
      <w:r>
        <w:t xml:space="preserve">Similarly, TSR is unlikely to be available where the gain does not take the policyholder into a </w:t>
      </w:r>
      <w:r w:rsidR="009D3CDA">
        <w:t>higher tax bracket than they would otherwise be. Again, this isn’t always the case.</w:t>
      </w:r>
    </w:p>
    <w:p w14:paraId="0BC239E2" w14:textId="77777777" w:rsidR="00025DBD" w:rsidRDefault="00025DBD" w:rsidP="00E96C2A"/>
    <w:p w14:paraId="7799D092" w14:textId="3C373F49" w:rsidR="00CE4650" w:rsidRDefault="00E83684" w:rsidP="00E96C2A">
      <w:r>
        <w:t>There is a simpl</w:t>
      </w:r>
      <w:r w:rsidR="009D3CDA">
        <w:t>e</w:t>
      </w:r>
      <w:r>
        <w:t xml:space="preserve"> formula for working out TSR:</w:t>
      </w:r>
    </w:p>
    <w:p w14:paraId="07734773" w14:textId="77777777" w:rsidR="008F0E1D" w:rsidRDefault="008F0E1D" w:rsidP="00E96C2A"/>
    <w:p w14:paraId="3F9FED5F" w14:textId="4B9E8356" w:rsidR="00552E38" w:rsidRPr="00E83684" w:rsidRDefault="00E83684" w:rsidP="00E83684">
      <w:pPr>
        <w:pBdr>
          <w:top w:val="single" w:sz="4" w:space="1" w:color="auto"/>
          <w:left w:val="single" w:sz="4" w:space="4" w:color="auto"/>
          <w:bottom w:val="single" w:sz="4" w:space="1" w:color="auto"/>
          <w:right w:val="single" w:sz="4" w:space="4" w:color="auto"/>
        </w:pBdr>
        <w:jc w:val="center"/>
        <w:rPr>
          <w:b/>
          <w:bCs/>
        </w:rPr>
      </w:pPr>
      <w:r w:rsidRPr="00E83684">
        <w:rPr>
          <w:b/>
          <w:bCs/>
        </w:rPr>
        <w:t>TSR = A – B</w:t>
      </w:r>
    </w:p>
    <w:p w14:paraId="0359FFC1" w14:textId="77777777" w:rsidR="009F017D" w:rsidRDefault="009F017D" w:rsidP="00E96C2A"/>
    <w:p w14:paraId="59497CAB" w14:textId="4B2BBD0B" w:rsidR="00552E38" w:rsidRDefault="00E83684" w:rsidP="00E83684">
      <w:pPr>
        <w:pStyle w:val="Heading3"/>
      </w:pPr>
      <w:bookmarkStart w:id="11" w:name="_Toc187422035"/>
      <w:r>
        <w:lastRenderedPageBreak/>
        <w:t xml:space="preserve">Working </w:t>
      </w:r>
      <w:r w:rsidR="00731276">
        <w:t>O</w:t>
      </w:r>
      <w:r>
        <w:t>ut ‘A’</w:t>
      </w:r>
      <w:bookmarkEnd w:id="11"/>
    </w:p>
    <w:p w14:paraId="440EA07E" w14:textId="77777777" w:rsidR="00292539" w:rsidRDefault="00292539" w:rsidP="00E96C2A"/>
    <w:p w14:paraId="15B9A5FD" w14:textId="771BFDFD" w:rsidR="008A3450" w:rsidRDefault="00BF2ECB" w:rsidP="00E96C2A">
      <w:r>
        <w:t xml:space="preserve">Dead simple: calculate the total tax on the </w:t>
      </w:r>
      <w:proofErr w:type="gramStart"/>
      <w:r>
        <w:t>bond</w:t>
      </w:r>
      <w:r w:rsidR="008A3450">
        <w:t>, and</w:t>
      </w:r>
      <w:proofErr w:type="gramEnd"/>
      <w:r w:rsidR="008A3450">
        <w:t xml:space="preserve"> deduct the Onshore Tax Credit. Total tax on the bond</w:t>
      </w:r>
      <w:r w:rsidR="00731276">
        <w:t xml:space="preserve"> (according to our table)</w:t>
      </w:r>
      <w:r w:rsidR="008A3450">
        <w:t xml:space="preserve"> is £1,000 + £18,000 = £19,000. </w:t>
      </w:r>
      <w:r w:rsidR="00731276">
        <w:t xml:space="preserve">And the Onshore Tax Credit is £10,000. </w:t>
      </w:r>
      <w:proofErr w:type="gramStart"/>
      <w:r w:rsidR="00731276">
        <w:t>So</w:t>
      </w:r>
      <w:proofErr w:type="gramEnd"/>
      <w:r w:rsidR="00731276">
        <w:t xml:space="preserve"> £19,000 - £10,000 = £9,000.</w:t>
      </w:r>
    </w:p>
    <w:p w14:paraId="37F3028D" w14:textId="77777777" w:rsidR="008A3450" w:rsidRDefault="008A3450" w:rsidP="00E96C2A"/>
    <w:p w14:paraId="79BED75B" w14:textId="31B6001E" w:rsidR="00731276" w:rsidRPr="00E83684" w:rsidRDefault="00731276" w:rsidP="00731276">
      <w:pPr>
        <w:pBdr>
          <w:top w:val="single" w:sz="4" w:space="1" w:color="auto"/>
          <w:left w:val="single" w:sz="4" w:space="4" w:color="auto"/>
          <w:bottom w:val="single" w:sz="4" w:space="1" w:color="auto"/>
          <w:right w:val="single" w:sz="4" w:space="4" w:color="auto"/>
        </w:pBdr>
        <w:jc w:val="center"/>
        <w:rPr>
          <w:b/>
          <w:bCs/>
        </w:rPr>
      </w:pPr>
      <w:r w:rsidRPr="00E83684">
        <w:rPr>
          <w:b/>
          <w:bCs/>
        </w:rPr>
        <w:t xml:space="preserve">TSR = </w:t>
      </w:r>
      <w:r>
        <w:rPr>
          <w:b/>
          <w:bCs/>
        </w:rPr>
        <w:t>£9,000</w:t>
      </w:r>
      <w:r w:rsidRPr="00E83684">
        <w:rPr>
          <w:b/>
          <w:bCs/>
        </w:rPr>
        <w:t xml:space="preserve"> – B</w:t>
      </w:r>
    </w:p>
    <w:p w14:paraId="565773D4" w14:textId="77777777" w:rsidR="008A3450" w:rsidRDefault="008A3450" w:rsidP="00E96C2A"/>
    <w:p w14:paraId="0A69085C" w14:textId="77777777" w:rsidR="00E83684" w:rsidRDefault="00E83684" w:rsidP="00E96C2A"/>
    <w:p w14:paraId="024E8483" w14:textId="66EC8547" w:rsidR="00731276" w:rsidRDefault="00731276" w:rsidP="00731276">
      <w:pPr>
        <w:pStyle w:val="Heading3"/>
      </w:pPr>
      <w:bookmarkStart w:id="12" w:name="_Toc187422036"/>
      <w:r>
        <w:t>Working Out ‘B’</w:t>
      </w:r>
      <w:bookmarkEnd w:id="12"/>
    </w:p>
    <w:p w14:paraId="670D979E" w14:textId="77777777" w:rsidR="00731276" w:rsidRDefault="00731276" w:rsidP="00E96C2A"/>
    <w:p w14:paraId="33CE8C22" w14:textId="51131A15" w:rsidR="003D31C6" w:rsidRDefault="00B216E9" w:rsidP="00E96C2A">
      <w:r>
        <w:t xml:space="preserve">For B, we need to redo our table entirely, but based on the ‘slice’ rather than the </w:t>
      </w:r>
      <w:r w:rsidR="00316B74">
        <w:t xml:space="preserve">full chargeable gain. The slice is </w:t>
      </w:r>
      <w:r w:rsidR="00316B74" w:rsidRPr="00316B74">
        <w:rPr>
          <w:i/>
          <w:iCs/>
        </w:rPr>
        <w:t>usually</w:t>
      </w:r>
      <w:r w:rsidR="00316B74">
        <w:t xml:space="preserve"> the full chargeable gain divided by the number of </w:t>
      </w:r>
      <w:r w:rsidR="00316B74" w:rsidRPr="00316B74">
        <w:rPr>
          <w:b/>
          <w:bCs/>
        </w:rPr>
        <w:t>complete</w:t>
      </w:r>
      <w:r w:rsidR="00316B74">
        <w:t xml:space="preserve"> policy years since inception. </w:t>
      </w:r>
      <w:r w:rsidR="003D31C6">
        <w:t>For clarity, if a bond has been held for five-and-a-half years, there are five years available for TSR.</w:t>
      </w:r>
      <w:r w:rsidR="007F79BB">
        <w:t xml:space="preserve"> </w:t>
      </w:r>
      <w:r w:rsidR="00E776DE">
        <w:t>The slice here is £</w:t>
      </w:r>
      <w:r w:rsidR="007F79BB">
        <w:t>50,000 / 5 years = £10,000. Now let’s redo the table based on the slice:</w:t>
      </w:r>
    </w:p>
    <w:p w14:paraId="79EE03C2" w14:textId="77777777" w:rsidR="007F79BB" w:rsidRDefault="007F79BB" w:rsidP="00E96C2A"/>
    <w:tbl>
      <w:tblPr>
        <w:tblStyle w:val="TableGrid"/>
        <w:tblW w:w="0" w:type="auto"/>
        <w:tblLook w:val="04A0" w:firstRow="1" w:lastRow="0" w:firstColumn="1" w:lastColumn="0" w:noHBand="0" w:noVBand="1"/>
      </w:tblPr>
      <w:tblGrid>
        <w:gridCol w:w="2405"/>
        <w:gridCol w:w="2196"/>
        <w:gridCol w:w="2324"/>
        <w:gridCol w:w="2425"/>
      </w:tblGrid>
      <w:tr w:rsidR="007F79BB" w:rsidRPr="00E871BE" w14:paraId="48042753" w14:textId="77777777" w:rsidTr="0060768A">
        <w:tc>
          <w:tcPr>
            <w:tcW w:w="2405" w:type="dxa"/>
          </w:tcPr>
          <w:p w14:paraId="126D6179" w14:textId="77777777" w:rsidR="007F79BB" w:rsidRPr="00E871BE" w:rsidRDefault="007F79BB" w:rsidP="0060768A">
            <w:pPr>
              <w:rPr>
                <w:b/>
                <w:bCs/>
              </w:rPr>
            </w:pPr>
            <w:r w:rsidRPr="00E871BE">
              <w:rPr>
                <w:b/>
                <w:bCs/>
              </w:rPr>
              <w:t>Income Source</w:t>
            </w:r>
          </w:p>
        </w:tc>
        <w:tc>
          <w:tcPr>
            <w:tcW w:w="2196" w:type="dxa"/>
          </w:tcPr>
          <w:p w14:paraId="094126F7" w14:textId="77777777" w:rsidR="007F79BB" w:rsidRPr="00E871BE" w:rsidRDefault="007F79BB" w:rsidP="0060768A">
            <w:pPr>
              <w:jc w:val="center"/>
              <w:rPr>
                <w:b/>
                <w:bCs/>
              </w:rPr>
            </w:pPr>
            <w:r w:rsidRPr="00E871BE">
              <w:rPr>
                <w:b/>
                <w:bCs/>
              </w:rPr>
              <w:t>Amount</w:t>
            </w:r>
          </w:p>
        </w:tc>
        <w:tc>
          <w:tcPr>
            <w:tcW w:w="2324" w:type="dxa"/>
          </w:tcPr>
          <w:p w14:paraId="23809A90" w14:textId="77777777" w:rsidR="007F79BB" w:rsidRPr="00E871BE" w:rsidRDefault="007F79BB" w:rsidP="0060768A">
            <w:pPr>
              <w:jc w:val="center"/>
              <w:rPr>
                <w:b/>
                <w:bCs/>
              </w:rPr>
            </w:pPr>
            <w:r w:rsidRPr="00E871BE">
              <w:rPr>
                <w:b/>
                <w:bCs/>
              </w:rPr>
              <w:t>Tax Rate</w:t>
            </w:r>
          </w:p>
        </w:tc>
        <w:tc>
          <w:tcPr>
            <w:tcW w:w="2425" w:type="dxa"/>
          </w:tcPr>
          <w:p w14:paraId="17B64F12" w14:textId="77777777" w:rsidR="007F79BB" w:rsidRPr="00E871BE" w:rsidRDefault="007F79BB" w:rsidP="0060768A">
            <w:pPr>
              <w:jc w:val="center"/>
              <w:rPr>
                <w:b/>
                <w:bCs/>
              </w:rPr>
            </w:pPr>
            <w:r w:rsidRPr="00E871BE">
              <w:rPr>
                <w:b/>
                <w:bCs/>
              </w:rPr>
              <w:t>Amount of Tax</w:t>
            </w:r>
          </w:p>
        </w:tc>
      </w:tr>
      <w:tr w:rsidR="007F79BB" w14:paraId="148CD8B6" w14:textId="77777777" w:rsidTr="0060768A">
        <w:tc>
          <w:tcPr>
            <w:tcW w:w="2405" w:type="dxa"/>
            <w:shd w:val="clear" w:color="auto" w:fill="BFBFBF" w:themeFill="background1" w:themeFillShade="BF"/>
          </w:tcPr>
          <w:p w14:paraId="6265876C" w14:textId="77777777" w:rsidR="007F79BB" w:rsidRDefault="007F79BB" w:rsidP="0060768A">
            <w:r>
              <w:t>Salary</w:t>
            </w:r>
          </w:p>
        </w:tc>
        <w:tc>
          <w:tcPr>
            <w:tcW w:w="2196" w:type="dxa"/>
            <w:shd w:val="clear" w:color="auto" w:fill="BFBFBF" w:themeFill="background1" w:themeFillShade="BF"/>
          </w:tcPr>
          <w:p w14:paraId="6C092621" w14:textId="77777777" w:rsidR="007F79BB" w:rsidRDefault="007F79BB" w:rsidP="0060768A">
            <w:pPr>
              <w:jc w:val="center"/>
            </w:pPr>
            <w:r>
              <w:t>£12,570</w:t>
            </w:r>
          </w:p>
        </w:tc>
        <w:tc>
          <w:tcPr>
            <w:tcW w:w="2324" w:type="dxa"/>
            <w:shd w:val="clear" w:color="auto" w:fill="BFBFBF" w:themeFill="background1" w:themeFillShade="BF"/>
          </w:tcPr>
          <w:p w14:paraId="3608AF68" w14:textId="77777777" w:rsidR="007F79BB" w:rsidRDefault="007F79BB" w:rsidP="0060768A">
            <w:pPr>
              <w:jc w:val="center"/>
            </w:pPr>
            <w:r>
              <w:t>0% Personal Allowance</w:t>
            </w:r>
          </w:p>
        </w:tc>
        <w:tc>
          <w:tcPr>
            <w:tcW w:w="2425" w:type="dxa"/>
            <w:shd w:val="clear" w:color="auto" w:fill="BFBFBF" w:themeFill="background1" w:themeFillShade="BF"/>
          </w:tcPr>
          <w:p w14:paraId="063E0685" w14:textId="77777777" w:rsidR="007F79BB" w:rsidRDefault="007F79BB" w:rsidP="0060768A">
            <w:pPr>
              <w:jc w:val="center"/>
            </w:pPr>
            <w:r>
              <w:t>£0</w:t>
            </w:r>
          </w:p>
        </w:tc>
      </w:tr>
      <w:tr w:rsidR="007F79BB" w14:paraId="3AD481CE" w14:textId="77777777" w:rsidTr="0060768A">
        <w:tc>
          <w:tcPr>
            <w:tcW w:w="2405" w:type="dxa"/>
            <w:shd w:val="clear" w:color="auto" w:fill="BFBFBF" w:themeFill="background1" w:themeFillShade="BF"/>
          </w:tcPr>
          <w:p w14:paraId="7A628106" w14:textId="77777777" w:rsidR="007F79BB" w:rsidRDefault="007F79BB" w:rsidP="0060768A"/>
        </w:tc>
        <w:tc>
          <w:tcPr>
            <w:tcW w:w="2196" w:type="dxa"/>
            <w:shd w:val="clear" w:color="auto" w:fill="BFBFBF" w:themeFill="background1" w:themeFillShade="BF"/>
          </w:tcPr>
          <w:p w14:paraId="2FFCCB40" w14:textId="77777777" w:rsidR="007F79BB" w:rsidRDefault="007F79BB" w:rsidP="0060768A">
            <w:pPr>
              <w:jc w:val="center"/>
            </w:pPr>
            <w:r>
              <w:t>£</w:t>
            </w:r>
            <w:r w:rsidRPr="004B099E">
              <w:t>32,200</w:t>
            </w:r>
          </w:p>
        </w:tc>
        <w:tc>
          <w:tcPr>
            <w:tcW w:w="2324" w:type="dxa"/>
            <w:shd w:val="clear" w:color="auto" w:fill="BFBFBF" w:themeFill="background1" w:themeFillShade="BF"/>
          </w:tcPr>
          <w:p w14:paraId="100E2AB3" w14:textId="77777777" w:rsidR="007F79BB" w:rsidRDefault="007F79BB" w:rsidP="0060768A">
            <w:pPr>
              <w:jc w:val="center"/>
            </w:pPr>
            <w:r>
              <w:t>20%</w:t>
            </w:r>
          </w:p>
        </w:tc>
        <w:tc>
          <w:tcPr>
            <w:tcW w:w="2425" w:type="dxa"/>
            <w:shd w:val="clear" w:color="auto" w:fill="BFBFBF" w:themeFill="background1" w:themeFillShade="BF"/>
          </w:tcPr>
          <w:p w14:paraId="0A88BD58" w14:textId="77777777" w:rsidR="007F79BB" w:rsidRDefault="007F79BB" w:rsidP="0060768A">
            <w:pPr>
              <w:jc w:val="center"/>
            </w:pPr>
            <w:r>
              <w:t>£</w:t>
            </w:r>
            <w:r w:rsidRPr="00E871BE">
              <w:t>6,440</w:t>
            </w:r>
          </w:p>
        </w:tc>
      </w:tr>
      <w:tr w:rsidR="007F79BB" w14:paraId="2A0895D5" w14:textId="77777777" w:rsidTr="0060768A">
        <w:tc>
          <w:tcPr>
            <w:tcW w:w="2405" w:type="dxa"/>
            <w:shd w:val="clear" w:color="auto" w:fill="BFBFBF" w:themeFill="background1" w:themeFillShade="BF"/>
          </w:tcPr>
          <w:p w14:paraId="05849574" w14:textId="77777777" w:rsidR="007F79BB" w:rsidRDefault="007F79BB" w:rsidP="0060768A"/>
        </w:tc>
        <w:tc>
          <w:tcPr>
            <w:tcW w:w="2196" w:type="dxa"/>
            <w:shd w:val="clear" w:color="auto" w:fill="BFBFBF" w:themeFill="background1" w:themeFillShade="BF"/>
          </w:tcPr>
          <w:p w14:paraId="4A663FE8" w14:textId="77777777" w:rsidR="007F79BB" w:rsidRDefault="007F79BB" w:rsidP="0060768A">
            <w:pPr>
              <w:jc w:val="center"/>
            </w:pPr>
            <w:r>
              <w:t>£0</w:t>
            </w:r>
          </w:p>
        </w:tc>
        <w:tc>
          <w:tcPr>
            <w:tcW w:w="2324" w:type="dxa"/>
            <w:shd w:val="clear" w:color="auto" w:fill="BFBFBF" w:themeFill="background1" w:themeFillShade="BF"/>
          </w:tcPr>
          <w:p w14:paraId="4FAE8D09" w14:textId="77777777" w:rsidR="007F79BB" w:rsidRDefault="007F79BB" w:rsidP="0060768A">
            <w:pPr>
              <w:jc w:val="center"/>
            </w:pPr>
            <w:r>
              <w:t>40%</w:t>
            </w:r>
          </w:p>
        </w:tc>
        <w:tc>
          <w:tcPr>
            <w:tcW w:w="2425" w:type="dxa"/>
            <w:shd w:val="clear" w:color="auto" w:fill="BFBFBF" w:themeFill="background1" w:themeFillShade="BF"/>
          </w:tcPr>
          <w:p w14:paraId="76655F5E" w14:textId="77777777" w:rsidR="007F79BB" w:rsidRDefault="007F79BB" w:rsidP="0060768A">
            <w:pPr>
              <w:jc w:val="center"/>
            </w:pPr>
            <w:r>
              <w:t>£0</w:t>
            </w:r>
          </w:p>
        </w:tc>
      </w:tr>
      <w:tr w:rsidR="007F79BB" w14:paraId="6255BCB8" w14:textId="77777777" w:rsidTr="0060768A">
        <w:tc>
          <w:tcPr>
            <w:tcW w:w="2405" w:type="dxa"/>
            <w:shd w:val="clear" w:color="auto" w:fill="BFBFBF" w:themeFill="background1" w:themeFillShade="BF"/>
          </w:tcPr>
          <w:p w14:paraId="2668C973" w14:textId="77777777" w:rsidR="007F79BB" w:rsidRDefault="007F79BB" w:rsidP="0060768A"/>
        </w:tc>
        <w:tc>
          <w:tcPr>
            <w:tcW w:w="2196" w:type="dxa"/>
            <w:shd w:val="clear" w:color="auto" w:fill="BFBFBF" w:themeFill="background1" w:themeFillShade="BF"/>
          </w:tcPr>
          <w:p w14:paraId="1D04F5AE" w14:textId="77777777" w:rsidR="007F79BB" w:rsidRDefault="007F79BB" w:rsidP="0060768A">
            <w:pPr>
              <w:jc w:val="center"/>
            </w:pPr>
            <w:r>
              <w:t>£0</w:t>
            </w:r>
          </w:p>
        </w:tc>
        <w:tc>
          <w:tcPr>
            <w:tcW w:w="2324" w:type="dxa"/>
            <w:shd w:val="clear" w:color="auto" w:fill="BFBFBF" w:themeFill="background1" w:themeFillShade="BF"/>
          </w:tcPr>
          <w:p w14:paraId="6251D0D3" w14:textId="77777777" w:rsidR="007F79BB" w:rsidRDefault="007F79BB" w:rsidP="0060768A">
            <w:pPr>
              <w:jc w:val="center"/>
            </w:pPr>
            <w:r>
              <w:t>45%</w:t>
            </w:r>
          </w:p>
        </w:tc>
        <w:tc>
          <w:tcPr>
            <w:tcW w:w="2425" w:type="dxa"/>
            <w:shd w:val="clear" w:color="auto" w:fill="BFBFBF" w:themeFill="background1" w:themeFillShade="BF"/>
          </w:tcPr>
          <w:p w14:paraId="77C52CD4" w14:textId="77777777" w:rsidR="007F79BB" w:rsidRDefault="007F79BB" w:rsidP="0060768A">
            <w:pPr>
              <w:jc w:val="center"/>
            </w:pPr>
            <w:r>
              <w:t>£0</w:t>
            </w:r>
          </w:p>
        </w:tc>
      </w:tr>
      <w:tr w:rsidR="007F79BB" w14:paraId="7B5E1ED4" w14:textId="77777777" w:rsidTr="0060768A">
        <w:tc>
          <w:tcPr>
            <w:tcW w:w="2405" w:type="dxa"/>
            <w:shd w:val="clear" w:color="auto" w:fill="F2F2F2" w:themeFill="background1" w:themeFillShade="F2"/>
          </w:tcPr>
          <w:p w14:paraId="0E35DADA" w14:textId="77777777" w:rsidR="007F79BB" w:rsidRDefault="007F79BB" w:rsidP="0060768A">
            <w:r>
              <w:t>Savings Income</w:t>
            </w:r>
          </w:p>
        </w:tc>
        <w:tc>
          <w:tcPr>
            <w:tcW w:w="2196" w:type="dxa"/>
            <w:shd w:val="clear" w:color="auto" w:fill="F2F2F2" w:themeFill="background1" w:themeFillShade="F2"/>
          </w:tcPr>
          <w:p w14:paraId="4319A846" w14:textId="77777777" w:rsidR="007F79BB" w:rsidRDefault="007F79BB" w:rsidP="0060768A">
            <w:pPr>
              <w:jc w:val="center"/>
            </w:pPr>
            <w:r>
              <w:t>£500</w:t>
            </w:r>
          </w:p>
        </w:tc>
        <w:tc>
          <w:tcPr>
            <w:tcW w:w="2324" w:type="dxa"/>
            <w:shd w:val="clear" w:color="auto" w:fill="F2F2F2" w:themeFill="background1" w:themeFillShade="F2"/>
          </w:tcPr>
          <w:p w14:paraId="4A595F6B" w14:textId="77777777" w:rsidR="007F79BB" w:rsidRDefault="007F79BB" w:rsidP="0060768A">
            <w:pPr>
              <w:jc w:val="center"/>
            </w:pPr>
            <w:r>
              <w:t>0% PSA</w:t>
            </w:r>
          </w:p>
        </w:tc>
        <w:tc>
          <w:tcPr>
            <w:tcW w:w="2425" w:type="dxa"/>
            <w:shd w:val="clear" w:color="auto" w:fill="F2F2F2" w:themeFill="background1" w:themeFillShade="F2"/>
          </w:tcPr>
          <w:p w14:paraId="61AE6B7A" w14:textId="77777777" w:rsidR="007F79BB" w:rsidRDefault="007F79BB" w:rsidP="0060768A">
            <w:pPr>
              <w:jc w:val="center"/>
            </w:pPr>
            <w:r>
              <w:t>£0</w:t>
            </w:r>
          </w:p>
        </w:tc>
      </w:tr>
      <w:tr w:rsidR="007F79BB" w14:paraId="53E34351" w14:textId="77777777" w:rsidTr="0060768A">
        <w:tc>
          <w:tcPr>
            <w:tcW w:w="2405" w:type="dxa"/>
            <w:shd w:val="clear" w:color="auto" w:fill="F2F2F2" w:themeFill="background1" w:themeFillShade="F2"/>
          </w:tcPr>
          <w:p w14:paraId="64D1A05A" w14:textId="77777777" w:rsidR="007F79BB" w:rsidRDefault="007F79BB" w:rsidP="0060768A"/>
        </w:tc>
        <w:tc>
          <w:tcPr>
            <w:tcW w:w="2196" w:type="dxa"/>
            <w:shd w:val="clear" w:color="auto" w:fill="F2F2F2" w:themeFill="background1" w:themeFillShade="F2"/>
          </w:tcPr>
          <w:p w14:paraId="590187EB" w14:textId="77777777" w:rsidR="007F79BB" w:rsidRDefault="007F79BB" w:rsidP="0060768A">
            <w:pPr>
              <w:jc w:val="center"/>
            </w:pPr>
            <w:r>
              <w:t>£0</w:t>
            </w:r>
          </w:p>
        </w:tc>
        <w:tc>
          <w:tcPr>
            <w:tcW w:w="2324" w:type="dxa"/>
            <w:shd w:val="clear" w:color="auto" w:fill="F2F2F2" w:themeFill="background1" w:themeFillShade="F2"/>
          </w:tcPr>
          <w:p w14:paraId="2AC81970" w14:textId="77777777" w:rsidR="007F79BB" w:rsidRDefault="007F79BB" w:rsidP="0060768A">
            <w:pPr>
              <w:jc w:val="center"/>
            </w:pPr>
            <w:r>
              <w:t>20%</w:t>
            </w:r>
          </w:p>
        </w:tc>
        <w:tc>
          <w:tcPr>
            <w:tcW w:w="2425" w:type="dxa"/>
            <w:shd w:val="clear" w:color="auto" w:fill="F2F2F2" w:themeFill="background1" w:themeFillShade="F2"/>
          </w:tcPr>
          <w:p w14:paraId="5984BA13" w14:textId="77777777" w:rsidR="007F79BB" w:rsidRDefault="007F79BB" w:rsidP="0060768A">
            <w:pPr>
              <w:jc w:val="center"/>
            </w:pPr>
            <w:r>
              <w:t>£0</w:t>
            </w:r>
          </w:p>
        </w:tc>
      </w:tr>
      <w:tr w:rsidR="007F79BB" w14:paraId="04CB29AF" w14:textId="77777777" w:rsidTr="0060768A">
        <w:tc>
          <w:tcPr>
            <w:tcW w:w="2405" w:type="dxa"/>
            <w:shd w:val="clear" w:color="auto" w:fill="F2F2F2" w:themeFill="background1" w:themeFillShade="F2"/>
          </w:tcPr>
          <w:p w14:paraId="509A6127" w14:textId="77777777" w:rsidR="007F79BB" w:rsidRDefault="007F79BB" w:rsidP="0060768A"/>
        </w:tc>
        <w:tc>
          <w:tcPr>
            <w:tcW w:w="2196" w:type="dxa"/>
            <w:shd w:val="clear" w:color="auto" w:fill="F2F2F2" w:themeFill="background1" w:themeFillShade="F2"/>
          </w:tcPr>
          <w:p w14:paraId="4D8DF021" w14:textId="77777777" w:rsidR="007F79BB" w:rsidRDefault="007F79BB" w:rsidP="0060768A">
            <w:pPr>
              <w:jc w:val="center"/>
            </w:pPr>
            <w:r>
              <w:t>£0</w:t>
            </w:r>
          </w:p>
        </w:tc>
        <w:tc>
          <w:tcPr>
            <w:tcW w:w="2324" w:type="dxa"/>
            <w:shd w:val="clear" w:color="auto" w:fill="F2F2F2" w:themeFill="background1" w:themeFillShade="F2"/>
          </w:tcPr>
          <w:p w14:paraId="59420F75" w14:textId="77777777" w:rsidR="007F79BB" w:rsidRDefault="007F79BB" w:rsidP="0060768A">
            <w:pPr>
              <w:jc w:val="center"/>
            </w:pPr>
            <w:r>
              <w:t>40%</w:t>
            </w:r>
          </w:p>
        </w:tc>
        <w:tc>
          <w:tcPr>
            <w:tcW w:w="2425" w:type="dxa"/>
            <w:shd w:val="clear" w:color="auto" w:fill="F2F2F2" w:themeFill="background1" w:themeFillShade="F2"/>
          </w:tcPr>
          <w:p w14:paraId="5657E3CE" w14:textId="77777777" w:rsidR="007F79BB" w:rsidRDefault="007F79BB" w:rsidP="0060768A">
            <w:pPr>
              <w:jc w:val="center"/>
            </w:pPr>
            <w:r>
              <w:t>£0</w:t>
            </w:r>
          </w:p>
        </w:tc>
      </w:tr>
      <w:tr w:rsidR="007F79BB" w14:paraId="3AD477CC" w14:textId="77777777" w:rsidTr="0060768A">
        <w:tc>
          <w:tcPr>
            <w:tcW w:w="2405" w:type="dxa"/>
            <w:shd w:val="clear" w:color="auto" w:fill="F2F2F2" w:themeFill="background1" w:themeFillShade="F2"/>
          </w:tcPr>
          <w:p w14:paraId="010ADBDF" w14:textId="77777777" w:rsidR="007F79BB" w:rsidRDefault="007F79BB" w:rsidP="0060768A"/>
        </w:tc>
        <w:tc>
          <w:tcPr>
            <w:tcW w:w="2196" w:type="dxa"/>
            <w:shd w:val="clear" w:color="auto" w:fill="F2F2F2" w:themeFill="background1" w:themeFillShade="F2"/>
          </w:tcPr>
          <w:p w14:paraId="18A19D75" w14:textId="77777777" w:rsidR="007F79BB" w:rsidRDefault="007F79BB" w:rsidP="0060768A">
            <w:pPr>
              <w:jc w:val="center"/>
            </w:pPr>
            <w:r>
              <w:t>£0</w:t>
            </w:r>
          </w:p>
        </w:tc>
        <w:tc>
          <w:tcPr>
            <w:tcW w:w="2324" w:type="dxa"/>
            <w:shd w:val="clear" w:color="auto" w:fill="F2F2F2" w:themeFill="background1" w:themeFillShade="F2"/>
          </w:tcPr>
          <w:p w14:paraId="0B2241C3" w14:textId="77777777" w:rsidR="007F79BB" w:rsidRDefault="007F79BB" w:rsidP="0060768A">
            <w:pPr>
              <w:jc w:val="center"/>
            </w:pPr>
            <w:r>
              <w:t>45%</w:t>
            </w:r>
          </w:p>
        </w:tc>
        <w:tc>
          <w:tcPr>
            <w:tcW w:w="2425" w:type="dxa"/>
            <w:shd w:val="clear" w:color="auto" w:fill="F2F2F2" w:themeFill="background1" w:themeFillShade="F2"/>
          </w:tcPr>
          <w:p w14:paraId="3C4193EB" w14:textId="77777777" w:rsidR="007F79BB" w:rsidRDefault="007F79BB" w:rsidP="0060768A">
            <w:pPr>
              <w:jc w:val="center"/>
            </w:pPr>
            <w:r>
              <w:t>£0</w:t>
            </w:r>
          </w:p>
        </w:tc>
      </w:tr>
      <w:tr w:rsidR="007F79BB" w14:paraId="35880B54" w14:textId="77777777" w:rsidTr="0060768A">
        <w:tc>
          <w:tcPr>
            <w:tcW w:w="2405" w:type="dxa"/>
            <w:shd w:val="clear" w:color="auto" w:fill="BFBFBF" w:themeFill="background1" w:themeFillShade="BF"/>
          </w:tcPr>
          <w:p w14:paraId="0404B1F8" w14:textId="77777777" w:rsidR="007F79BB" w:rsidRDefault="007F79BB" w:rsidP="0060768A">
            <w:r>
              <w:t>UK Chargeable Gain</w:t>
            </w:r>
          </w:p>
        </w:tc>
        <w:tc>
          <w:tcPr>
            <w:tcW w:w="2196" w:type="dxa"/>
            <w:shd w:val="clear" w:color="auto" w:fill="BFBFBF" w:themeFill="background1" w:themeFillShade="BF"/>
          </w:tcPr>
          <w:p w14:paraId="432C16F0" w14:textId="77777777" w:rsidR="007F79BB" w:rsidRDefault="007F79BB" w:rsidP="0060768A">
            <w:pPr>
              <w:jc w:val="center"/>
            </w:pPr>
            <w:r>
              <w:t>£0</w:t>
            </w:r>
          </w:p>
        </w:tc>
        <w:tc>
          <w:tcPr>
            <w:tcW w:w="2324" w:type="dxa"/>
            <w:shd w:val="clear" w:color="auto" w:fill="BFBFBF" w:themeFill="background1" w:themeFillShade="BF"/>
          </w:tcPr>
          <w:p w14:paraId="0D78D699" w14:textId="77777777" w:rsidR="007F79BB" w:rsidRDefault="007F79BB" w:rsidP="0060768A">
            <w:pPr>
              <w:jc w:val="center"/>
            </w:pPr>
            <w:r>
              <w:t>0%</w:t>
            </w:r>
          </w:p>
        </w:tc>
        <w:tc>
          <w:tcPr>
            <w:tcW w:w="2425" w:type="dxa"/>
            <w:shd w:val="clear" w:color="auto" w:fill="BFBFBF" w:themeFill="background1" w:themeFillShade="BF"/>
          </w:tcPr>
          <w:p w14:paraId="6FCD6426" w14:textId="77777777" w:rsidR="007F79BB" w:rsidRDefault="007F79BB" w:rsidP="0060768A">
            <w:pPr>
              <w:jc w:val="center"/>
            </w:pPr>
            <w:r>
              <w:t>£0</w:t>
            </w:r>
          </w:p>
        </w:tc>
      </w:tr>
      <w:tr w:rsidR="007F79BB" w14:paraId="09AD39F5" w14:textId="77777777" w:rsidTr="0060768A">
        <w:tc>
          <w:tcPr>
            <w:tcW w:w="2405" w:type="dxa"/>
            <w:shd w:val="clear" w:color="auto" w:fill="BFBFBF" w:themeFill="background1" w:themeFillShade="BF"/>
          </w:tcPr>
          <w:p w14:paraId="3F27635E" w14:textId="77777777" w:rsidR="007F79BB" w:rsidRDefault="007F79BB" w:rsidP="0060768A"/>
        </w:tc>
        <w:tc>
          <w:tcPr>
            <w:tcW w:w="2196" w:type="dxa"/>
            <w:shd w:val="clear" w:color="auto" w:fill="BFBFBF" w:themeFill="background1" w:themeFillShade="BF"/>
          </w:tcPr>
          <w:p w14:paraId="651BDC6C" w14:textId="77777777" w:rsidR="007F79BB" w:rsidRDefault="007F79BB" w:rsidP="0060768A">
            <w:pPr>
              <w:jc w:val="center"/>
            </w:pPr>
            <w:r>
              <w:t>£5,000</w:t>
            </w:r>
          </w:p>
        </w:tc>
        <w:tc>
          <w:tcPr>
            <w:tcW w:w="2324" w:type="dxa"/>
            <w:shd w:val="clear" w:color="auto" w:fill="BFBFBF" w:themeFill="background1" w:themeFillShade="BF"/>
          </w:tcPr>
          <w:p w14:paraId="78E3FBD0" w14:textId="77777777" w:rsidR="007F79BB" w:rsidRDefault="007F79BB" w:rsidP="0060768A">
            <w:pPr>
              <w:jc w:val="center"/>
            </w:pPr>
            <w:r>
              <w:t>20%</w:t>
            </w:r>
          </w:p>
        </w:tc>
        <w:tc>
          <w:tcPr>
            <w:tcW w:w="2425" w:type="dxa"/>
            <w:shd w:val="clear" w:color="auto" w:fill="BFBFBF" w:themeFill="background1" w:themeFillShade="BF"/>
          </w:tcPr>
          <w:p w14:paraId="5D405FEF" w14:textId="77777777" w:rsidR="007F79BB" w:rsidRDefault="007F79BB" w:rsidP="0060768A">
            <w:pPr>
              <w:jc w:val="center"/>
            </w:pPr>
            <w:r>
              <w:t>£1,000</w:t>
            </w:r>
          </w:p>
        </w:tc>
      </w:tr>
      <w:tr w:rsidR="007F79BB" w14:paraId="1546F00C" w14:textId="77777777" w:rsidTr="00AD1FB8">
        <w:tc>
          <w:tcPr>
            <w:tcW w:w="2405" w:type="dxa"/>
            <w:shd w:val="clear" w:color="auto" w:fill="BFBFBF" w:themeFill="background1" w:themeFillShade="BF"/>
          </w:tcPr>
          <w:p w14:paraId="55950F38" w14:textId="77777777" w:rsidR="007F79BB" w:rsidRDefault="007F79BB" w:rsidP="0060768A"/>
        </w:tc>
        <w:tc>
          <w:tcPr>
            <w:tcW w:w="2196" w:type="dxa"/>
            <w:shd w:val="clear" w:color="auto" w:fill="FFFF00"/>
          </w:tcPr>
          <w:p w14:paraId="5275BF6B" w14:textId="77180529" w:rsidR="007F79BB" w:rsidRDefault="007F79BB" w:rsidP="0060768A">
            <w:pPr>
              <w:jc w:val="center"/>
            </w:pPr>
            <w:r>
              <w:t>£5,000</w:t>
            </w:r>
          </w:p>
        </w:tc>
        <w:tc>
          <w:tcPr>
            <w:tcW w:w="2324" w:type="dxa"/>
            <w:shd w:val="clear" w:color="auto" w:fill="BFBFBF" w:themeFill="background1" w:themeFillShade="BF"/>
          </w:tcPr>
          <w:p w14:paraId="0A3D512E" w14:textId="77777777" w:rsidR="007F79BB" w:rsidRDefault="007F79BB" w:rsidP="0060768A">
            <w:pPr>
              <w:jc w:val="center"/>
            </w:pPr>
            <w:r>
              <w:t>40%</w:t>
            </w:r>
          </w:p>
        </w:tc>
        <w:tc>
          <w:tcPr>
            <w:tcW w:w="2425" w:type="dxa"/>
            <w:shd w:val="clear" w:color="auto" w:fill="FFFF00"/>
          </w:tcPr>
          <w:p w14:paraId="6D5FF500" w14:textId="0D68310E" w:rsidR="007F79BB" w:rsidRDefault="007F79BB" w:rsidP="0060768A">
            <w:pPr>
              <w:jc w:val="center"/>
            </w:pPr>
            <w:r>
              <w:t>£</w:t>
            </w:r>
            <w:r w:rsidR="000009AD">
              <w:t>2</w:t>
            </w:r>
            <w:r>
              <w:t>,000</w:t>
            </w:r>
          </w:p>
        </w:tc>
      </w:tr>
      <w:tr w:rsidR="007F79BB" w14:paraId="041A1750" w14:textId="77777777" w:rsidTr="0060768A">
        <w:tc>
          <w:tcPr>
            <w:tcW w:w="2405" w:type="dxa"/>
            <w:shd w:val="clear" w:color="auto" w:fill="BFBFBF" w:themeFill="background1" w:themeFillShade="BF"/>
          </w:tcPr>
          <w:p w14:paraId="5D73B754" w14:textId="77777777" w:rsidR="007F79BB" w:rsidRDefault="007F79BB" w:rsidP="0060768A"/>
        </w:tc>
        <w:tc>
          <w:tcPr>
            <w:tcW w:w="2196" w:type="dxa"/>
            <w:shd w:val="clear" w:color="auto" w:fill="BFBFBF" w:themeFill="background1" w:themeFillShade="BF"/>
          </w:tcPr>
          <w:p w14:paraId="3B4CE97B" w14:textId="77777777" w:rsidR="007F79BB" w:rsidRDefault="007F79BB" w:rsidP="0060768A">
            <w:pPr>
              <w:jc w:val="center"/>
            </w:pPr>
            <w:r>
              <w:t>£0</w:t>
            </w:r>
          </w:p>
        </w:tc>
        <w:tc>
          <w:tcPr>
            <w:tcW w:w="2324" w:type="dxa"/>
            <w:shd w:val="clear" w:color="auto" w:fill="BFBFBF" w:themeFill="background1" w:themeFillShade="BF"/>
          </w:tcPr>
          <w:p w14:paraId="10A5F6F7" w14:textId="77777777" w:rsidR="007F79BB" w:rsidRDefault="007F79BB" w:rsidP="0060768A">
            <w:pPr>
              <w:jc w:val="center"/>
            </w:pPr>
            <w:r>
              <w:t>45%</w:t>
            </w:r>
          </w:p>
        </w:tc>
        <w:tc>
          <w:tcPr>
            <w:tcW w:w="2425" w:type="dxa"/>
            <w:shd w:val="clear" w:color="auto" w:fill="BFBFBF" w:themeFill="background1" w:themeFillShade="BF"/>
          </w:tcPr>
          <w:p w14:paraId="4A002F0E" w14:textId="77777777" w:rsidR="007F79BB" w:rsidRDefault="007F79BB" w:rsidP="0060768A">
            <w:pPr>
              <w:jc w:val="center"/>
            </w:pPr>
            <w:r>
              <w:t>£0</w:t>
            </w:r>
          </w:p>
        </w:tc>
      </w:tr>
      <w:tr w:rsidR="007F79BB" w:rsidRPr="00AF1059" w14:paraId="04D6899B" w14:textId="77777777" w:rsidTr="00AD1FB8">
        <w:tc>
          <w:tcPr>
            <w:tcW w:w="2405" w:type="dxa"/>
            <w:shd w:val="clear" w:color="auto" w:fill="000000" w:themeFill="text1"/>
          </w:tcPr>
          <w:p w14:paraId="77FD08C3" w14:textId="77777777" w:rsidR="007F79BB" w:rsidRPr="00AF1059" w:rsidRDefault="007F79BB" w:rsidP="0060768A">
            <w:pPr>
              <w:rPr>
                <w:b/>
                <w:bCs/>
              </w:rPr>
            </w:pPr>
            <w:r w:rsidRPr="00AF1059">
              <w:rPr>
                <w:b/>
                <w:bCs/>
              </w:rPr>
              <w:t>Total</w:t>
            </w:r>
          </w:p>
        </w:tc>
        <w:tc>
          <w:tcPr>
            <w:tcW w:w="2196" w:type="dxa"/>
            <w:shd w:val="clear" w:color="auto" w:fill="FFFF00"/>
          </w:tcPr>
          <w:p w14:paraId="41462397" w14:textId="1C5058B1" w:rsidR="007F79BB" w:rsidRPr="00AF1059" w:rsidRDefault="007F79BB" w:rsidP="0060768A">
            <w:pPr>
              <w:jc w:val="center"/>
              <w:rPr>
                <w:b/>
                <w:bCs/>
              </w:rPr>
            </w:pPr>
            <w:r w:rsidRPr="00AF1059">
              <w:rPr>
                <w:b/>
                <w:bCs/>
              </w:rPr>
              <w:t>£</w:t>
            </w:r>
            <w:r w:rsidR="0064505F">
              <w:rPr>
                <w:b/>
                <w:bCs/>
              </w:rPr>
              <w:t>55,270</w:t>
            </w:r>
          </w:p>
        </w:tc>
        <w:tc>
          <w:tcPr>
            <w:tcW w:w="2324" w:type="dxa"/>
            <w:shd w:val="clear" w:color="auto" w:fill="000000" w:themeFill="text1"/>
          </w:tcPr>
          <w:p w14:paraId="3AD03059" w14:textId="77777777" w:rsidR="007F79BB" w:rsidRPr="00AF1059" w:rsidRDefault="007F79BB" w:rsidP="0060768A">
            <w:pPr>
              <w:jc w:val="center"/>
              <w:rPr>
                <w:b/>
                <w:bCs/>
              </w:rPr>
            </w:pPr>
          </w:p>
        </w:tc>
        <w:tc>
          <w:tcPr>
            <w:tcW w:w="2425" w:type="dxa"/>
            <w:shd w:val="clear" w:color="auto" w:fill="000000" w:themeFill="text1"/>
          </w:tcPr>
          <w:p w14:paraId="5FDB8DAA" w14:textId="769AC5D0" w:rsidR="007F79BB" w:rsidRPr="00AF1059" w:rsidRDefault="007F79BB" w:rsidP="0060768A">
            <w:pPr>
              <w:jc w:val="center"/>
              <w:rPr>
                <w:b/>
                <w:bCs/>
              </w:rPr>
            </w:pPr>
          </w:p>
        </w:tc>
      </w:tr>
      <w:tr w:rsidR="007F79BB" w:rsidRPr="009A0175" w14:paraId="00400665" w14:textId="77777777" w:rsidTr="00AD1FB8">
        <w:tc>
          <w:tcPr>
            <w:tcW w:w="2405" w:type="dxa"/>
            <w:shd w:val="clear" w:color="auto" w:fill="F2F2F2" w:themeFill="background1" w:themeFillShade="F2"/>
          </w:tcPr>
          <w:p w14:paraId="3569A06E" w14:textId="77777777" w:rsidR="007F79BB" w:rsidRPr="008F0E1D" w:rsidRDefault="007F79BB" w:rsidP="0060768A">
            <w:r w:rsidRPr="008F0E1D">
              <w:t>Onshore Tax Credit</w:t>
            </w:r>
          </w:p>
        </w:tc>
        <w:tc>
          <w:tcPr>
            <w:tcW w:w="2196" w:type="dxa"/>
            <w:shd w:val="clear" w:color="auto" w:fill="FFFF00"/>
          </w:tcPr>
          <w:p w14:paraId="303C5A61" w14:textId="5A2BB468" w:rsidR="007F79BB" w:rsidRPr="009A0175" w:rsidRDefault="007F79BB" w:rsidP="0060768A">
            <w:pPr>
              <w:jc w:val="center"/>
            </w:pPr>
            <w:r w:rsidRPr="009A0175">
              <w:t>(£</w:t>
            </w:r>
            <w:r w:rsidR="000009AD">
              <w:t>10</w:t>
            </w:r>
            <w:r w:rsidRPr="009A0175">
              <w:t>,000)</w:t>
            </w:r>
          </w:p>
        </w:tc>
        <w:tc>
          <w:tcPr>
            <w:tcW w:w="2324" w:type="dxa"/>
            <w:shd w:val="clear" w:color="auto" w:fill="F2F2F2" w:themeFill="background1" w:themeFillShade="F2"/>
          </w:tcPr>
          <w:p w14:paraId="1663FA7B" w14:textId="77777777" w:rsidR="007F79BB" w:rsidRPr="009A0175" w:rsidRDefault="007F79BB" w:rsidP="0060768A">
            <w:pPr>
              <w:jc w:val="center"/>
            </w:pPr>
            <w:r w:rsidRPr="009A0175">
              <w:t>20%</w:t>
            </w:r>
          </w:p>
        </w:tc>
        <w:tc>
          <w:tcPr>
            <w:tcW w:w="2425" w:type="dxa"/>
            <w:shd w:val="clear" w:color="auto" w:fill="FFFF00"/>
          </w:tcPr>
          <w:p w14:paraId="148CFFDA" w14:textId="473BA5A1" w:rsidR="007F79BB" w:rsidRPr="009A0175" w:rsidRDefault="007F79BB" w:rsidP="0060768A">
            <w:pPr>
              <w:jc w:val="center"/>
            </w:pPr>
            <w:r w:rsidRPr="009A0175">
              <w:t>(£</w:t>
            </w:r>
            <w:r w:rsidR="000009AD">
              <w:t>2</w:t>
            </w:r>
            <w:r w:rsidRPr="009A0175">
              <w:t>,000)</w:t>
            </w:r>
          </w:p>
        </w:tc>
      </w:tr>
      <w:tr w:rsidR="007F79BB" w:rsidRPr="00AF1059" w14:paraId="6EB9B359" w14:textId="77777777" w:rsidTr="0060768A">
        <w:tc>
          <w:tcPr>
            <w:tcW w:w="2405" w:type="dxa"/>
            <w:shd w:val="clear" w:color="auto" w:fill="F2F2F2" w:themeFill="background1" w:themeFillShade="F2"/>
          </w:tcPr>
          <w:p w14:paraId="33420D03" w14:textId="77777777" w:rsidR="007F79BB" w:rsidRPr="00644F44" w:rsidRDefault="007F79BB" w:rsidP="0060768A">
            <w:r w:rsidRPr="00644F44">
              <w:t>Top-Slicing Relief</w:t>
            </w:r>
          </w:p>
        </w:tc>
        <w:tc>
          <w:tcPr>
            <w:tcW w:w="2196" w:type="dxa"/>
            <w:shd w:val="clear" w:color="auto" w:fill="F2F2F2" w:themeFill="background1" w:themeFillShade="F2"/>
          </w:tcPr>
          <w:p w14:paraId="07F9E80A" w14:textId="77777777" w:rsidR="007F79BB" w:rsidRPr="00AF1059" w:rsidRDefault="007F79BB" w:rsidP="0060768A">
            <w:pPr>
              <w:jc w:val="center"/>
              <w:rPr>
                <w:b/>
                <w:bCs/>
              </w:rPr>
            </w:pPr>
          </w:p>
        </w:tc>
        <w:tc>
          <w:tcPr>
            <w:tcW w:w="2324" w:type="dxa"/>
            <w:shd w:val="clear" w:color="auto" w:fill="F2F2F2" w:themeFill="background1" w:themeFillShade="F2"/>
          </w:tcPr>
          <w:p w14:paraId="19476F1F" w14:textId="77777777" w:rsidR="007F79BB" w:rsidRPr="00AF1059" w:rsidRDefault="007F79BB" w:rsidP="0060768A">
            <w:pPr>
              <w:jc w:val="center"/>
              <w:rPr>
                <w:b/>
                <w:bCs/>
              </w:rPr>
            </w:pPr>
          </w:p>
        </w:tc>
        <w:tc>
          <w:tcPr>
            <w:tcW w:w="2425" w:type="dxa"/>
            <w:shd w:val="clear" w:color="auto" w:fill="F2F2F2" w:themeFill="background1" w:themeFillShade="F2"/>
          </w:tcPr>
          <w:p w14:paraId="647EC789" w14:textId="77777777" w:rsidR="007F79BB" w:rsidRPr="00AF1059" w:rsidRDefault="007F79BB" w:rsidP="0060768A">
            <w:pPr>
              <w:jc w:val="center"/>
              <w:rPr>
                <w:b/>
                <w:bCs/>
              </w:rPr>
            </w:pPr>
          </w:p>
        </w:tc>
      </w:tr>
      <w:tr w:rsidR="007F79BB" w:rsidRPr="00AF1059" w14:paraId="1C0496C0" w14:textId="77777777" w:rsidTr="0060768A">
        <w:tc>
          <w:tcPr>
            <w:tcW w:w="2405" w:type="dxa"/>
            <w:shd w:val="clear" w:color="auto" w:fill="000000" w:themeFill="text1"/>
          </w:tcPr>
          <w:p w14:paraId="652262B4" w14:textId="77777777" w:rsidR="007F79BB" w:rsidRPr="00AF1059" w:rsidRDefault="007F79BB" w:rsidP="0060768A">
            <w:pPr>
              <w:rPr>
                <w:b/>
                <w:bCs/>
              </w:rPr>
            </w:pPr>
            <w:r>
              <w:rPr>
                <w:b/>
                <w:bCs/>
              </w:rPr>
              <w:t>Actual Tax Due</w:t>
            </w:r>
          </w:p>
        </w:tc>
        <w:tc>
          <w:tcPr>
            <w:tcW w:w="2196" w:type="dxa"/>
            <w:shd w:val="clear" w:color="auto" w:fill="000000" w:themeFill="text1"/>
          </w:tcPr>
          <w:p w14:paraId="73317984" w14:textId="77777777" w:rsidR="007F79BB" w:rsidRPr="00AF1059" w:rsidRDefault="007F79BB" w:rsidP="0060768A">
            <w:pPr>
              <w:jc w:val="center"/>
              <w:rPr>
                <w:b/>
                <w:bCs/>
              </w:rPr>
            </w:pPr>
          </w:p>
        </w:tc>
        <w:tc>
          <w:tcPr>
            <w:tcW w:w="2324" w:type="dxa"/>
            <w:shd w:val="clear" w:color="auto" w:fill="000000" w:themeFill="text1"/>
          </w:tcPr>
          <w:p w14:paraId="4C0FACE5" w14:textId="77777777" w:rsidR="007F79BB" w:rsidRPr="00AF1059" w:rsidRDefault="007F79BB" w:rsidP="0060768A">
            <w:pPr>
              <w:jc w:val="center"/>
              <w:rPr>
                <w:b/>
                <w:bCs/>
              </w:rPr>
            </w:pPr>
          </w:p>
        </w:tc>
        <w:tc>
          <w:tcPr>
            <w:tcW w:w="2425" w:type="dxa"/>
            <w:shd w:val="clear" w:color="auto" w:fill="000000" w:themeFill="text1"/>
          </w:tcPr>
          <w:p w14:paraId="1068B56B" w14:textId="77777777" w:rsidR="007F79BB" w:rsidRPr="00AF1059" w:rsidRDefault="007F79BB" w:rsidP="0060768A">
            <w:pPr>
              <w:jc w:val="center"/>
              <w:rPr>
                <w:b/>
                <w:bCs/>
              </w:rPr>
            </w:pPr>
          </w:p>
        </w:tc>
      </w:tr>
    </w:tbl>
    <w:p w14:paraId="6AE7B64C" w14:textId="77777777" w:rsidR="007F79BB" w:rsidRDefault="007F79BB" w:rsidP="00E96C2A"/>
    <w:p w14:paraId="374F7385" w14:textId="238D0321" w:rsidR="003D31C6" w:rsidRDefault="008C1F60" w:rsidP="00E96C2A">
      <w:r>
        <w:t xml:space="preserve">Now, not much has changed here. We’ve highlighted in the table in </w:t>
      </w:r>
      <w:r w:rsidR="00AD1FB8" w:rsidRPr="003C0D22">
        <w:rPr>
          <w:highlight w:val="yellow"/>
        </w:rPr>
        <w:t>YELLOW</w:t>
      </w:r>
      <w:r>
        <w:t xml:space="preserve"> anything that has </w:t>
      </w:r>
      <w:proofErr w:type="gramStart"/>
      <w:r>
        <w:t>changed</w:t>
      </w:r>
      <w:r w:rsidR="00AD1FB8">
        <w:t>, and</w:t>
      </w:r>
      <w:proofErr w:type="gramEnd"/>
      <w:r w:rsidR="00AD1FB8">
        <w:t xml:space="preserve"> have explained below.</w:t>
      </w:r>
    </w:p>
    <w:p w14:paraId="4A0A19E1" w14:textId="77777777" w:rsidR="00AD1FB8" w:rsidRDefault="00AD1FB8" w:rsidP="00E96C2A"/>
    <w:p w14:paraId="239CDA6E" w14:textId="01473A9C" w:rsidR="00AD1FB8" w:rsidRDefault="00A4135F" w:rsidP="00A4135F">
      <w:pPr>
        <w:pStyle w:val="ListParagraph"/>
        <w:numPr>
          <w:ilvl w:val="0"/>
          <w:numId w:val="6"/>
        </w:numPr>
      </w:pPr>
      <w:r>
        <w:t>The amount of the gain that has fallen into the higher-rate tax bracket has reduced from £45,000 to just £5,000.</w:t>
      </w:r>
      <w:r w:rsidR="00CC3189">
        <w:t xml:space="preserve"> This has correspondingly reduced the higher-rate tax due from £18,000 to just £2,000.</w:t>
      </w:r>
    </w:p>
    <w:p w14:paraId="18F2116B" w14:textId="4D523213" w:rsidR="00A4135F" w:rsidRPr="00312A3C" w:rsidRDefault="00113F09" w:rsidP="00A4135F">
      <w:pPr>
        <w:pStyle w:val="ListParagraph"/>
        <w:numPr>
          <w:ilvl w:val="0"/>
          <w:numId w:val="6"/>
        </w:numPr>
      </w:pPr>
      <w:r>
        <w:t xml:space="preserve">The total income for the client has fallen from £95,270 down to £55,270. This is not significant in this </w:t>
      </w:r>
      <w:proofErr w:type="gramStart"/>
      <w:r>
        <w:t>particular case</w:t>
      </w:r>
      <w:proofErr w:type="gramEnd"/>
      <w:r>
        <w:t xml:space="preserve">, however, </w:t>
      </w:r>
      <w:r w:rsidRPr="00312A3C">
        <w:rPr>
          <w:b/>
          <w:bCs/>
        </w:rPr>
        <w:t xml:space="preserve">if </w:t>
      </w:r>
      <w:r w:rsidR="00207063" w:rsidRPr="00312A3C">
        <w:rPr>
          <w:b/>
          <w:bCs/>
        </w:rPr>
        <w:t xml:space="preserve">the client originally had income over £100,000 which caused their Personal Allowance to be tapered, </w:t>
      </w:r>
      <w:r w:rsidR="003B65C8" w:rsidRPr="00312A3C">
        <w:rPr>
          <w:b/>
          <w:bCs/>
        </w:rPr>
        <w:t>when the calculation is redone on the slice</w:t>
      </w:r>
      <w:r w:rsidR="003F0295" w:rsidRPr="00312A3C">
        <w:rPr>
          <w:b/>
          <w:bCs/>
        </w:rPr>
        <w:t xml:space="preserve"> for the </w:t>
      </w:r>
      <w:r w:rsidR="003F0295" w:rsidRPr="00312A3C">
        <w:rPr>
          <w:b/>
          <w:bCs/>
        </w:rPr>
        <w:lastRenderedPageBreak/>
        <w:t>purpose of calculating ‘B’, the slice is used which may mean the</w:t>
      </w:r>
      <w:r w:rsidR="00312A3C" w:rsidRPr="00312A3C">
        <w:rPr>
          <w:b/>
          <w:bCs/>
        </w:rPr>
        <w:t>y get back their whole personal allowance and the</w:t>
      </w:r>
      <w:r w:rsidR="003F0295" w:rsidRPr="00312A3C">
        <w:rPr>
          <w:b/>
          <w:bCs/>
        </w:rPr>
        <w:t xml:space="preserve"> </w:t>
      </w:r>
      <w:r w:rsidR="00312A3C" w:rsidRPr="00312A3C">
        <w:rPr>
          <w:b/>
          <w:bCs/>
        </w:rPr>
        <w:t>entire</w:t>
      </w:r>
      <w:r w:rsidR="003F0295" w:rsidRPr="00312A3C">
        <w:rPr>
          <w:b/>
          <w:bCs/>
        </w:rPr>
        <w:t xml:space="preserve"> table will need redone!</w:t>
      </w:r>
    </w:p>
    <w:p w14:paraId="6557E0EF" w14:textId="353EAA29" w:rsidR="00312A3C" w:rsidRDefault="00312A3C" w:rsidP="00A4135F">
      <w:pPr>
        <w:pStyle w:val="ListParagraph"/>
        <w:numPr>
          <w:ilvl w:val="0"/>
          <w:numId w:val="6"/>
        </w:numPr>
      </w:pPr>
      <w:r>
        <w:t>The onshore tax credit is now based on the slice</w:t>
      </w:r>
      <w:r w:rsidR="003C0D22">
        <w:t xml:space="preserve"> of £10,000, of which 20% is £2,000.</w:t>
      </w:r>
    </w:p>
    <w:p w14:paraId="33ED35CD" w14:textId="77777777" w:rsidR="00AD1FB8" w:rsidRDefault="00AD1FB8" w:rsidP="00E96C2A"/>
    <w:p w14:paraId="49F1D056" w14:textId="359EC5AB" w:rsidR="003C0D22" w:rsidRDefault="003C0D22" w:rsidP="00E96C2A">
      <w:r>
        <w:t xml:space="preserve">Now we have our table, we can establish ‘B’ in the same way that we calculated ‘A’: calculate the total tax on the </w:t>
      </w:r>
      <w:proofErr w:type="gramStart"/>
      <w:r>
        <w:t>bond, and</w:t>
      </w:r>
      <w:proofErr w:type="gramEnd"/>
      <w:r>
        <w:t xml:space="preserve"> deduct the Onshore Tax Credit. Total tax on the bond (according to our table) is £1,000 + £2,000 = £3,000. And the Onshore Tax Credit is £2,000. </w:t>
      </w:r>
      <w:proofErr w:type="gramStart"/>
      <w:r>
        <w:t>So</w:t>
      </w:r>
      <w:proofErr w:type="gramEnd"/>
      <w:r>
        <w:t xml:space="preserve"> £3,000 - £2,000 = £</w:t>
      </w:r>
      <w:r w:rsidR="005F5E70">
        <w:t>1</w:t>
      </w:r>
      <w:r>
        <w:t>,000.</w:t>
      </w:r>
    </w:p>
    <w:p w14:paraId="4B0EA5D5" w14:textId="27120D96" w:rsidR="00731276" w:rsidRDefault="00731276" w:rsidP="00E96C2A"/>
    <w:p w14:paraId="7A9FEC82" w14:textId="30DEEE2F" w:rsidR="005F5E70" w:rsidRPr="0006501A" w:rsidRDefault="005F5E70" w:rsidP="005F5E70">
      <w:pPr>
        <w:jc w:val="center"/>
        <w:rPr>
          <w:b/>
          <w:bCs/>
          <w:color w:val="FF0000"/>
        </w:rPr>
      </w:pPr>
      <w:r w:rsidRPr="0006501A">
        <w:rPr>
          <w:b/>
          <w:bCs/>
          <w:color w:val="FF0000"/>
        </w:rPr>
        <w:t>*This is the part people often forget to do*</w:t>
      </w:r>
    </w:p>
    <w:p w14:paraId="736447CE" w14:textId="692395A8" w:rsidR="005F5E70" w:rsidRDefault="005F5E70" w:rsidP="00E96C2A"/>
    <w:p w14:paraId="1531368F" w14:textId="18A6A793" w:rsidR="005F5E70" w:rsidRDefault="005F5E70" w:rsidP="00E96C2A">
      <w:r>
        <w:t>What you now need to do is multiply the £1,000 up by the number of years</w:t>
      </w:r>
      <w:r w:rsidR="0006501A">
        <w:t>. £1,000 x 5 years = £5,000. B is therefore £5,000.</w:t>
      </w:r>
    </w:p>
    <w:p w14:paraId="1CEB87A8" w14:textId="12C009B5" w:rsidR="0006501A" w:rsidRDefault="0006501A" w:rsidP="00E96C2A"/>
    <w:p w14:paraId="6E55C5D0" w14:textId="27DFA171" w:rsidR="00563324" w:rsidRPr="00E83684" w:rsidRDefault="00563324" w:rsidP="00563324">
      <w:pPr>
        <w:pBdr>
          <w:top w:val="single" w:sz="4" w:space="1" w:color="auto"/>
          <w:left w:val="single" w:sz="4" w:space="4" w:color="auto"/>
          <w:bottom w:val="single" w:sz="4" w:space="1" w:color="auto"/>
          <w:right w:val="single" w:sz="4" w:space="4" w:color="auto"/>
        </w:pBdr>
        <w:jc w:val="center"/>
        <w:rPr>
          <w:b/>
          <w:bCs/>
        </w:rPr>
      </w:pPr>
      <w:r w:rsidRPr="00E83684">
        <w:rPr>
          <w:b/>
          <w:bCs/>
        </w:rPr>
        <w:t xml:space="preserve">TSR = </w:t>
      </w:r>
      <w:r>
        <w:rPr>
          <w:b/>
          <w:bCs/>
        </w:rPr>
        <w:t>£9,000</w:t>
      </w:r>
      <w:r w:rsidRPr="00E83684">
        <w:rPr>
          <w:b/>
          <w:bCs/>
        </w:rPr>
        <w:t xml:space="preserve"> – </w:t>
      </w:r>
      <w:r>
        <w:rPr>
          <w:b/>
          <w:bCs/>
        </w:rPr>
        <w:t>£5,000 = £4,000</w:t>
      </w:r>
    </w:p>
    <w:p w14:paraId="6C4117C7" w14:textId="77777777" w:rsidR="0006501A" w:rsidRDefault="0006501A" w:rsidP="00E96C2A"/>
    <w:p w14:paraId="7B4E83CD" w14:textId="04F20CB0" w:rsidR="00731276" w:rsidRDefault="00563324" w:rsidP="00E96C2A">
      <w:r>
        <w:t>And now we can finish off our original table:</w:t>
      </w:r>
    </w:p>
    <w:p w14:paraId="54DD5E7A" w14:textId="4B7E6468" w:rsidR="00563324" w:rsidRDefault="00563324" w:rsidP="00E96C2A"/>
    <w:tbl>
      <w:tblPr>
        <w:tblStyle w:val="TableGrid"/>
        <w:tblW w:w="0" w:type="auto"/>
        <w:tblLook w:val="04A0" w:firstRow="1" w:lastRow="0" w:firstColumn="1" w:lastColumn="0" w:noHBand="0" w:noVBand="1"/>
      </w:tblPr>
      <w:tblGrid>
        <w:gridCol w:w="2405"/>
        <w:gridCol w:w="2196"/>
        <w:gridCol w:w="2324"/>
        <w:gridCol w:w="2425"/>
      </w:tblGrid>
      <w:tr w:rsidR="00563324" w:rsidRPr="00E871BE" w14:paraId="2310DF79" w14:textId="77777777" w:rsidTr="0060768A">
        <w:tc>
          <w:tcPr>
            <w:tcW w:w="2405" w:type="dxa"/>
          </w:tcPr>
          <w:p w14:paraId="11B09F67" w14:textId="77777777" w:rsidR="00563324" w:rsidRPr="00E871BE" w:rsidRDefault="00563324" w:rsidP="0060768A">
            <w:pPr>
              <w:rPr>
                <w:b/>
                <w:bCs/>
              </w:rPr>
            </w:pPr>
            <w:r w:rsidRPr="00E871BE">
              <w:rPr>
                <w:b/>
                <w:bCs/>
              </w:rPr>
              <w:t>Income Source</w:t>
            </w:r>
          </w:p>
        </w:tc>
        <w:tc>
          <w:tcPr>
            <w:tcW w:w="2196" w:type="dxa"/>
          </w:tcPr>
          <w:p w14:paraId="3FDFEB37" w14:textId="77777777" w:rsidR="00563324" w:rsidRPr="00E871BE" w:rsidRDefault="00563324" w:rsidP="0060768A">
            <w:pPr>
              <w:jc w:val="center"/>
              <w:rPr>
                <w:b/>
                <w:bCs/>
              </w:rPr>
            </w:pPr>
            <w:r w:rsidRPr="00E871BE">
              <w:rPr>
                <w:b/>
                <w:bCs/>
              </w:rPr>
              <w:t>Amount</w:t>
            </w:r>
          </w:p>
        </w:tc>
        <w:tc>
          <w:tcPr>
            <w:tcW w:w="2324" w:type="dxa"/>
          </w:tcPr>
          <w:p w14:paraId="0C4F6AAF" w14:textId="77777777" w:rsidR="00563324" w:rsidRPr="00E871BE" w:rsidRDefault="00563324" w:rsidP="0060768A">
            <w:pPr>
              <w:jc w:val="center"/>
              <w:rPr>
                <w:b/>
                <w:bCs/>
              </w:rPr>
            </w:pPr>
            <w:r w:rsidRPr="00E871BE">
              <w:rPr>
                <w:b/>
                <w:bCs/>
              </w:rPr>
              <w:t>Tax Rate</w:t>
            </w:r>
          </w:p>
        </w:tc>
        <w:tc>
          <w:tcPr>
            <w:tcW w:w="2425" w:type="dxa"/>
          </w:tcPr>
          <w:p w14:paraId="5DBC7CE9" w14:textId="77777777" w:rsidR="00563324" w:rsidRPr="00E871BE" w:rsidRDefault="00563324" w:rsidP="0060768A">
            <w:pPr>
              <w:jc w:val="center"/>
              <w:rPr>
                <w:b/>
                <w:bCs/>
              </w:rPr>
            </w:pPr>
            <w:r w:rsidRPr="00E871BE">
              <w:rPr>
                <w:b/>
                <w:bCs/>
              </w:rPr>
              <w:t>Amount of Tax</w:t>
            </w:r>
          </w:p>
        </w:tc>
      </w:tr>
      <w:tr w:rsidR="00563324" w14:paraId="6D344D16" w14:textId="77777777" w:rsidTr="0060768A">
        <w:tc>
          <w:tcPr>
            <w:tcW w:w="2405" w:type="dxa"/>
            <w:shd w:val="clear" w:color="auto" w:fill="BFBFBF" w:themeFill="background1" w:themeFillShade="BF"/>
          </w:tcPr>
          <w:p w14:paraId="5959DCDA" w14:textId="77777777" w:rsidR="00563324" w:rsidRDefault="00563324" w:rsidP="0060768A">
            <w:r>
              <w:t>Salary</w:t>
            </w:r>
          </w:p>
        </w:tc>
        <w:tc>
          <w:tcPr>
            <w:tcW w:w="2196" w:type="dxa"/>
            <w:shd w:val="clear" w:color="auto" w:fill="BFBFBF" w:themeFill="background1" w:themeFillShade="BF"/>
          </w:tcPr>
          <w:p w14:paraId="677A845D" w14:textId="77777777" w:rsidR="00563324" w:rsidRDefault="00563324" w:rsidP="0060768A">
            <w:pPr>
              <w:jc w:val="center"/>
            </w:pPr>
            <w:r>
              <w:t>£12,570</w:t>
            </w:r>
          </w:p>
        </w:tc>
        <w:tc>
          <w:tcPr>
            <w:tcW w:w="2324" w:type="dxa"/>
            <w:shd w:val="clear" w:color="auto" w:fill="BFBFBF" w:themeFill="background1" w:themeFillShade="BF"/>
          </w:tcPr>
          <w:p w14:paraId="6234D693" w14:textId="77777777" w:rsidR="00563324" w:rsidRDefault="00563324" w:rsidP="0060768A">
            <w:pPr>
              <w:jc w:val="center"/>
            </w:pPr>
            <w:r>
              <w:t>0% Personal Allowance</w:t>
            </w:r>
          </w:p>
        </w:tc>
        <w:tc>
          <w:tcPr>
            <w:tcW w:w="2425" w:type="dxa"/>
            <w:shd w:val="clear" w:color="auto" w:fill="BFBFBF" w:themeFill="background1" w:themeFillShade="BF"/>
          </w:tcPr>
          <w:p w14:paraId="2018A9BC" w14:textId="77777777" w:rsidR="00563324" w:rsidRDefault="00563324" w:rsidP="0060768A">
            <w:pPr>
              <w:jc w:val="center"/>
            </w:pPr>
            <w:r>
              <w:t>£0</w:t>
            </w:r>
          </w:p>
        </w:tc>
      </w:tr>
      <w:tr w:rsidR="00563324" w14:paraId="45785B21" w14:textId="77777777" w:rsidTr="0060768A">
        <w:tc>
          <w:tcPr>
            <w:tcW w:w="2405" w:type="dxa"/>
            <w:shd w:val="clear" w:color="auto" w:fill="BFBFBF" w:themeFill="background1" w:themeFillShade="BF"/>
          </w:tcPr>
          <w:p w14:paraId="0A7E4340" w14:textId="77777777" w:rsidR="00563324" w:rsidRDefault="00563324" w:rsidP="0060768A"/>
        </w:tc>
        <w:tc>
          <w:tcPr>
            <w:tcW w:w="2196" w:type="dxa"/>
            <w:shd w:val="clear" w:color="auto" w:fill="BFBFBF" w:themeFill="background1" w:themeFillShade="BF"/>
          </w:tcPr>
          <w:p w14:paraId="28E6A446" w14:textId="77777777" w:rsidR="00563324" w:rsidRDefault="00563324" w:rsidP="0060768A">
            <w:pPr>
              <w:jc w:val="center"/>
            </w:pPr>
            <w:r>
              <w:t>£</w:t>
            </w:r>
            <w:r w:rsidRPr="004B099E">
              <w:t>32,200</w:t>
            </w:r>
          </w:p>
        </w:tc>
        <w:tc>
          <w:tcPr>
            <w:tcW w:w="2324" w:type="dxa"/>
            <w:shd w:val="clear" w:color="auto" w:fill="BFBFBF" w:themeFill="background1" w:themeFillShade="BF"/>
          </w:tcPr>
          <w:p w14:paraId="3338E9D9" w14:textId="77777777" w:rsidR="00563324" w:rsidRDefault="00563324" w:rsidP="0060768A">
            <w:pPr>
              <w:jc w:val="center"/>
            </w:pPr>
            <w:r>
              <w:t>20%</w:t>
            </w:r>
          </w:p>
        </w:tc>
        <w:tc>
          <w:tcPr>
            <w:tcW w:w="2425" w:type="dxa"/>
            <w:shd w:val="clear" w:color="auto" w:fill="BFBFBF" w:themeFill="background1" w:themeFillShade="BF"/>
          </w:tcPr>
          <w:p w14:paraId="296FEA32" w14:textId="77777777" w:rsidR="00563324" w:rsidRDefault="00563324" w:rsidP="0060768A">
            <w:pPr>
              <w:jc w:val="center"/>
            </w:pPr>
            <w:r>
              <w:t>£</w:t>
            </w:r>
            <w:r w:rsidRPr="00E871BE">
              <w:t>6,440</w:t>
            </w:r>
          </w:p>
        </w:tc>
      </w:tr>
      <w:tr w:rsidR="00563324" w14:paraId="3B8BEF87" w14:textId="77777777" w:rsidTr="0060768A">
        <w:tc>
          <w:tcPr>
            <w:tcW w:w="2405" w:type="dxa"/>
            <w:shd w:val="clear" w:color="auto" w:fill="BFBFBF" w:themeFill="background1" w:themeFillShade="BF"/>
          </w:tcPr>
          <w:p w14:paraId="354CC819" w14:textId="77777777" w:rsidR="00563324" w:rsidRDefault="00563324" w:rsidP="0060768A"/>
        </w:tc>
        <w:tc>
          <w:tcPr>
            <w:tcW w:w="2196" w:type="dxa"/>
            <w:shd w:val="clear" w:color="auto" w:fill="BFBFBF" w:themeFill="background1" w:themeFillShade="BF"/>
          </w:tcPr>
          <w:p w14:paraId="5DA52904" w14:textId="77777777" w:rsidR="00563324" w:rsidRDefault="00563324" w:rsidP="0060768A">
            <w:pPr>
              <w:jc w:val="center"/>
            </w:pPr>
            <w:r>
              <w:t>£0</w:t>
            </w:r>
          </w:p>
        </w:tc>
        <w:tc>
          <w:tcPr>
            <w:tcW w:w="2324" w:type="dxa"/>
            <w:shd w:val="clear" w:color="auto" w:fill="BFBFBF" w:themeFill="background1" w:themeFillShade="BF"/>
          </w:tcPr>
          <w:p w14:paraId="242378AA" w14:textId="77777777" w:rsidR="00563324" w:rsidRDefault="00563324" w:rsidP="0060768A">
            <w:pPr>
              <w:jc w:val="center"/>
            </w:pPr>
            <w:r>
              <w:t>40%</w:t>
            </w:r>
          </w:p>
        </w:tc>
        <w:tc>
          <w:tcPr>
            <w:tcW w:w="2425" w:type="dxa"/>
            <w:shd w:val="clear" w:color="auto" w:fill="BFBFBF" w:themeFill="background1" w:themeFillShade="BF"/>
          </w:tcPr>
          <w:p w14:paraId="7FD8CF0C" w14:textId="77777777" w:rsidR="00563324" w:rsidRDefault="00563324" w:rsidP="0060768A">
            <w:pPr>
              <w:jc w:val="center"/>
            </w:pPr>
            <w:r>
              <w:t>£0</w:t>
            </w:r>
          </w:p>
        </w:tc>
      </w:tr>
      <w:tr w:rsidR="00563324" w14:paraId="161CAF15" w14:textId="77777777" w:rsidTr="0060768A">
        <w:tc>
          <w:tcPr>
            <w:tcW w:w="2405" w:type="dxa"/>
            <w:shd w:val="clear" w:color="auto" w:fill="BFBFBF" w:themeFill="background1" w:themeFillShade="BF"/>
          </w:tcPr>
          <w:p w14:paraId="0270E4BD" w14:textId="77777777" w:rsidR="00563324" w:rsidRDefault="00563324" w:rsidP="0060768A"/>
        </w:tc>
        <w:tc>
          <w:tcPr>
            <w:tcW w:w="2196" w:type="dxa"/>
            <w:shd w:val="clear" w:color="auto" w:fill="BFBFBF" w:themeFill="background1" w:themeFillShade="BF"/>
          </w:tcPr>
          <w:p w14:paraId="4003E035" w14:textId="77777777" w:rsidR="00563324" w:rsidRDefault="00563324" w:rsidP="0060768A">
            <w:pPr>
              <w:jc w:val="center"/>
            </w:pPr>
            <w:r>
              <w:t>£0</w:t>
            </w:r>
          </w:p>
        </w:tc>
        <w:tc>
          <w:tcPr>
            <w:tcW w:w="2324" w:type="dxa"/>
            <w:shd w:val="clear" w:color="auto" w:fill="BFBFBF" w:themeFill="background1" w:themeFillShade="BF"/>
          </w:tcPr>
          <w:p w14:paraId="6FBD17E9" w14:textId="77777777" w:rsidR="00563324" w:rsidRDefault="00563324" w:rsidP="0060768A">
            <w:pPr>
              <w:jc w:val="center"/>
            </w:pPr>
            <w:r>
              <w:t>45%</w:t>
            </w:r>
          </w:p>
        </w:tc>
        <w:tc>
          <w:tcPr>
            <w:tcW w:w="2425" w:type="dxa"/>
            <w:shd w:val="clear" w:color="auto" w:fill="BFBFBF" w:themeFill="background1" w:themeFillShade="BF"/>
          </w:tcPr>
          <w:p w14:paraId="444B4180" w14:textId="77777777" w:rsidR="00563324" w:rsidRDefault="00563324" w:rsidP="0060768A">
            <w:pPr>
              <w:jc w:val="center"/>
            </w:pPr>
            <w:r>
              <w:t>£0</w:t>
            </w:r>
          </w:p>
        </w:tc>
      </w:tr>
      <w:tr w:rsidR="00563324" w14:paraId="1B5CE463" w14:textId="77777777" w:rsidTr="0060768A">
        <w:tc>
          <w:tcPr>
            <w:tcW w:w="2405" w:type="dxa"/>
            <w:shd w:val="clear" w:color="auto" w:fill="F2F2F2" w:themeFill="background1" w:themeFillShade="F2"/>
          </w:tcPr>
          <w:p w14:paraId="65757B77" w14:textId="77777777" w:rsidR="00563324" w:rsidRDefault="00563324" w:rsidP="0060768A">
            <w:r>
              <w:t>Savings Income</w:t>
            </w:r>
          </w:p>
        </w:tc>
        <w:tc>
          <w:tcPr>
            <w:tcW w:w="2196" w:type="dxa"/>
            <w:shd w:val="clear" w:color="auto" w:fill="F2F2F2" w:themeFill="background1" w:themeFillShade="F2"/>
          </w:tcPr>
          <w:p w14:paraId="670E5EF7" w14:textId="77777777" w:rsidR="00563324" w:rsidRDefault="00563324" w:rsidP="0060768A">
            <w:pPr>
              <w:jc w:val="center"/>
            </w:pPr>
            <w:r>
              <w:t>£500</w:t>
            </w:r>
          </w:p>
        </w:tc>
        <w:tc>
          <w:tcPr>
            <w:tcW w:w="2324" w:type="dxa"/>
            <w:shd w:val="clear" w:color="auto" w:fill="F2F2F2" w:themeFill="background1" w:themeFillShade="F2"/>
          </w:tcPr>
          <w:p w14:paraId="2D5E28A9" w14:textId="77777777" w:rsidR="00563324" w:rsidRDefault="00563324" w:rsidP="0060768A">
            <w:pPr>
              <w:jc w:val="center"/>
            </w:pPr>
            <w:r>
              <w:t>0% PSA</w:t>
            </w:r>
          </w:p>
        </w:tc>
        <w:tc>
          <w:tcPr>
            <w:tcW w:w="2425" w:type="dxa"/>
            <w:shd w:val="clear" w:color="auto" w:fill="F2F2F2" w:themeFill="background1" w:themeFillShade="F2"/>
          </w:tcPr>
          <w:p w14:paraId="104AA9B3" w14:textId="77777777" w:rsidR="00563324" w:rsidRDefault="00563324" w:rsidP="0060768A">
            <w:pPr>
              <w:jc w:val="center"/>
            </w:pPr>
            <w:r>
              <w:t>£0</w:t>
            </w:r>
          </w:p>
        </w:tc>
      </w:tr>
      <w:tr w:rsidR="00563324" w14:paraId="640FE351" w14:textId="77777777" w:rsidTr="0060768A">
        <w:tc>
          <w:tcPr>
            <w:tcW w:w="2405" w:type="dxa"/>
            <w:shd w:val="clear" w:color="auto" w:fill="F2F2F2" w:themeFill="background1" w:themeFillShade="F2"/>
          </w:tcPr>
          <w:p w14:paraId="55B271D2" w14:textId="77777777" w:rsidR="00563324" w:rsidRDefault="00563324" w:rsidP="0060768A"/>
        </w:tc>
        <w:tc>
          <w:tcPr>
            <w:tcW w:w="2196" w:type="dxa"/>
            <w:shd w:val="clear" w:color="auto" w:fill="F2F2F2" w:themeFill="background1" w:themeFillShade="F2"/>
          </w:tcPr>
          <w:p w14:paraId="39C5668C" w14:textId="77777777" w:rsidR="00563324" w:rsidRDefault="00563324" w:rsidP="0060768A">
            <w:pPr>
              <w:jc w:val="center"/>
            </w:pPr>
            <w:r>
              <w:t>£0</w:t>
            </w:r>
          </w:p>
        </w:tc>
        <w:tc>
          <w:tcPr>
            <w:tcW w:w="2324" w:type="dxa"/>
            <w:shd w:val="clear" w:color="auto" w:fill="F2F2F2" w:themeFill="background1" w:themeFillShade="F2"/>
          </w:tcPr>
          <w:p w14:paraId="64FBD9DB" w14:textId="77777777" w:rsidR="00563324" w:rsidRDefault="00563324" w:rsidP="0060768A">
            <w:pPr>
              <w:jc w:val="center"/>
            </w:pPr>
            <w:r>
              <w:t>20%</w:t>
            </w:r>
          </w:p>
        </w:tc>
        <w:tc>
          <w:tcPr>
            <w:tcW w:w="2425" w:type="dxa"/>
            <w:shd w:val="clear" w:color="auto" w:fill="F2F2F2" w:themeFill="background1" w:themeFillShade="F2"/>
          </w:tcPr>
          <w:p w14:paraId="2CE18DF6" w14:textId="77777777" w:rsidR="00563324" w:rsidRDefault="00563324" w:rsidP="0060768A">
            <w:pPr>
              <w:jc w:val="center"/>
            </w:pPr>
            <w:r>
              <w:t>£0</w:t>
            </w:r>
          </w:p>
        </w:tc>
      </w:tr>
      <w:tr w:rsidR="00563324" w14:paraId="48D54E3D" w14:textId="77777777" w:rsidTr="0060768A">
        <w:tc>
          <w:tcPr>
            <w:tcW w:w="2405" w:type="dxa"/>
            <w:shd w:val="clear" w:color="auto" w:fill="F2F2F2" w:themeFill="background1" w:themeFillShade="F2"/>
          </w:tcPr>
          <w:p w14:paraId="5090892B" w14:textId="77777777" w:rsidR="00563324" w:rsidRDefault="00563324" w:rsidP="0060768A"/>
        </w:tc>
        <w:tc>
          <w:tcPr>
            <w:tcW w:w="2196" w:type="dxa"/>
            <w:shd w:val="clear" w:color="auto" w:fill="F2F2F2" w:themeFill="background1" w:themeFillShade="F2"/>
          </w:tcPr>
          <w:p w14:paraId="53EB224B" w14:textId="77777777" w:rsidR="00563324" w:rsidRDefault="00563324" w:rsidP="0060768A">
            <w:pPr>
              <w:jc w:val="center"/>
            </w:pPr>
            <w:r>
              <w:t>£0</w:t>
            </w:r>
          </w:p>
        </w:tc>
        <w:tc>
          <w:tcPr>
            <w:tcW w:w="2324" w:type="dxa"/>
            <w:shd w:val="clear" w:color="auto" w:fill="F2F2F2" w:themeFill="background1" w:themeFillShade="F2"/>
          </w:tcPr>
          <w:p w14:paraId="7E8F71C2" w14:textId="77777777" w:rsidR="00563324" w:rsidRDefault="00563324" w:rsidP="0060768A">
            <w:pPr>
              <w:jc w:val="center"/>
            </w:pPr>
            <w:r>
              <w:t>40%</w:t>
            </w:r>
          </w:p>
        </w:tc>
        <w:tc>
          <w:tcPr>
            <w:tcW w:w="2425" w:type="dxa"/>
            <w:shd w:val="clear" w:color="auto" w:fill="F2F2F2" w:themeFill="background1" w:themeFillShade="F2"/>
          </w:tcPr>
          <w:p w14:paraId="600C0980" w14:textId="77777777" w:rsidR="00563324" w:rsidRDefault="00563324" w:rsidP="0060768A">
            <w:pPr>
              <w:jc w:val="center"/>
            </w:pPr>
            <w:r>
              <w:t>£0</w:t>
            </w:r>
          </w:p>
        </w:tc>
      </w:tr>
      <w:tr w:rsidR="00563324" w14:paraId="7C8D956C" w14:textId="77777777" w:rsidTr="0060768A">
        <w:tc>
          <w:tcPr>
            <w:tcW w:w="2405" w:type="dxa"/>
            <w:shd w:val="clear" w:color="auto" w:fill="F2F2F2" w:themeFill="background1" w:themeFillShade="F2"/>
          </w:tcPr>
          <w:p w14:paraId="3A2752BA" w14:textId="77777777" w:rsidR="00563324" w:rsidRDefault="00563324" w:rsidP="0060768A"/>
        </w:tc>
        <w:tc>
          <w:tcPr>
            <w:tcW w:w="2196" w:type="dxa"/>
            <w:shd w:val="clear" w:color="auto" w:fill="F2F2F2" w:themeFill="background1" w:themeFillShade="F2"/>
          </w:tcPr>
          <w:p w14:paraId="119D77E0" w14:textId="77777777" w:rsidR="00563324" w:rsidRDefault="00563324" w:rsidP="0060768A">
            <w:pPr>
              <w:jc w:val="center"/>
            </w:pPr>
            <w:r>
              <w:t>£0</w:t>
            </w:r>
          </w:p>
        </w:tc>
        <w:tc>
          <w:tcPr>
            <w:tcW w:w="2324" w:type="dxa"/>
            <w:shd w:val="clear" w:color="auto" w:fill="F2F2F2" w:themeFill="background1" w:themeFillShade="F2"/>
          </w:tcPr>
          <w:p w14:paraId="610C78BB" w14:textId="77777777" w:rsidR="00563324" w:rsidRDefault="00563324" w:rsidP="0060768A">
            <w:pPr>
              <w:jc w:val="center"/>
            </w:pPr>
            <w:r>
              <w:t>45%</w:t>
            </w:r>
          </w:p>
        </w:tc>
        <w:tc>
          <w:tcPr>
            <w:tcW w:w="2425" w:type="dxa"/>
            <w:shd w:val="clear" w:color="auto" w:fill="F2F2F2" w:themeFill="background1" w:themeFillShade="F2"/>
          </w:tcPr>
          <w:p w14:paraId="36808C27" w14:textId="77777777" w:rsidR="00563324" w:rsidRDefault="00563324" w:rsidP="0060768A">
            <w:pPr>
              <w:jc w:val="center"/>
            </w:pPr>
            <w:r>
              <w:t>£0</w:t>
            </w:r>
          </w:p>
        </w:tc>
      </w:tr>
      <w:tr w:rsidR="00563324" w14:paraId="2AE614CC" w14:textId="77777777" w:rsidTr="0060768A">
        <w:tc>
          <w:tcPr>
            <w:tcW w:w="2405" w:type="dxa"/>
            <w:shd w:val="clear" w:color="auto" w:fill="BFBFBF" w:themeFill="background1" w:themeFillShade="BF"/>
          </w:tcPr>
          <w:p w14:paraId="5EAA4798" w14:textId="77777777" w:rsidR="00563324" w:rsidRDefault="00563324" w:rsidP="0060768A">
            <w:r>
              <w:t>UK Chargeable Gain</w:t>
            </w:r>
          </w:p>
        </w:tc>
        <w:tc>
          <w:tcPr>
            <w:tcW w:w="2196" w:type="dxa"/>
            <w:shd w:val="clear" w:color="auto" w:fill="BFBFBF" w:themeFill="background1" w:themeFillShade="BF"/>
          </w:tcPr>
          <w:p w14:paraId="458979B2" w14:textId="77777777" w:rsidR="00563324" w:rsidRDefault="00563324" w:rsidP="0060768A">
            <w:pPr>
              <w:jc w:val="center"/>
            </w:pPr>
            <w:r>
              <w:t>£0</w:t>
            </w:r>
          </w:p>
        </w:tc>
        <w:tc>
          <w:tcPr>
            <w:tcW w:w="2324" w:type="dxa"/>
            <w:shd w:val="clear" w:color="auto" w:fill="BFBFBF" w:themeFill="background1" w:themeFillShade="BF"/>
          </w:tcPr>
          <w:p w14:paraId="460E7595" w14:textId="77777777" w:rsidR="00563324" w:rsidRDefault="00563324" w:rsidP="0060768A">
            <w:pPr>
              <w:jc w:val="center"/>
            </w:pPr>
            <w:r>
              <w:t>0%</w:t>
            </w:r>
          </w:p>
        </w:tc>
        <w:tc>
          <w:tcPr>
            <w:tcW w:w="2425" w:type="dxa"/>
            <w:shd w:val="clear" w:color="auto" w:fill="BFBFBF" w:themeFill="background1" w:themeFillShade="BF"/>
          </w:tcPr>
          <w:p w14:paraId="33C1BFC1" w14:textId="77777777" w:rsidR="00563324" w:rsidRDefault="00563324" w:rsidP="0060768A">
            <w:pPr>
              <w:jc w:val="center"/>
            </w:pPr>
            <w:r>
              <w:t>£0</w:t>
            </w:r>
          </w:p>
        </w:tc>
      </w:tr>
      <w:tr w:rsidR="00563324" w14:paraId="50E6C110" w14:textId="77777777" w:rsidTr="0060768A">
        <w:tc>
          <w:tcPr>
            <w:tcW w:w="2405" w:type="dxa"/>
            <w:shd w:val="clear" w:color="auto" w:fill="BFBFBF" w:themeFill="background1" w:themeFillShade="BF"/>
          </w:tcPr>
          <w:p w14:paraId="57B8AD1A" w14:textId="77777777" w:rsidR="00563324" w:rsidRDefault="00563324" w:rsidP="0060768A"/>
        </w:tc>
        <w:tc>
          <w:tcPr>
            <w:tcW w:w="2196" w:type="dxa"/>
            <w:shd w:val="clear" w:color="auto" w:fill="BFBFBF" w:themeFill="background1" w:themeFillShade="BF"/>
          </w:tcPr>
          <w:p w14:paraId="62D593DD" w14:textId="77777777" w:rsidR="00563324" w:rsidRDefault="00563324" w:rsidP="0060768A">
            <w:pPr>
              <w:jc w:val="center"/>
            </w:pPr>
            <w:r>
              <w:t>£5,000</w:t>
            </w:r>
          </w:p>
        </w:tc>
        <w:tc>
          <w:tcPr>
            <w:tcW w:w="2324" w:type="dxa"/>
            <w:shd w:val="clear" w:color="auto" w:fill="BFBFBF" w:themeFill="background1" w:themeFillShade="BF"/>
          </w:tcPr>
          <w:p w14:paraId="369661D3" w14:textId="77777777" w:rsidR="00563324" w:rsidRDefault="00563324" w:rsidP="0060768A">
            <w:pPr>
              <w:jc w:val="center"/>
            </w:pPr>
            <w:r>
              <w:t>20%</w:t>
            </w:r>
          </w:p>
        </w:tc>
        <w:tc>
          <w:tcPr>
            <w:tcW w:w="2425" w:type="dxa"/>
            <w:shd w:val="clear" w:color="auto" w:fill="BFBFBF" w:themeFill="background1" w:themeFillShade="BF"/>
          </w:tcPr>
          <w:p w14:paraId="42339BA4" w14:textId="77777777" w:rsidR="00563324" w:rsidRDefault="00563324" w:rsidP="0060768A">
            <w:pPr>
              <w:jc w:val="center"/>
            </w:pPr>
            <w:r>
              <w:t>£1,000</w:t>
            </w:r>
          </w:p>
        </w:tc>
      </w:tr>
      <w:tr w:rsidR="00563324" w14:paraId="79D52C42" w14:textId="77777777" w:rsidTr="0060768A">
        <w:tc>
          <w:tcPr>
            <w:tcW w:w="2405" w:type="dxa"/>
            <w:shd w:val="clear" w:color="auto" w:fill="BFBFBF" w:themeFill="background1" w:themeFillShade="BF"/>
          </w:tcPr>
          <w:p w14:paraId="3F895E86" w14:textId="77777777" w:rsidR="00563324" w:rsidRDefault="00563324" w:rsidP="0060768A"/>
        </w:tc>
        <w:tc>
          <w:tcPr>
            <w:tcW w:w="2196" w:type="dxa"/>
            <w:shd w:val="clear" w:color="auto" w:fill="BFBFBF" w:themeFill="background1" w:themeFillShade="BF"/>
          </w:tcPr>
          <w:p w14:paraId="13FC211C" w14:textId="77777777" w:rsidR="00563324" w:rsidRDefault="00563324" w:rsidP="0060768A">
            <w:pPr>
              <w:jc w:val="center"/>
            </w:pPr>
            <w:r>
              <w:t>£45,000</w:t>
            </w:r>
          </w:p>
        </w:tc>
        <w:tc>
          <w:tcPr>
            <w:tcW w:w="2324" w:type="dxa"/>
            <w:shd w:val="clear" w:color="auto" w:fill="BFBFBF" w:themeFill="background1" w:themeFillShade="BF"/>
          </w:tcPr>
          <w:p w14:paraId="4A8EEE43" w14:textId="77777777" w:rsidR="00563324" w:rsidRDefault="00563324" w:rsidP="0060768A">
            <w:pPr>
              <w:jc w:val="center"/>
            </w:pPr>
            <w:r>
              <w:t>40%</w:t>
            </w:r>
          </w:p>
        </w:tc>
        <w:tc>
          <w:tcPr>
            <w:tcW w:w="2425" w:type="dxa"/>
            <w:shd w:val="clear" w:color="auto" w:fill="BFBFBF" w:themeFill="background1" w:themeFillShade="BF"/>
          </w:tcPr>
          <w:p w14:paraId="685757EE" w14:textId="77777777" w:rsidR="00563324" w:rsidRDefault="00563324" w:rsidP="0060768A">
            <w:pPr>
              <w:jc w:val="center"/>
            </w:pPr>
            <w:r>
              <w:t>£18,000</w:t>
            </w:r>
          </w:p>
        </w:tc>
      </w:tr>
      <w:tr w:rsidR="00563324" w14:paraId="71D67A9A" w14:textId="77777777" w:rsidTr="0060768A">
        <w:tc>
          <w:tcPr>
            <w:tcW w:w="2405" w:type="dxa"/>
            <w:shd w:val="clear" w:color="auto" w:fill="BFBFBF" w:themeFill="background1" w:themeFillShade="BF"/>
          </w:tcPr>
          <w:p w14:paraId="020FE846" w14:textId="77777777" w:rsidR="00563324" w:rsidRDefault="00563324" w:rsidP="0060768A"/>
        </w:tc>
        <w:tc>
          <w:tcPr>
            <w:tcW w:w="2196" w:type="dxa"/>
            <w:shd w:val="clear" w:color="auto" w:fill="BFBFBF" w:themeFill="background1" w:themeFillShade="BF"/>
          </w:tcPr>
          <w:p w14:paraId="374E887E" w14:textId="77777777" w:rsidR="00563324" w:rsidRDefault="00563324" w:rsidP="0060768A">
            <w:pPr>
              <w:jc w:val="center"/>
            </w:pPr>
            <w:r>
              <w:t>£0</w:t>
            </w:r>
          </w:p>
        </w:tc>
        <w:tc>
          <w:tcPr>
            <w:tcW w:w="2324" w:type="dxa"/>
            <w:shd w:val="clear" w:color="auto" w:fill="BFBFBF" w:themeFill="background1" w:themeFillShade="BF"/>
          </w:tcPr>
          <w:p w14:paraId="5AD7130E" w14:textId="77777777" w:rsidR="00563324" w:rsidRDefault="00563324" w:rsidP="0060768A">
            <w:pPr>
              <w:jc w:val="center"/>
            </w:pPr>
            <w:r>
              <w:t>45%</w:t>
            </w:r>
          </w:p>
        </w:tc>
        <w:tc>
          <w:tcPr>
            <w:tcW w:w="2425" w:type="dxa"/>
            <w:shd w:val="clear" w:color="auto" w:fill="BFBFBF" w:themeFill="background1" w:themeFillShade="BF"/>
          </w:tcPr>
          <w:p w14:paraId="0802E34B" w14:textId="77777777" w:rsidR="00563324" w:rsidRDefault="00563324" w:rsidP="0060768A">
            <w:pPr>
              <w:jc w:val="center"/>
            </w:pPr>
            <w:r>
              <w:t>£0</w:t>
            </w:r>
          </w:p>
        </w:tc>
      </w:tr>
      <w:tr w:rsidR="00563324" w:rsidRPr="00AF1059" w14:paraId="7906542D" w14:textId="77777777" w:rsidTr="0060768A">
        <w:tc>
          <w:tcPr>
            <w:tcW w:w="2405" w:type="dxa"/>
            <w:shd w:val="clear" w:color="auto" w:fill="000000" w:themeFill="text1"/>
          </w:tcPr>
          <w:p w14:paraId="4C2A554A" w14:textId="77777777" w:rsidR="00563324" w:rsidRPr="00AF1059" w:rsidRDefault="00563324" w:rsidP="0060768A">
            <w:pPr>
              <w:rPr>
                <w:b/>
                <w:bCs/>
              </w:rPr>
            </w:pPr>
            <w:r w:rsidRPr="00AF1059">
              <w:rPr>
                <w:b/>
                <w:bCs/>
              </w:rPr>
              <w:t>Total</w:t>
            </w:r>
          </w:p>
        </w:tc>
        <w:tc>
          <w:tcPr>
            <w:tcW w:w="2196" w:type="dxa"/>
            <w:shd w:val="clear" w:color="auto" w:fill="000000" w:themeFill="text1"/>
          </w:tcPr>
          <w:p w14:paraId="0F16CEBA" w14:textId="77777777" w:rsidR="00563324" w:rsidRPr="00AF1059" w:rsidRDefault="00563324" w:rsidP="0060768A">
            <w:pPr>
              <w:jc w:val="center"/>
              <w:rPr>
                <w:b/>
                <w:bCs/>
              </w:rPr>
            </w:pPr>
            <w:r w:rsidRPr="00AF1059">
              <w:rPr>
                <w:b/>
                <w:bCs/>
              </w:rPr>
              <w:t>£95,270</w:t>
            </w:r>
          </w:p>
        </w:tc>
        <w:tc>
          <w:tcPr>
            <w:tcW w:w="2324" w:type="dxa"/>
            <w:shd w:val="clear" w:color="auto" w:fill="000000" w:themeFill="text1"/>
          </w:tcPr>
          <w:p w14:paraId="79057D0C" w14:textId="77777777" w:rsidR="00563324" w:rsidRPr="00AF1059" w:rsidRDefault="00563324" w:rsidP="0060768A">
            <w:pPr>
              <w:jc w:val="center"/>
              <w:rPr>
                <w:b/>
                <w:bCs/>
              </w:rPr>
            </w:pPr>
          </w:p>
        </w:tc>
        <w:tc>
          <w:tcPr>
            <w:tcW w:w="2425" w:type="dxa"/>
            <w:shd w:val="clear" w:color="auto" w:fill="000000" w:themeFill="text1"/>
          </w:tcPr>
          <w:p w14:paraId="629B4080" w14:textId="77777777" w:rsidR="00563324" w:rsidRPr="00AF1059" w:rsidRDefault="00563324" w:rsidP="0060768A">
            <w:pPr>
              <w:jc w:val="center"/>
              <w:rPr>
                <w:b/>
                <w:bCs/>
              </w:rPr>
            </w:pPr>
            <w:r w:rsidRPr="00AF1059">
              <w:rPr>
                <w:b/>
                <w:bCs/>
              </w:rPr>
              <w:t>£25,440</w:t>
            </w:r>
          </w:p>
        </w:tc>
      </w:tr>
      <w:tr w:rsidR="00563324" w:rsidRPr="009A0175" w14:paraId="79FE950F" w14:textId="77777777" w:rsidTr="0060768A">
        <w:tc>
          <w:tcPr>
            <w:tcW w:w="2405" w:type="dxa"/>
            <w:shd w:val="clear" w:color="auto" w:fill="F2F2F2" w:themeFill="background1" w:themeFillShade="F2"/>
          </w:tcPr>
          <w:p w14:paraId="02D82ED9" w14:textId="77777777" w:rsidR="00563324" w:rsidRPr="008F0E1D" w:rsidRDefault="00563324" w:rsidP="0060768A">
            <w:r w:rsidRPr="008F0E1D">
              <w:t>Onshore Tax Credit</w:t>
            </w:r>
          </w:p>
        </w:tc>
        <w:tc>
          <w:tcPr>
            <w:tcW w:w="2196" w:type="dxa"/>
            <w:shd w:val="clear" w:color="auto" w:fill="F2F2F2" w:themeFill="background1" w:themeFillShade="F2"/>
          </w:tcPr>
          <w:p w14:paraId="3A89EEE8" w14:textId="77777777" w:rsidR="00563324" w:rsidRPr="009A0175" w:rsidRDefault="00563324" w:rsidP="0060768A">
            <w:pPr>
              <w:jc w:val="center"/>
            </w:pPr>
            <w:r w:rsidRPr="009A0175">
              <w:t>(£50,000)</w:t>
            </w:r>
          </w:p>
        </w:tc>
        <w:tc>
          <w:tcPr>
            <w:tcW w:w="2324" w:type="dxa"/>
            <w:shd w:val="clear" w:color="auto" w:fill="F2F2F2" w:themeFill="background1" w:themeFillShade="F2"/>
          </w:tcPr>
          <w:p w14:paraId="589F1D56" w14:textId="77777777" w:rsidR="00563324" w:rsidRPr="009A0175" w:rsidRDefault="00563324" w:rsidP="0060768A">
            <w:pPr>
              <w:jc w:val="center"/>
            </w:pPr>
            <w:r w:rsidRPr="009A0175">
              <w:t>20%</w:t>
            </w:r>
          </w:p>
        </w:tc>
        <w:tc>
          <w:tcPr>
            <w:tcW w:w="2425" w:type="dxa"/>
            <w:shd w:val="clear" w:color="auto" w:fill="F2F2F2" w:themeFill="background1" w:themeFillShade="F2"/>
          </w:tcPr>
          <w:p w14:paraId="6B356207" w14:textId="77777777" w:rsidR="00563324" w:rsidRPr="009A0175" w:rsidRDefault="00563324" w:rsidP="0060768A">
            <w:pPr>
              <w:jc w:val="center"/>
            </w:pPr>
            <w:r w:rsidRPr="009A0175">
              <w:t>(£10,000)</w:t>
            </w:r>
          </w:p>
        </w:tc>
      </w:tr>
      <w:tr w:rsidR="00563324" w:rsidRPr="00AF1059" w14:paraId="710A118E" w14:textId="77777777" w:rsidTr="0060768A">
        <w:tc>
          <w:tcPr>
            <w:tcW w:w="2405" w:type="dxa"/>
            <w:shd w:val="clear" w:color="auto" w:fill="F2F2F2" w:themeFill="background1" w:themeFillShade="F2"/>
          </w:tcPr>
          <w:p w14:paraId="36A95DA8" w14:textId="77777777" w:rsidR="00563324" w:rsidRPr="00644F44" w:rsidRDefault="00563324" w:rsidP="0060768A">
            <w:r w:rsidRPr="00644F44">
              <w:t>Top-Slicing Relief</w:t>
            </w:r>
          </w:p>
        </w:tc>
        <w:tc>
          <w:tcPr>
            <w:tcW w:w="2196" w:type="dxa"/>
            <w:shd w:val="clear" w:color="auto" w:fill="F2F2F2" w:themeFill="background1" w:themeFillShade="F2"/>
          </w:tcPr>
          <w:p w14:paraId="1A7ABD97" w14:textId="785B0AE7" w:rsidR="00563324" w:rsidRPr="00746D6D" w:rsidRDefault="00563324" w:rsidP="0060768A">
            <w:pPr>
              <w:jc w:val="center"/>
            </w:pPr>
          </w:p>
        </w:tc>
        <w:tc>
          <w:tcPr>
            <w:tcW w:w="2324" w:type="dxa"/>
            <w:shd w:val="clear" w:color="auto" w:fill="F2F2F2" w:themeFill="background1" w:themeFillShade="F2"/>
          </w:tcPr>
          <w:p w14:paraId="71C80F3D" w14:textId="77777777" w:rsidR="00563324" w:rsidRPr="00746D6D" w:rsidRDefault="00563324" w:rsidP="0060768A">
            <w:pPr>
              <w:jc w:val="center"/>
            </w:pPr>
          </w:p>
        </w:tc>
        <w:tc>
          <w:tcPr>
            <w:tcW w:w="2425" w:type="dxa"/>
            <w:shd w:val="clear" w:color="auto" w:fill="F2F2F2" w:themeFill="background1" w:themeFillShade="F2"/>
          </w:tcPr>
          <w:p w14:paraId="22FD78A5" w14:textId="5F66731D" w:rsidR="00563324" w:rsidRPr="00746D6D" w:rsidRDefault="00746D6D" w:rsidP="0060768A">
            <w:pPr>
              <w:jc w:val="center"/>
            </w:pPr>
            <w:r>
              <w:t>(£</w:t>
            </w:r>
            <w:r w:rsidR="00C96058">
              <w:t>4,000)</w:t>
            </w:r>
          </w:p>
        </w:tc>
      </w:tr>
      <w:tr w:rsidR="00563324" w:rsidRPr="00AF1059" w14:paraId="0A0DE3FC" w14:textId="77777777" w:rsidTr="0060768A">
        <w:tc>
          <w:tcPr>
            <w:tcW w:w="2405" w:type="dxa"/>
            <w:shd w:val="clear" w:color="auto" w:fill="000000" w:themeFill="text1"/>
          </w:tcPr>
          <w:p w14:paraId="2A505698" w14:textId="77777777" w:rsidR="00563324" w:rsidRPr="00AF1059" w:rsidRDefault="00563324" w:rsidP="0060768A">
            <w:pPr>
              <w:rPr>
                <w:b/>
                <w:bCs/>
              </w:rPr>
            </w:pPr>
            <w:r>
              <w:rPr>
                <w:b/>
                <w:bCs/>
              </w:rPr>
              <w:t>Actual Tax Due</w:t>
            </w:r>
          </w:p>
        </w:tc>
        <w:tc>
          <w:tcPr>
            <w:tcW w:w="2196" w:type="dxa"/>
            <w:shd w:val="clear" w:color="auto" w:fill="000000" w:themeFill="text1"/>
          </w:tcPr>
          <w:p w14:paraId="6716CF2C" w14:textId="77777777" w:rsidR="00563324" w:rsidRPr="00AF1059" w:rsidRDefault="00563324" w:rsidP="0060768A">
            <w:pPr>
              <w:jc w:val="center"/>
              <w:rPr>
                <w:b/>
                <w:bCs/>
              </w:rPr>
            </w:pPr>
          </w:p>
        </w:tc>
        <w:tc>
          <w:tcPr>
            <w:tcW w:w="2324" w:type="dxa"/>
            <w:shd w:val="clear" w:color="auto" w:fill="000000" w:themeFill="text1"/>
          </w:tcPr>
          <w:p w14:paraId="7116AF89" w14:textId="77777777" w:rsidR="00563324" w:rsidRPr="00AF1059" w:rsidRDefault="00563324" w:rsidP="0060768A">
            <w:pPr>
              <w:jc w:val="center"/>
              <w:rPr>
                <w:b/>
                <w:bCs/>
              </w:rPr>
            </w:pPr>
          </w:p>
        </w:tc>
        <w:tc>
          <w:tcPr>
            <w:tcW w:w="2425" w:type="dxa"/>
            <w:shd w:val="clear" w:color="auto" w:fill="000000" w:themeFill="text1"/>
          </w:tcPr>
          <w:p w14:paraId="0E5911D5" w14:textId="78AF5249" w:rsidR="00563324" w:rsidRPr="00AF1059" w:rsidRDefault="00C96058" w:rsidP="0060768A">
            <w:pPr>
              <w:jc w:val="center"/>
              <w:rPr>
                <w:b/>
                <w:bCs/>
              </w:rPr>
            </w:pPr>
            <w:r>
              <w:rPr>
                <w:b/>
                <w:bCs/>
              </w:rPr>
              <w:t>£11,440</w:t>
            </w:r>
          </w:p>
        </w:tc>
      </w:tr>
    </w:tbl>
    <w:p w14:paraId="07FE8A0C" w14:textId="77777777" w:rsidR="00AC3A8E" w:rsidRDefault="00AC3A8E" w:rsidP="00E96C2A"/>
    <w:p w14:paraId="1078E957" w14:textId="6074BF5D" w:rsidR="00AC3A8E" w:rsidRDefault="00AC3A8E" w:rsidP="00AC3A8E">
      <w:pPr>
        <w:pStyle w:val="Heading3"/>
      </w:pPr>
      <w:bookmarkStart w:id="13" w:name="_Toc187422037"/>
      <w:r>
        <w:t>The Rule of Thumb</w:t>
      </w:r>
      <w:bookmarkEnd w:id="13"/>
    </w:p>
    <w:p w14:paraId="51263D62" w14:textId="562C326F" w:rsidR="00AC3A8E" w:rsidRDefault="00AC3A8E" w:rsidP="00E96C2A"/>
    <w:p w14:paraId="7BF16916" w14:textId="78E2FCDA" w:rsidR="003C4D01" w:rsidRDefault="00AD4C6A" w:rsidP="00E96C2A">
      <w:r>
        <w:t xml:space="preserve">You may have heard that there’s a shortcut for most chargeable gains. Simply take the </w:t>
      </w:r>
      <w:r w:rsidR="008416CA">
        <w:t xml:space="preserve">gross chargeable gain and divide it by the number of years for TSR purposes to get the slice. If the slice does NOT take the </w:t>
      </w:r>
      <w:r w:rsidR="00047EF0">
        <w:t>client into higher-rate tax when added to their other income for the year, then there’s no further tax to pay. This is</w:t>
      </w:r>
      <w:r w:rsidR="003C4D01">
        <w:t xml:space="preserve"> generally correct and can be demonstrated with numbers. All we’ll do is take Lucious and </w:t>
      </w:r>
      <w:r w:rsidR="00EC7672">
        <w:t>revise his salary down by £5,000:</w:t>
      </w:r>
    </w:p>
    <w:p w14:paraId="370B41D0" w14:textId="65A2E805" w:rsidR="00EC7672" w:rsidRDefault="00EC7672" w:rsidP="00E96C2A"/>
    <w:p w14:paraId="35ABFE0E" w14:textId="77777777" w:rsidR="00FA5439" w:rsidRDefault="00FA5439" w:rsidP="00E96C2A"/>
    <w:tbl>
      <w:tblPr>
        <w:tblStyle w:val="TableGrid"/>
        <w:tblW w:w="0" w:type="auto"/>
        <w:tblLook w:val="04A0" w:firstRow="1" w:lastRow="0" w:firstColumn="1" w:lastColumn="0" w:noHBand="0" w:noVBand="1"/>
      </w:tblPr>
      <w:tblGrid>
        <w:gridCol w:w="2405"/>
        <w:gridCol w:w="2196"/>
        <w:gridCol w:w="2324"/>
        <w:gridCol w:w="2425"/>
      </w:tblGrid>
      <w:tr w:rsidR="00EC7672" w:rsidRPr="00E871BE" w14:paraId="2B056449" w14:textId="77777777" w:rsidTr="0060768A">
        <w:tc>
          <w:tcPr>
            <w:tcW w:w="2405" w:type="dxa"/>
          </w:tcPr>
          <w:p w14:paraId="370F34C7" w14:textId="77777777" w:rsidR="00EC7672" w:rsidRPr="00E871BE" w:rsidRDefault="00EC7672" w:rsidP="0060768A">
            <w:pPr>
              <w:rPr>
                <w:b/>
                <w:bCs/>
              </w:rPr>
            </w:pPr>
            <w:r w:rsidRPr="00E871BE">
              <w:rPr>
                <w:b/>
                <w:bCs/>
              </w:rPr>
              <w:lastRenderedPageBreak/>
              <w:t>Income Source</w:t>
            </w:r>
          </w:p>
        </w:tc>
        <w:tc>
          <w:tcPr>
            <w:tcW w:w="2196" w:type="dxa"/>
          </w:tcPr>
          <w:p w14:paraId="5D687588" w14:textId="77777777" w:rsidR="00EC7672" w:rsidRPr="00E871BE" w:rsidRDefault="00EC7672" w:rsidP="0060768A">
            <w:pPr>
              <w:jc w:val="center"/>
              <w:rPr>
                <w:b/>
                <w:bCs/>
              </w:rPr>
            </w:pPr>
            <w:r w:rsidRPr="00E871BE">
              <w:rPr>
                <w:b/>
                <w:bCs/>
              </w:rPr>
              <w:t>Amount</w:t>
            </w:r>
          </w:p>
        </w:tc>
        <w:tc>
          <w:tcPr>
            <w:tcW w:w="2324" w:type="dxa"/>
          </w:tcPr>
          <w:p w14:paraId="0B71C7F0" w14:textId="77777777" w:rsidR="00EC7672" w:rsidRPr="00E871BE" w:rsidRDefault="00EC7672" w:rsidP="0060768A">
            <w:pPr>
              <w:jc w:val="center"/>
              <w:rPr>
                <w:b/>
                <w:bCs/>
              </w:rPr>
            </w:pPr>
            <w:r w:rsidRPr="00E871BE">
              <w:rPr>
                <w:b/>
                <w:bCs/>
              </w:rPr>
              <w:t>Tax Rate</w:t>
            </w:r>
          </w:p>
        </w:tc>
        <w:tc>
          <w:tcPr>
            <w:tcW w:w="2425" w:type="dxa"/>
          </w:tcPr>
          <w:p w14:paraId="270FFA63" w14:textId="77777777" w:rsidR="00EC7672" w:rsidRPr="00E871BE" w:rsidRDefault="00EC7672" w:rsidP="0060768A">
            <w:pPr>
              <w:jc w:val="center"/>
              <w:rPr>
                <w:b/>
                <w:bCs/>
              </w:rPr>
            </w:pPr>
            <w:r w:rsidRPr="00E871BE">
              <w:rPr>
                <w:b/>
                <w:bCs/>
              </w:rPr>
              <w:t>Amount of Tax</w:t>
            </w:r>
          </w:p>
        </w:tc>
      </w:tr>
      <w:tr w:rsidR="00EC7672" w14:paraId="57696F94" w14:textId="77777777" w:rsidTr="0060768A">
        <w:tc>
          <w:tcPr>
            <w:tcW w:w="2405" w:type="dxa"/>
            <w:shd w:val="clear" w:color="auto" w:fill="BFBFBF" w:themeFill="background1" w:themeFillShade="BF"/>
          </w:tcPr>
          <w:p w14:paraId="08E50077" w14:textId="77777777" w:rsidR="00EC7672" w:rsidRDefault="00EC7672" w:rsidP="0060768A">
            <w:r>
              <w:t>Salary</w:t>
            </w:r>
          </w:p>
        </w:tc>
        <w:tc>
          <w:tcPr>
            <w:tcW w:w="2196" w:type="dxa"/>
            <w:shd w:val="clear" w:color="auto" w:fill="BFBFBF" w:themeFill="background1" w:themeFillShade="BF"/>
          </w:tcPr>
          <w:p w14:paraId="544F94B2" w14:textId="77777777" w:rsidR="00EC7672" w:rsidRDefault="00EC7672" w:rsidP="0060768A">
            <w:pPr>
              <w:jc w:val="center"/>
            </w:pPr>
            <w:r>
              <w:t>£12,570</w:t>
            </w:r>
          </w:p>
        </w:tc>
        <w:tc>
          <w:tcPr>
            <w:tcW w:w="2324" w:type="dxa"/>
            <w:shd w:val="clear" w:color="auto" w:fill="BFBFBF" w:themeFill="background1" w:themeFillShade="BF"/>
          </w:tcPr>
          <w:p w14:paraId="0C0844BD" w14:textId="77777777" w:rsidR="00EC7672" w:rsidRDefault="00EC7672" w:rsidP="0060768A">
            <w:pPr>
              <w:jc w:val="center"/>
            </w:pPr>
            <w:r>
              <w:t>0% Personal Allowance</w:t>
            </w:r>
          </w:p>
        </w:tc>
        <w:tc>
          <w:tcPr>
            <w:tcW w:w="2425" w:type="dxa"/>
            <w:shd w:val="clear" w:color="auto" w:fill="BFBFBF" w:themeFill="background1" w:themeFillShade="BF"/>
          </w:tcPr>
          <w:p w14:paraId="3441B27F" w14:textId="77777777" w:rsidR="00EC7672" w:rsidRDefault="00EC7672" w:rsidP="0060768A">
            <w:pPr>
              <w:jc w:val="center"/>
            </w:pPr>
            <w:r>
              <w:t>£0</w:t>
            </w:r>
          </w:p>
        </w:tc>
      </w:tr>
      <w:tr w:rsidR="00EC7672" w14:paraId="3ED78E35" w14:textId="77777777" w:rsidTr="0060768A">
        <w:tc>
          <w:tcPr>
            <w:tcW w:w="2405" w:type="dxa"/>
            <w:shd w:val="clear" w:color="auto" w:fill="BFBFBF" w:themeFill="background1" w:themeFillShade="BF"/>
          </w:tcPr>
          <w:p w14:paraId="02EA5883" w14:textId="77777777" w:rsidR="00EC7672" w:rsidRDefault="00EC7672" w:rsidP="0060768A"/>
        </w:tc>
        <w:tc>
          <w:tcPr>
            <w:tcW w:w="2196" w:type="dxa"/>
            <w:shd w:val="clear" w:color="auto" w:fill="BFBFBF" w:themeFill="background1" w:themeFillShade="BF"/>
          </w:tcPr>
          <w:p w14:paraId="73524199" w14:textId="060FC3C5" w:rsidR="00EC7672" w:rsidRDefault="00EC7672" w:rsidP="0060768A">
            <w:pPr>
              <w:jc w:val="center"/>
            </w:pPr>
            <w:r>
              <w:t>£</w:t>
            </w:r>
            <w:r w:rsidR="00B97AFF">
              <w:t>27</w:t>
            </w:r>
            <w:r w:rsidRPr="004B099E">
              <w:t>,200</w:t>
            </w:r>
          </w:p>
        </w:tc>
        <w:tc>
          <w:tcPr>
            <w:tcW w:w="2324" w:type="dxa"/>
            <w:shd w:val="clear" w:color="auto" w:fill="BFBFBF" w:themeFill="background1" w:themeFillShade="BF"/>
          </w:tcPr>
          <w:p w14:paraId="35AB8AA3" w14:textId="77777777" w:rsidR="00EC7672" w:rsidRDefault="00EC7672" w:rsidP="0060768A">
            <w:pPr>
              <w:jc w:val="center"/>
            </w:pPr>
            <w:r>
              <w:t>20%</w:t>
            </w:r>
          </w:p>
        </w:tc>
        <w:tc>
          <w:tcPr>
            <w:tcW w:w="2425" w:type="dxa"/>
            <w:shd w:val="clear" w:color="auto" w:fill="BFBFBF" w:themeFill="background1" w:themeFillShade="BF"/>
          </w:tcPr>
          <w:p w14:paraId="10F269F5" w14:textId="21A2371E" w:rsidR="00EC7672" w:rsidRDefault="00EC7672" w:rsidP="0060768A">
            <w:pPr>
              <w:jc w:val="center"/>
            </w:pPr>
            <w:r>
              <w:t>£</w:t>
            </w:r>
            <w:r w:rsidR="00B97AFF">
              <w:t>5</w:t>
            </w:r>
            <w:r w:rsidRPr="00E871BE">
              <w:t>,440</w:t>
            </w:r>
          </w:p>
        </w:tc>
      </w:tr>
      <w:tr w:rsidR="00EC7672" w14:paraId="4A1C8C56" w14:textId="77777777" w:rsidTr="0060768A">
        <w:tc>
          <w:tcPr>
            <w:tcW w:w="2405" w:type="dxa"/>
            <w:shd w:val="clear" w:color="auto" w:fill="BFBFBF" w:themeFill="background1" w:themeFillShade="BF"/>
          </w:tcPr>
          <w:p w14:paraId="6E77558D" w14:textId="77777777" w:rsidR="00EC7672" w:rsidRDefault="00EC7672" w:rsidP="0060768A"/>
        </w:tc>
        <w:tc>
          <w:tcPr>
            <w:tcW w:w="2196" w:type="dxa"/>
            <w:shd w:val="clear" w:color="auto" w:fill="BFBFBF" w:themeFill="background1" w:themeFillShade="BF"/>
          </w:tcPr>
          <w:p w14:paraId="7319FB4E" w14:textId="77777777" w:rsidR="00EC7672" w:rsidRDefault="00EC7672" w:rsidP="0060768A">
            <w:pPr>
              <w:jc w:val="center"/>
            </w:pPr>
            <w:r>
              <w:t>£0</w:t>
            </w:r>
          </w:p>
        </w:tc>
        <w:tc>
          <w:tcPr>
            <w:tcW w:w="2324" w:type="dxa"/>
            <w:shd w:val="clear" w:color="auto" w:fill="BFBFBF" w:themeFill="background1" w:themeFillShade="BF"/>
          </w:tcPr>
          <w:p w14:paraId="46CACD8E" w14:textId="77777777" w:rsidR="00EC7672" w:rsidRDefault="00EC7672" w:rsidP="0060768A">
            <w:pPr>
              <w:jc w:val="center"/>
            </w:pPr>
            <w:r>
              <w:t>40%</w:t>
            </w:r>
          </w:p>
        </w:tc>
        <w:tc>
          <w:tcPr>
            <w:tcW w:w="2425" w:type="dxa"/>
            <w:shd w:val="clear" w:color="auto" w:fill="BFBFBF" w:themeFill="background1" w:themeFillShade="BF"/>
          </w:tcPr>
          <w:p w14:paraId="6D3CA1EA" w14:textId="77777777" w:rsidR="00EC7672" w:rsidRDefault="00EC7672" w:rsidP="0060768A">
            <w:pPr>
              <w:jc w:val="center"/>
            </w:pPr>
            <w:r>
              <w:t>£0</w:t>
            </w:r>
          </w:p>
        </w:tc>
      </w:tr>
      <w:tr w:rsidR="00EC7672" w14:paraId="4C374AF2" w14:textId="77777777" w:rsidTr="0060768A">
        <w:tc>
          <w:tcPr>
            <w:tcW w:w="2405" w:type="dxa"/>
            <w:shd w:val="clear" w:color="auto" w:fill="BFBFBF" w:themeFill="background1" w:themeFillShade="BF"/>
          </w:tcPr>
          <w:p w14:paraId="4440A2AC" w14:textId="77777777" w:rsidR="00EC7672" w:rsidRDefault="00EC7672" w:rsidP="0060768A"/>
        </w:tc>
        <w:tc>
          <w:tcPr>
            <w:tcW w:w="2196" w:type="dxa"/>
            <w:shd w:val="clear" w:color="auto" w:fill="BFBFBF" w:themeFill="background1" w:themeFillShade="BF"/>
          </w:tcPr>
          <w:p w14:paraId="7EAD7BBE" w14:textId="77777777" w:rsidR="00EC7672" w:rsidRDefault="00EC7672" w:rsidP="0060768A">
            <w:pPr>
              <w:jc w:val="center"/>
            </w:pPr>
            <w:r>
              <w:t>£0</w:t>
            </w:r>
          </w:p>
        </w:tc>
        <w:tc>
          <w:tcPr>
            <w:tcW w:w="2324" w:type="dxa"/>
            <w:shd w:val="clear" w:color="auto" w:fill="BFBFBF" w:themeFill="background1" w:themeFillShade="BF"/>
          </w:tcPr>
          <w:p w14:paraId="6071315E" w14:textId="77777777" w:rsidR="00EC7672" w:rsidRDefault="00EC7672" w:rsidP="0060768A">
            <w:pPr>
              <w:jc w:val="center"/>
            </w:pPr>
            <w:r>
              <w:t>45%</w:t>
            </w:r>
          </w:p>
        </w:tc>
        <w:tc>
          <w:tcPr>
            <w:tcW w:w="2425" w:type="dxa"/>
            <w:shd w:val="clear" w:color="auto" w:fill="BFBFBF" w:themeFill="background1" w:themeFillShade="BF"/>
          </w:tcPr>
          <w:p w14:paraId="717FBB09" w14:textId="77777777" w:rsidR="00EC7672" w:rsidRDefault="00EC7672" w:rsidP="0060768A">
            <w:pPr>
              <w:jc w:val="center"/>
            </w:pPr>
            <w:r>
              <w:t>£0</w:t>
            </w:r>
          </w:p>
        </w:tc>
      </w:tr>
      <w:tr w:rsidR="00EC7672" w14:paraId="5857701B" w14:textId="77777777" w:rsidTr="0060768A">
        <w:tc>
          <w:tcPr>
            <w:tcW w:w="2405" w:type="dxa"/>
            <w:shd w:val="clear" w:color="auto" w:fill="F2F2F2" w:themeFill="background1" w:themeFillShade="F2"/>
          </w:tcPr>
          <w:p w14:paraId="0042F75E" w14:textId="77777777" w:rsidR="00EC7672" w:rsidRDefault="00EC7672" w:rsidP="0060768A">
            <w:r>
              <w:t>Savings Income</w:t>
            </w:r>
          </w:p>
        </w:tc>
        <w:tc>
          <w:tcPr>
            <w:tcW w:w="2196" w:type="dxa"/>
            <w:shd w:val="clear" w:color="auto" w:fill="F2F2F2" w:themeFill="background1" w:themeFillShade="F2"/>
          </w:tcPr>
          <w:p w14:paraId="24186F46" w14:textId="77777777" w:rsidR="00EC7672" w:rsidRDefault="00EC7672" w:rsidP="0060768A">
            <w:pPr>
              <w:jc w:val="center"/>
            </w:pPr>
            <w:r>
              <w:t>£500</w:t>
            </w:r>
          </w:p>
        </w:tc>
        <w:tc>
          <w:tcPr>
            <w:tcW w:w="2324" w:type="dxa"/>
            <w:shd w:val="clear" w:color="auto" w:fill="F2F2F2" w:themeFill="background1" w:themeFillShade="F2"/>
          </w:tcPr>
          <w:p w14:paraId="587184A8" w14:textId="77777777" w:rsidR="00EC7672" w:rsidRDefault="00EC7672" w:rsidP="0060768A">
            <w:pPr>
              <w:jc w:val="center"/>
            </w:pPr>
            <w:r>
              <w:t>0% PSA</w:t>
            </w:r>
          </w:p>
        </w:tc>
        <w:tc>
          <w:tcPr>
            <w:tcW w:w="2425" w:type="dxa"/>
            <w:shd w:val="clear" w:color="auto" w:fill="F2F2F2" w:themeFill="background1" w:themeFillShade="F2"/>
          </w:tcPr>
          <w:p w14:paraId="15FAFA0D" w14:textId="77777777" w:rsidR="00EC7672" w:rsidRDefault="00EC7672" w:rsidP="0060768A">
            <w:pPr>
              <w:jc w:val="center"/>
            </w:pPr>
            <w:r>
              <w:t>£0</w:t>
            </w:r>
          </w:p>
        </w:tc>
      </w:tr>
      <w:tr w:rsidR="00EC7672" w14:paraId="7D217665" w14:textId="77777777" w:rsidTr="0060768A">
        <w:tc>
          <w:tcPr>
            <w:tcW w:w="2405" w:type="dxa"/>
            <w:shd w:val="clear" w:color="auto" w:fill="F2F2F2" w:themeFill="background1" w:themeFillShade="F2"/>
          </w:tcPr>
          <w:p w14:paraId="2D749C2B" w14:textId="77777777" w:rsidR="00EC7672" w:rsidRDefault="00EC7672" w:rsidP="0060768A"/>
        </w:tc>
        <w:tc>
          <w:tcPr>
            <w:tcW w:w="2196" w:type="dxa"/>
            <w:shd w:val="clear" w:color="auto" w:fill="F2F2F2" w:themeFill="background1" w:themeFillShade="F2"/>
          </w:tcPr>
          <w:p w14:paraId="6D97E7B9" w14:textId="77777777" w:rsidR="00EC7672" w:rsidRDefault="00EC7672" w:rsidP="0060768A">
            <w:pPr>
              <w:jc w:val="center"/>
            </w:pPr>
            <w:r>
              <w:t>£0</w:t>
            </w:r>
          </w:p>
        </w:tc>
        <w:tc>
          <w:tcPr>
            <w:tcW w:w="2324" w:type="dxa"/>
            <w:shd w:val="clear" w:color="auto" w:fill="F2F2F2" w:themeFill="background1" w:themeFillShade="F2"/>
          </w:tcPr>
          <w:p w14:paraId="77A196B2" w14:textId="77777777" w:rsidR="00EC7672" w:rsidRDefault="00EC7672" w:rsidP="0060768A">
            <w:pPr>
              <w:jc w:val="center"/>
            </w:pPr>
            <w:r>
              <w:t>20%</w:t>
            </w:r>
          </w:p>
        </w:tc>
        <w:tc>
          <w:tcPr>
            <w:tcW w:w="2425" w:type="dxa"/>
            <w:shd w:val="clear" w:color="auto" w:fill="F2F2F2" w:themeFill="background1" w:themeFillShade="F2"/>
          </w:tcPr>
          <w:p w14:paraId="0D1F197D" w14:textId="77777777" w:rsidR="00EC7672" w:rsidRDefault="00EC7672" w:rsidP="0060768A">
            <w:pPr>
              <w:jc w:val="center"/>
            </w:pPr>
            <w:r>
              <w:t>£0</w:t>
            </w:r>
          </w:p>
        </w:tc>
      </w:tr>
      <w:tr w:rsidR="00EC7672" w14:paraId="3839577B" w14:textId="77777777" w:rsidTr="0060768A">
        <w:tc>
          <w:tcPr>
            <w:tcW w:w="2405" w:type="dxa"/>
            <w:shd w:val="clear" w:color="auto" w:fill="F2F2F2" w:themeFill="background1" w:themeFillShade="F2"/>
          </w:tcPr>
          <w:p w14:paraId="07C8046B" w14:textId="77777777" w:rsidR="00EC7672" w:rsidRDefault="00EC7672" w:rsidP="0060768A"/>
        </w:tc>
        <w:tc>
          <w:tcPr>
            <w:tcW w:w="2196" w:type="dxa"/>
            <w:shd w:val="clear" w:color="auto" w:fill="F2F2F2" w:themeFill="background1" w:themeFillShade="F2"/>
          </w:tcPr>
          <w:p w14:paraId="1F5E3CF0" w14:textId="77777777" w:rsidR="00EC7672" w:rsidRDefault="00EC7672" w:rsidP="0060768A">
            <w:pPr>
              <w:jc w:val="center"/>
            </w:pPr>
            <w:r>
              <w:t>£0</w:t>
            </w:r>
          </w:p>
        </w:tc>
        <w:tc>
          <w:tcPr>
            <w:tcW w:w="2324" w:type="dxa"/>
            <w:shd w:val="clear" w:color="auto" w:fill="F2F2F2" w:themeFill="background1" w:themeFillShade="F2"/>
          </w:tcPr>
          <w:p w14:paraId="7D548246" w14:textId="77777777" w:rsidR="00EC7672" w:rsidRDefault="00EC7672" w:rsidP="0060768A">
            <w:pPr>
              <w:jc w:val="center"/>
            </w:pPr>
            <w:r>
              <w:t>40%</w:t>
            </w:r>
          </w:p>
        </w:tc>
        <w:tc>
          <w:tcPr>
            <w:tcW w:w="2425" w:type="dxa"/>
            <w:shd w:val="clear" w:color="auto" w:fill="F2F2F2" w:themeFill="background1" w:themeFillShade="F2"/>
          </w:tcPr>
          <w:p w14:paraId="2E16B563" w14:textId="77777777" w:rsidR="00EC7672" w:rsidRDefault="00EC7672" w:rsidP="0060768A">
            <w:pPr>
              <w:jc w:val="center"/>
            </w:pPr>
            <w:r>
              <w:t>£0</w:t>
            </w:r>
          </w:p>
        </w:tc>
      </w:tr>
      <w:tr w:rsidR="00EC7672" w14:paraId="7C661514" w14:textId="77777777" w:rsidTr="0060768A">
        <w:tc>
          <w:tcPr>
            <w:tcW w:w="2405" w:type="dxa"/>
            <w:shd w:val="clear" w:color="auto" w:fill="F2F2F2" w:themeFill="background1" w:themeFillShade="F2"/>
          </w:tcPr>
          <w:p w14:paraId="0ADDCC39" w14:textId="77777777" w:rsidR="00EC7672" w:rsidRDefault="00EC7672" w:rsidP="0060768A"/>
        </w:tc>
        <w:tc>
          <w:tcPr>
            <w:tcW w:w="2196" w:type="dxa"/>
            <w:shd w:val="clear" w:color="auto" w:fill="F2F2F2" w:themeFill="background1" w:themeFillShade="F2"/>
          </w:tcPr>
          <w:p w14:paraId="79F06592" w14:textId="77777777" w:rsidR="00EC7672" w:rsidRDefault="00EC7672" w:rsidP="0060768A">
            <w:pPr>
              <w:jc w:val="center"/>
            </w:pPr>
            <w:r>
              <w:t>£0</w:t>
            </w:r>
          </w:p>
        </w:tc>
        <w:tc>
          <w:tcPr>
            <w:tcW w:w="2324" w:type="dxa"/>
            <w:shd w:val="clear" w:color="auto" w:fill="F2F2F2" w:themeFill="background1" w:themeFillShade="F2"/>
          </w:tcPr>
          <w:p w14:paraId="16757B17" w14:textId="77777777" w:rsidR="00EC7672" w:rsidRDefault="00EC7672" w:rsidP="0060768A">
            <w:pPr>
              <w:jc w:val="center"/>
            </w:pPr>
            <w:r>
              <w:t>45%</w:t>
            </w:r>
          </w:p>
        </w:tc>
        <w:tc>
          <w:tcPr>
            <w:tcW w:w="2425" w:type="dxa"/>
            <w:shd w:val="clear" w:color="auto" w:fill="F2F2F2" w:themeFill="background1" w:themeFillShade="F2"/>
          </w:tcPr>
          <w:p w14:paraId="33FFEE4F" w14:textId="77777777" w:rsidR="00EC7672" w:rsidRDefault="00EC7672" w:rsidP="0060768A">
            <w:pPr>
              <w:jc w:val="center"/>
            </w:pPr>
            <w:r>
              <w:t>£0</w:t>
            </w:r>
          </w:p>
        </w:tc>
      </w:tr>
      <w:tr w:rsidR="00EC7672" w14:paraId="5486DB1E" w14:textId="77777777" w:rsidTr="0060768A">
        <w:tc>
          <w:tcPr>
            <w:tcW w:w="2405" w:type="dxa"/>
            <w:shd w:val="clear" w:color="auto" w:fill="BFBFBF" w:themeFill="background1" w:themeFillShade="BF"/>
          </w:tcPr>
          <w:p w14:paraId="73438BEF" w14:textId="77777777" w:rsidR="00EC7672" w:rsidRDefault="00EC7672" w:rsidP="0060768A">
            <w:r>
              <w:t>UK Chargeable Gain</w:t>
            </w:r>
          </w:p>
        </w:tc>
        <w:tc>
          <w:tcPr>
            <w:tcW w:w="2196" w:type="dxa"/>
            <w:shd w:val="clear" w:color="auto" w:fill="BFBFBF" w:themeFill="background1" w:themeFillShade="BF"/>
          </w:tcPr>
          <w:p w14:paraId="015C50C8" w14:textId="77777777" w:rsidR="00EC7672" w:rsidRDefault="00EC7672" w:rsidP="0060768A">
            <w:pPr>
              <w:jc w:val="center"/>
            </w:pPr>
            <w:r>
              <w:t>£0</w:t>
            </w:r>
          </w:p>
        </w:tc>
        <w:tc>
          <w:tcPr>
            <w:tcW w:w="2324" w:type="dxa"/>
            <w:shd w:val="clear" w:color="auto" w:fill="BFBFBF" w:themeFill="background1" w:themeFillShade="BF"/>
          </w:tcPr>
          <w:p w14:paraId="4D93ACFF" w14:textId="77777777" w:rsidR="00EC7672" w:rsidRDefault="00EC7672" w:rsidP="0060768A">
            <w:pPr>
              <w:jc w:val="center"/>
            </w:pPr>
            <w:r>
              <w:t>0%</w:t>
            </w:r>
          </w:p>
        </w:tc>
        <w:tc>
          <w:tcPr>
            <w:tcW w:w="2425" w:type="dxa"/>
            <w:shd w:val="clear" w:color="auto" w:fill="BFBFBF" w:themeFill="background1" w:themeFillShade="BF"/>
          </w:tcPr>
          <w:p w14:paraId="35609026" w14:textId="77777777" w:rsidR="00EC7672" w:rsidRDefault="00EC7672" w:rsidP="0060768A">
            <w:pPr>
              <w:jc w:val="center"/>
            </w:pPr>
            <w:r>
              <w:t>£0</w:t>
            </w:r>
          </w:p>
        </w:tc>
      </w:tr>
      <w:tr w:rsidR="00EC7672" w14:paraId="5BDCA469" w14:textId="77777777" w:rsidTr="0060768A">
        <w:tc>
          <w:tcPr>
            <w:tcW w:w="2405" w:type="dxa"/>
            <w:shd w:val="clear" w:color="auto" w:fill="BFBFBF" w:themeFill="background1" w:themeFillShade="BF"/>
          </w:tcPr>
          <w:p w14:paraId="5490FB85" w14:textId="77777777" w:rsidR="00EC7672" w:rsidRDefault="00EC7672" w:rsidP="0060768A"/>
        </w:tc>
        <w:tc>
          <w:tcPr>
            <w:tcW w:w="2196" w:type="dxa"/>
            <w:shd w:val="clear" w:color="auto" w:fill="BFBFBF" w:themeFill="background1" w:themeFillShade="BF"/>
          </w:tcPr>
          <w:p w14:paraId="590DED30" w14:textId="03D783EA" w:rsidR="00EC7672" w:rsidRDefault="00EC7672" w:rsidP="0060768A">
            <w:pPr>
              <w:jc w:val="center"/>
            </w:pPr>
            <w:r>
              <w:t>£</w:t>
            </w:r>
            <w:r w:rsidR="00B97AFF">
              <w:t>10</w:t>
            </w:r>
            <w:r>
              <w:t>,000</w:t>
            </w:r>
          </w:p>
        </w:tc>
        <w:tc>
          <w:tcPr>
            <w:tcW w:w="2324" w:type="dxa"/>
            <w:shd w:val="clear" w:color="auto" w:fill="BFBFBF" w:themeFill="background1" w:themeFillShade="BF"/>
          </w:tcPr>
          <w:p w14:paraId="06513C68" w14:textId="77777777" w:rsidR="00EC7672" w:rsidRDefault="00EC7672" w:rsidP="0060768A">
            <w:pPr>
              <w:jc w:val="center"/>
            </w:pPr>
            <w:r>
              <w:t>20%</w:t>
            </w:r>
          </w:p>
        </w:tc>
        <w:tc>
          <w:tcPr>
            <w:tcW w:w="2425" w:type="dxa"/>
            <w:shd w:val="clear" w:color="auto" w:fill="BFBFBF" w:themeFill="background1" w:themeFillShade="BF"/>
          </w:tcPr>
          <w:p w14:paraId="75871FD2" w14:textId="6E7CE968" w:rsidR="00EC7672" w:rsidRDefault="00EC7672" w:rsidP="0060768A">
            <w:pPr>
              <w:jc w:val="center"/>
            </w:pPr>
            <w:r>
              <w:t>£</w:t>
            </w:r>
            <w:r w:rsidR="00B97AFF">
              <w:t>2</w:t>
            </w:r>
            <w:r>
              <w:t>,000</w:t>
            </w:r>
          </w:p>
        </w:tc>
      </w:tr>
      <w:tr w:rsidR="00EC7672" w14:paraId="5BA268D6" w14:textId="77777777" w:rsidTr="0060768A">
        <w:tc>
          <w:tcPr>
            <w:tcW w:w="2405" w:type="dxa"/>
            <w:shd w:val="clear" w:color="auto" w:fill="BFBFBF" w:themeFill="background1" w:themeFillShade="BF"/>
          </w:tcPr>
          <w:p w14:paraId="3A9C4A5A" w14:textId="77777777" w:rsidR="00EC7672" w:rsidRDefault="00EC7672" w:rsidP="0060768A"/>
        </w:tc>
        <w:tc>
          <w:tcPr>
            <w:tcW w:w="2196" w:type="dxa"/>
            <w:shd w:val="clear" w:color="auto" w:fill="BFBFBF" w:themeFill="background1" w:themeFillShade="BF"/>
          </w:tcPr>
          <w:p w14:paraId="18DD425A" w14:textId="6EDA9D16" w:rsidR="00EC7672" w:rsidRDefault="00EC7672" w:rsidP="0060768A">
            <w:pPr>
              <w:jc w:val="center"/>
            </w:pPr>
            <w:r>
              <w:t>£4</w:t>
            </w:r>
            <w:r w:rsidR="00B97AFF">
              <w:t>0</w:t>
            </w:r>
            <w:r>
              <w:t>,000</w:t>
            </w:r>
          </w:p>
        </w:tc>
        <w:tc>
          <w:tcPr>
            <w:tcW w:w="2324" w:type="dxa"/>
            <w:shd w:val="clear" w:color="auto" w:fill="BFBFBF" w:themeFill="background1" w:themeFillShade="BF"/>
          </w:tcPr>
          <w:p w14:paraId="7B47407F" w14:textId="77777777" w:rsidR="00EC7672" w:rsidRDefault="00EC7672" w:rsidP="0060768A">
            <w:pPr>
              <w:jc w:val="center"/>
            </w:pPr>
            <w:r>
              <w:t>40%</w:t>
            </w:r>
          </w:p>
        </w:tc>
        <w:tc>
          <w:tcPr>
            <w:tcW w:w="2425" w:type="dxa"/>
            <w:shd w:val="clear" w:color="auto" w:fill="BFBFBF" w:themeFill="background1" w:themeFillShade="BF"/>
          </w:tcPr>
          <w:p w14:paraId="7782451D" w14:textId="7DB26471" w:rsidR="00EC7672" w:rsidRDefault="00EC7672" w:rsidP="0060768A">
            <w:pPr>
              <w:jc w:val="center"/>
            </w:pPr>
            <w:r>
              <w:t>£1</w:t>
            </w:r>
            <w:r w:rsidR="009850E8">
              <w:t>6</w:t>
            </w:r>
            <w:r>
              <w:t>,000</w:t>
            </w:r>
          </w:p>
        </w:tc>
      </w:tr>
      <w:tr w:rsidR="00EC7672" w14:paraId="77639594" w14:textId="77777777" w:rsidTr="0060768A">
        <w:tc>
          <w:tcPr>
            <w:tcW w:w="2405" w:type="dxa"/>
            <w:shd w:val="clear" w:color="auto" w:fill="BFBFBF" w:themeFill="background1" w:themeFillShade="BF"/>
          </w:tcPr>
          <w:p w14:paraId="009CCAF7" w14:textId="77777777" w:rsidR="00EC7672" w:rsidRDefault="00EC7672" w:rsidP="0060768A"/>
        </w:tc>
        <w:tc>
          <w:tcPr>
            <w:tcW w:w="2196" w:type="dxa"/>
            <w:shd w:val="clear" w:color="auto" w:fill="BFBFBF" w:themeFill="background1" w:themeFillShade="BF"/>
          </w:tcPr>
          <w:p w14:paraId="1A230474" w14:textId="77777777" w:rsidR="00EC7672" w:rsidRDefault="00EC7672" w:rsidP="0060768A">
            <w:pPr>
              <w:jc w:val="center"/>
            </w:pPr>
            <w:r>
              <w:t>£0</w:t>
            </w:r>
          </w:p>
        </w:tc>
        <w:tc>
          <w:tcPr>
            <w:tcW w:w="2324" w:type="dxa"/>
            <w:shd w:val="clear" w:color="auto" w:fill="BFBFBF" w:themeFill="background1" w:themeFillShade="BF"/>
          </w:tcPr>
          <w:p w14:paraId="4C6E9BC0" w14:textId="77777777" w:rsidR="00EC7672" w:rsidRDefault="00EC7672" w:rsidP="0060768A">
            <w:pPr>
              <w:jc w:val="center"/>
            </w:pPr>
            <w:r>
              <w:t>45%</w:t>
            </w:r>
          </w:p>
        </w:tc>
        <w:tc>
          <w:tcPr>
            <w:tcW w:w="2425" w:type="dxa"/>
            <w:shd w:val="clear" w:color="auto" w:fill="BFBFBF" w:themeFill="background1" w:themeFillShade="BF"/>
          </w:tcPr>
          <w:p w14:paraId="4A59F046" w14:textId="77777777" w:rsidR="00EC7672" w:rsidRDefault="00EC7672" w:rsidP="0060768A">
            <w:pPr>
              <w:jc w:val="center"/>
            </w:pPr>
            <w:r>
              <w:t>£0</w:t>
            </w:r>
          </w:p>
        </w:tc>
      </w:tr>
      <w:tr w:rsidR="00EC7672" w:rsidRPr="00AF1059" w14:paraId="79551737" w14:textId="77777777" w:rsidTr="0060768A">
        <w:tc>
          <w:tcPr>
            <w:tcW w:w="2405" w:type="dxa"/>
            <w:shd w:val="clear" w:color="auto" w:fill="000000" w:themeFill="text1"/>
          </w:tcPr>
          <w:p w14:paraId="426E3B0A" w14:textId="77777777" w:rsidR="00EC7672" w:rsidRPr="00AF1059" w:rsidRDefault="00EC7672" w:rsidP="0060768A">
            <w:pPr>
              <w:rPr>
                <w:b/>
                <w:bCs/>
              </w:rPr>
            </w:pPr>
            <w:r w:rsidRPr="00AF1059">
              <w:rPr>
                <w:b/>
                <w:bCs/>
              </w:rPr>
              <w:t>Total</w:t>
            </w:r>
          </w:p>
        </w:tc>
        <w:tc>
          <w:tcPr>
            <w:tcW w:w="2196" w:type="dxa"/>
            <w:shd w:val="clear" w:color="auto" w:fill="000000" w:themeFill="text1"/>
          </w:tcPr>
          <w:p w14:paraId="19DBB43E" w14:textId="77777777" w:rsidR="00EC7672" w:rsidRPr="00AF1059" w:rsidRDefault="00EC7672" w:rsidP="0060768A">
            <w:pPr>
              <w:jc w:val="center"/>
              <w:rPr>
                <w:b/>
                <w:bCs/>
              </w:rPr>
            </w:pPr>
            <w:r w:rsidRPr="00AF1059">
              <w:rPr>
                <w:b/>
                <w:bCs/>
              </w:rPr>
              <w:t>£95,270</w:t>
            </w:r>
          </w:p>
        </w:tc>
        <w:tc>
          <w:tcPr>
            <w:tcW w:w="2324" w:type="dxa"/>
            <w:shd w:val="clear" w:color="auto" w:fill="000000" w:themeFill="text1"/>
          </w:tcPr>
          <w:p w14:paraId="1C9E7E8D" w14:textId="77777777" w:rsidR="00EC7672" w:rsidRPr="00AF1059" w:rsidRDefault="00EC7672" w:rsidP="0060768A">
            <w:pPr>
              <w:jc w:val="center"/>
              <w:rPr>
                <w:b/>
                <w:bCs/>
              </w:rPr>
            </w:pPr>
          </w:p>
        </w:tc>
        <w:tc>
          <w:tcPr>
            <w:tcW w:w="2425" w:type="dxa"/>
            <w:shd w:val="clear" w:color="auto" w:fill="000000" w:themeFill="text1"/>
          </w:tcPr>
          <w:p w14:paraId="07699A67" w14:textId="1440270D" w:rsidR="00EC7672" w:rsidRPr="00AF1059" w:rsidRDefault="00EC7672" w:rsidP="0060768A">
            <w:pPr>
              <w:jc w:val="center"/>
              <w:rPr>
                <w:b/>
                <w:bCs/>
              </w:rPr>
            </w:pPr>
            <w:r w:rsidRPr="00AF1059">
              <w:rPr>
                <w:b/>
                <w:bCs/>
              </w:rPr>
              <w:t>£</w:t>
            </w:r>
            <w:r w:rsidR="009850E8" w:rsidRPr="009850E8">
              <w:rPr>
                <w:b/>
                <w:bCs/>
              </w:rPr>
              <w:t>23,440</w:t>
            </w:r>
          </w:p>
        </w:tc>
      </w:tr>
      <w:tr w:rsidR="00EC7672" w:rsidRPr="009A0175" w14:paraId="4CCCE34F" w14:textId="77777777" w:rsidTr="0060768A">
        <w:tc>
          <w:tcPr>
            <w:tcW w:w="2405" w:type="dxa"/>
            <w:shd w:val="clear" w:color="auto" w:fill="F2F2F2" w:themeFill="background1" w:themeFillShade="F2"/>
          </w:tcPr>
          <w:p w14:paraId="506882DA" w14:textId="77777777" w:rsidR="00EC7672" w:rsidRPr="008F0E1D" w:rsidRDefault="00EC7672" w:rsidP="0060768A">
            <w:r w:rsidRPr="008F0E1D">
              <w:t>Onshore Tax Credit</w:t>
            </w:r>
          </w:p>
        </w:tc>
        <w:tc>
          <w:tcPr>
            <w:tcW w:w="2196" w:type="dxa"/>
            <w:shd w:val="clear" w:color="auto" w:fill="F2F2F2" w:themeFill="background1" w:themeFillShade="F2"/>
          </w:tcPr>
          <w:p w14:paraId="5470D85C" w14:textId="77777777" w:rsidR="00EC7672" w:rsidRPr="009A0175" w:rsidRDefault="00EC7672" w:rsidP="0060768A">
            <w:pPr>
              <w:jc w:val="center"/>
            </w:pPr>
            <w:r w:rsidRPr="009A0175">
              <w:t>(£50,000)</w:t>
            </w:r>
          </w:p>
        </w:tc>
        <w:tc>
          <w:tcPr>
            <w:tcW w:w="2324" w:type="dxa"/>
            <w:shd w:val="clear" w:color="auto" w:fill="F2F2F2" w:themeFill="background1" w:themeFillShade="F2"/>
          </w:tcPr>
          <w:p w14:paraId="0829223C" w14:textId="77777777" w:rsidR="00EC7672" w:rsidRPr="009A0175" w:rsidRDefault="00EC7672" w:rsidP="0060768A">
            <w:pPr>
              <w:jc w:val="center"/>
            </w:pPr>
            <w:r w:rsidRPr="009A0175">
              <w:t>20%</w:t>
            </w:r>
          </w:p>
        </w:tc>
        <w:tc>
          <w:tcPr>
            <w:tcW w:w="2425" w:type="dxa"/>
            <w:shd w:val="clear" w:color="auto" w:fill="F2F2F2" w:themeFill="background1" w:themeFillShade="F2"/>
          </w:tcPr>
          <w:p w14:paraId="2D12FEFC" w14:textId="77777777" w:rsidR="00EC7672" w:rsidRPr="009A0175" w:rsidRDefault="00EC7672" w:rsidP="0060768A">
            <w:pPr>
              <w:jc w:val="center"/>
            </w:pPr>
            <w:r w:rsidRPr="009A0175">
              <w:t>(£10,000)</w:t>
            </w:r>
          </w:p>
        </w:tc>
      </w:tr>
      <w:tr w:rsidR="00EC7672" w:rsidRPr="00746D6D" w14:paraId="55EAE8E6" w14:textId="77777777" w:rsidTr="0060768A">
        <w:tc>
          <w:tcPr>
            <w:tcW w:w="2405" w:type="dxa"/>
            <w:shd w:val="clear" w:color="auto" w:fill="F2F2F2" w:themeFill="background1" w:themeFillShade="F2"/>
          </w:tcPr>
          <w:p w14:paraId="6B393EC4" w14:textId="77777777" w:rsidR="00EC7672" w:rsidRPr="00644F44" w:rsidRDefault="00EC7672" w:rsidP="0060768A">
            <w:r w:rsidRPr="00644F44">
              <w:t>Top-Slicing Relief</w:t>
            </w:r>
          </w:p>
        </w:tc>
        <w:tc>
          <w:tcPr>
            <w:tcW w:w="2196" w:type="dxa"/>
            <w:shd w:val="clear" w:color="auto" w:fill="F2F2F2" w:themeFill="background1" w:themeFillShade="F2"/>
          </w:tcPr>
          <w:p w14:paraId="0E29C2B8" w14:textId="77777777" w:rsidR="00EC7672" w:rsidRPr="00746D6D" w:rsidRDefault="00EC7672" w:rsidP="0060768A">
            <w:pPr>
              <w:jc w:val="center"/>
            </w:pPr>
          </w:p>
        </w:tc>
        <w:tc>
          <w:tcPr>
            <w:tcW w:w="2324" w:type="dxa"/>
            <w:shd w:val="clear" w:color="auto" w:fill="F2F2F2" w:themeFill="background1" w:themeFillShade="F2"/>
          </w:tcPr>
          <w:p w14:paraId="731FB454" w14:textId="77777777" w:rsidR="00EC7672" w:rsidRPr="00746D6D" w:rsidRDefault="00EC7672" w:rsidP="0060768A">
            <w:pPr>
              <w:jc w:val="center"/>
            </w:pPr>
          </w:p>
        </w:tc>
        <w:tc>
          <w:tcPr>
            <w:tcW w:w="2425" w:type="dxa"/>
            <w:shd w:val="clear" w:color="auto" w:fill="F2F2F2" w:themeFill="background1" w:themeFillShade="F2"/>
          </w:tcPr>
          <w:p w14:paraId="2255F028" w14:textId="75819030" w:rsidR="00EC7672" w:rsidRPr="00746D6D" w:rsidRDefault="00EC7672" w:rsidP="0060768A">
            <w:pPr>
              <w:jc w:val="center"/>
            </w:pPr>
            <w:r>
              <w:t>(£</w:t>
            </w:r>
            <w:r w:rsidR="002624F4">
              <w:t>8,000</w:t>
            </w:r>
            <w:r>
              <w:t>)</w:t>
            </w:r>
          </w:p>
        </w:tc>
      </w:tr>
      <w:tr w:rsidR="00EC7672" w:rsidRPr="00AF1059" w14:paraId="09E4B441" w14:textId="77777777" w:rsidTr="0060768A">
        <w:tc>
          <w:tcPr>
            <w:tcW w:w="2405" w:type="dxa"/>
            <w:shd w:val="clear" w:color="auto" w:fill="000000" w:themeFill="text1"/>
          </w:tcPr>
          <w:p w14:paraId="2FF5AC80" w14:textId="77777777" w:rsidR="00EC7672" w:rsidRPr="00AF1059" w:rsidRDefault="00EC7672" w:rsidP="0060768A">
            <w:pPr>
              <w:rPr>
                <w:b/>
                <w:bCs/>
              </w:rPr>
            </w:pPr>
            <w:r>
              <w:rPr>
                <w:b/>
                <w:bCs/>
              </w:rPr>
              <w:t>Actual Tax Due</w:t>
            </w:r>
          </w:p>
        </w:tc>
        <w:tc>
          <w:tcPr>
            <w:tcW w:w="2196" w:type="dxa"/>
            <w:shd w:val="clear" w:color="auto" w:fill="000000" w:themeFill="text1"/>
          </w:tcPr>
          <w:p w14:paraId="7EE78862" w14:textId="77777777" w:rsidR="00EC7672" w:rsidRPr="00AF1059" w:rsidRDefault="00EC7672" w:rsidP="0060768A">
            <w:pPr>
              <w:jc w:val="center"/>
              <w:rPr>
                <w:b/>
                <w:bCs/>
              </w:rPr>
            </w:pPr>
          </w:p>
        </w:tc>
        <w:tc>
          <w:tcPr>
            <w:tcW w:w="2324" w:type="dxa"/>
            <w:shd w:val="clear" w:color="auto" w:fill="000000" w:themeFill="text1"/>
          </w:tcPr>
          <w:p w14:paraId="1368084C" w14:textId="77777777" w:rsidR="00EC7672" w:rsidRPr="00AF1059" w:rsidRDefault="00EC7672" w:rsidP="0060768A">
            <w:pPr>
              <w:jc w:val="center"/>
              <w:rPr>
                <w:b/>
                <w:bCs/>
              </w:rPr>
            </w:pPr>
          </w:p>
        </w:tc>
        <w:tc>
          <w:tcPr>
            <w:tcW w:w="2425" w:type="dxa"/>
            <w:shd w:val="clear" w:color="auto" w:fill="000000" w:themeFill="text1"/>
          </w:tcPr>
          <w:p w14:paraId="19130648" w14:textId="3CD98F0F" w:rsidR="00EC7672" w:rsidRPr="00AF1059" w:rsidRDefault="00EC7672" w:rsidP="0060768A">
            <w:pPr>
              <w:jc w:val="center"/>
              <w:rPr>
                <w:b/>
                <w:bCs/>
              </w:rPr>
            </w:pPr>
            <w:r>
              <w:rPr>
                <w:b/>
                <w:bCs/>
              </w:rPr>
              <w:t>£</w:t>
            </w:r>
            <w:r w:rsidR="000A7149">
              <w:rPr>
                <w:b/>
                <w:bCs/>
              </w:rPr>
              <w:t>5,440</w:t>
            </w:r>
          </w:p>
        </w:tc>
      </w:tr>
    </w:tbl>
    <w:p w14:paraId="08E49882" w14:textId="7A6F90CE" w:rsidR="00EC7672" w:rsidRDefault="00EC7672" w:rsidP="00E96C2A"/>
    <w:p w14:paraId="251324C6" w14:textId="03973E13" w:rsidR="000060CE" w:rsidRDefault="000060CE" w:rsidP="00E96C2A">
      <w:r>
        <w:t>Top-Slicing Relief calculation as follows:</w:t>
      </w:r>
    </w:p>
    <w:p w14:paraId="5C35002B" w14:textId="78546455" w:rsidR="000060CE" w:rsidRDefault="000060CE" w:rsidP="00E96C2A"/>
    <w:p w14:paraId="589A149A" w14:textId="1DA0028D" w:rsidR="000060CE" w:rsidRDefault="000060CE" w:rsidP="00E96C2A">
      <w:r>
        <w:t>A = (</w:t>
      </w:r>
      <w:r w:rsidR="00243142">
        <w:t xml:space="preserve">£2,000 + </w:t>
      </w:r>
      <w:r>
        <w:t>£16,000</w:t>
      </w:r>
      <w:r w:rsidR="00243142">
        <w:t>) – (£50,000 x 20%) = £8,000</w:t>
      </w:r>
    </w:p>
    <w:p w14:paraId="1E8E9F7C" w14:textId="662053BD" w:rsidR="00243142" w:rsidRDefault="00243142" w:rsidP="00E96C2A">
      <w:r>
        <w:t xml:space="preserve">B = </w:t>
      </w:r>
    </w:p>
    <w:p w14:paraId="626BF272" w14:textId="3FB49E36" w:rsidR="000060CE" w:rsidRDefault="000060CE" w:rsidP="00E96C2A"/>
    <w:tbl>
      <w:tblPr>
        <w:tblStyle w:val="TableGrid"/>
        <w:tblW w:w="0" w:type="auto"/>
        <w:tblLook w:val="04A0" w:firstRow="1" w:lastRow="0" w:firstColumn="1" w:lastColumn="0" w:noHBand="0" w:noVBand="1"/>
      </w:tblPr>
      <w:tblGrid>
        <w:gridCol w:w="2405"/>
        <w:gridCol w:w="2196"/>
        <w:gridCol w:w="2324"/>
        <w:gridCol w:w="2425"/>
      </w:tblGrid>
      <w:tr w:rsidR="004D13E5" w:rsidRPr="00E871BE" w14:paraId="0F5DA997" w14:textId="77777777" w:rsidTr="0060768A">
        <w:tc>
          <w:tcPr>
            <w:tcW w:w="2405" w:type="dxa"/>
          </w:tcPr>
          <w:p w14:paraId="4DC4EBDD" w14:textId="77777777" w:rsidR="004D13E5" w:rsidRPr="00E871BE" w:rsidRDefault="004D13E5" w:rsidP="0060768A">
            <w:pPr>
              <w:rPr>
                <w:b/>
                <w:bCs/>
              </w:rPr>
            </w:pPr>
            <w:r w:rsidRPr="00E871BE">
              <w:rPr>
                <w:b/>
                <w:bCs/>
              </w:rPr>
              <w:t>Income Source</w:t>
            </w:r>
          </w:p>
        </w:tc>
        <w:tc>
          <w:tcPr>
            <w:tcW w:w="2196" w:type="dxa"/>
          </w:tcPr>
          <w:p w14:paraId="169960DE" w14:textId="77777777" w:rsidR="004D13E5" w:rsidRPr="00E871BE" w:rsidRDefault="004D13E5" w:rsidP="0060768A">
            <w:pPr>
              <w:jc w:val="center"/>
              <w:rPr>
                <w:b/>
                <w:bCs/>
              </w:rPr>
            </w:pPr>
            <w:r w:rsidRPr="00E871BE">
              <w:rPr>
                <w:b/>
                <w:bCs/>
              </w:rPr>
              <w:t>Amount</w:t>
            </w:r>
          </w:p>
        </w:tc>
        <w:tc>
          <w:tcPr>
            <w:tcW w:w="2324" w:type="dxa"/>
          </w:tcPr>
          <w:p w14:paraId="1525E77D" w14:textId="77777777" w:rsidR="004D13E5" w:rsidRPr="00E871BE" w:rsidRDefault="004D13E5" w:rsidP="0060768A">
            <w:pPr>
              <w:jc w:val="center"/>
              <w:rPr>
                <w:b/>
                <w:bCs/>
              </w:rPr>
            </w:pPr>
            <w:r w:rsidRPr="00E871BE">
              <w:rPr>
                <w:b/>
                <w:bCs/>
              </w:rPr>
              <w:t>Tax Rate</w:t>
            </w:r>
          </w:p>
        </w:tc>
        <w:tc>
          <w:tcPr>
            <w:tcW w:w="2425" w:type="dxa"/>
          </w:tcPr>
          <w:p w14:paraId="6A2E5AC8" w14:textId="77777777" w:rsidR="004D13E5" w:rsidRPr="00E871BE" w:rsidRDefault="004D13E5" w:rsidP="0060768A">
            <w:pPr>
              <w:jc w:val="center"/>
              <w:rPr>
                <w:b/>
                <w:bCs/>
              </w:rPr>
            </w:pPr>
            <w:r w:rsidRPr="00E871BE">
              <w:rPr>
                <w:b/>
                <w:bCs/>
              </w:rPr>
              <w:t>Amount of Tax</w:t>
            </w:r>
          </w:p>
        </w:tc>
      </w:tr>
      <w:tr w:rsidR="004D13E5" w14:paraId="0F4A4CBC" w14:textId="77777777" w:rsidTr="0060768A">
        <w:tc>
          <w:tcPr>
            <w:tcW w:w="2405" w:type="dxa"/>
            <w:shd w:val="clear" w:color="auto" w:fill="BFBFBF" w:themeFill="background1" w:themeFillShade="BF"/>
          </w:tcPr>
          <w:p w14:paraId="173FADCC" w14:textId="77777777" w:rsidR="004D13E5" w:rsidRDefault="004D13E5" w:rsidP="0060768A">
            <w:r>
              <w:t>Salary</w:t>
            </w:r>
          </w:p>
        </w:tc>
        <w:tc>
          <w:tcPr>
            <w:tcW w:w="2196" w:type="dxa"/>
            <w:shd w:val="clear" w:color="auto" w:fill="BFBFBF" w:themeFill="background1" w:themeFillShade="BF"/>
          </w:tcPr>
          <w:p w14:paraId="00FB1779" w14:textId="77777777" w:rsidR="004D13E5" w:rsidRDefault="004D13E5" w:rsidP="0060768A">
            <w:pPr>
              <w:jc w:val="center"/>
            </w:pPr>
            <w:r>
              <w:t>£12,570</w:t>
            </w:r>
          </w:p>
        </w:tc>
        <w:tc>
          <w:tcPr>
            <w:tcW w:w="2324" w:type="dxa"/>
            <w:shd w:val="clear" w:color="auto" w:fill="BFBFBF" w:themeFill="background1" w:themeFillShade="BF"/>
          </w:tcPr>
          <w:p w14:paraId="3BC01E73" w14:textId="77777777" w:rsidR="004D13E5" w:rsidRDefault="004D13E5" w:rsidP="0060768A">
            <w:pPr>
              <w:jc w:val="center"/>
            </w:pPr>
            <w:r>
              <w:t>0% Personal Allowance</w:t>
            </w:r>
          </w:p>
        </w:tc>
        <w:tc>
          <w:tcPr>
            <w:tcW w:w="2425" w:type="dxa"/>
            <w:shd w:val="clear" w:color="auto" w:fill="BFBFBF" w:themeFill="background1" w:themeFillShade="BF"/>
          </w:tcPr>
          <w:p w14:paraId="545D0309" w14:textId="77777777" w:rsidR="004D13E5" w:rsidRDefault="004D13E5" w:rsidP="0060768A">
            <w:pPr>
              <w:jc w:val="center"/>
            </w:pPr>
            <w:r>
              <w:t>£0</w:t>
            </w:r>
          </w:p>
        </w:tc>
      </w:tr>
      <w:tr w:rsidR="004D13E5" w14:paraId="749246A6" w14:textId="77777777" w:rsidTr="0060768A">
        <w:tc>
          <w:tcPr>
            <w:tcW w:w="2405" w:type="dxa"/>
            <w:shd w:val="clear" w:color="auto" w:fill="BFBFBF" w:themeFill="background1" w:themeFillShade="BF"/>
          </w:tcPr>
          <w:p w14:paraId="306E8152" w14:textId="77777777" w:rsidR="004D13E5" w:rsidRDefault="004D13E5" w:rsidP="0060768A"/>
        </w:tc>
        <w:tc>
          <w:tcPr>
            <w:tcW w:w="2196" w:type="dxa"/>
            <w:shd w:val="clear" w:color="auto" w:fill="BFBFBF" w:themeFill="background1" w:themeFillShade="BF"/>
          </w:tcPr>
          <w:p w14:paraId="1A63E309" w14:textId="77777777" w:rsidR="004D13E5" w:rsidRDefault="004D13E5" w:rsidP="0060768A">
            <w:pPr>
              <w:jc w:val="center"/>
            </w:pPr>
            <w:r>
              <w:t>£</w:t>
            </w:r>
            <w:r w:rsidRPr="004B099E">
              <w:t>32,200</w:t>
            </w:r>
          </w:p>
        </w:tc>
        <w:tc>
          <w:tcPr>
            <w:tcW w:w="2324" w:type="dxa"/>
            <w:shd w:val="clear" w:color="auto" w:fill="BFBFBF" w:themeFill="background1" w:themeFillShade="BF"/>
          </w:tcPr>
          <w:p w14:paraId="0509853F" w14:textId="77777777" w:rsidR="004D13E5" w:rsidRDefault="004D13E5" w:rsidP="0060768A">
            <w:pPr>
              <w:jc w:val="center"/>
            </w:pPr>
            <w:r>
              <w:t>20%</w:t>
            </w:r>
          </w:p>
        </w:tc>
        <w:tc>
          <w:tcPr>
            <w:tcW w:w="2425" w:type="dxa"/>
            <w:shd w:val="clear" w:color="auto" w:fill="BFBFBF" w:themeFill="background1" w:themeFillShade="BF"/>
          </w:tcPr>
          <w:p w14:paraId="59498579" w14:textId="77777777" w:rsidR="004D13E5" w:rsidRDefault="004D13E5" w:rsidP="0060768A">
            <w:pPr>
              <w:jc w:val="center"/>
            </w:pPr>
            <w:r>
              <w:t>£</w:t>
            </w:r>
            <w:r w:rsidRPr="00E871BE">
              <w:t>6,440</w:t>
            </w:r>
          </w:p>
        </w:tc>
      </w:tr>
      <w:tr w:rsidR="004D13E5" w14:paraId="07196F8A" w14:textId="77777777" w:rsidTr="0060768A">
        <w:tc>
          <w:tcPr>
            <w:tcW w:w="2405" w:type="dxa"/>
            <w:shd w:val="clear" w:color="auto" w:fill="BFBFBF" w:themeFill="background1" w:themeFillShade="BF"/>
          </w:tcPr>
          <w:p w14:paraId="2AAD4A63" w14:textId="77777777" w:rsidR="004D13E5" w:rsidRDefault="004D13E5" w:rsidP="0060768A"/>
        </w:tc>
        <w:tc>
          <w:tcPr>
            <w:tcW w:w="2196" w:type="dxa"/>
            <w:shd w:val="clear" w:color="auto" w:fill="BFBFBF" w:themeFill="background1" w:themeFillShade="BF"/>
          </w:tcPr>
          <w:p w14:paraId="550B8A03" w14:textId="77777777" w:rsidR="004D13E5" w:rsidRDefault="004D13E5" w:rsidP="0060768A">
            <w:pPr>
              <w:jc w:val="center"/>
            </w:pPr>
            <w:r>
              <w:t>£0</w:t>
            </w:r>
          </w:p>
        </w:tc>
        <w:tc>
          <w:tcPr>
            <w:tcW w:w="2324" w:type="dxa"/>
            <w:shd w:val="clear" w:color="auto" w:fill="BFBFBF" w:themeFill="background1" w:themeFillShade="BF"/>
          </w:tcPr>
          <w:p w14:paraId="36BA6AF5" w14:textId="77777777" w:rsidR="004D13E5" w:rsidRDefault="004D13E5" w:rsidP="0060768A">
            <w:pPr>
              <w:jc w:val="center"/>
            </w:pPr>
            <w:r>
              <w:t>40%</w:t>
            </w:r>
          </w:p>
        </w:tc>
        <w:tc>
          <w:tcPr>
            <w:tcW w:w="2425" w:type="dxa"/>
            <w:shd w:val="clear" w:color="auto" w:fill="BFBFBF" w:themeFill="background1" w:themeFillShade="BF"/>
          </w:tcPr>
          <w:p w14:paraId="28A618FD" w14:textId="77777777" w:rsidR="004D13E5" w:rsidRDefault="004D13E5" w:rsidP="0060768A">
            <w:pPr>
              <w:jc w:val="center"/>
            </w:pPr>
            <w:r>
              <w:t>£0</w:t>
            </w:r>
          </w:p>
        </w:tc>
      </w:tr>
      <w:tr w:rsidR="004D13E5" w14:paraId="46C4BFC9" w14:textId="77777777" w:rsidTr="0060768A">
        <w:tc>
          <w:tcPr>
            <w:tcW w:w="2405" w:type="dxa"/>
            <w:shd w:val="clear" w:color="auto" w:fill="BFBFBF" w:themeFill="background1" w:themeFillShade="BF"/>
          </w:tcPr>
          <w:p w14:paraId="75D8BB80" w14:textId="77777777" w:rsidR="004D13E5" w:rsidRDefault="004D13E5" w:rsidP="0060768A"/>
        </w:tc>
        <w:tc>
          <w:tcPr>
            <w:tcW w:w="2196" w:type="dxa"/>
            <w:shd w:val="clear" w:color="auto" w:fill="BFBFBF" w:themeFill="background1" w:themeFillShade="BF"/>
          </w:tcPr>
          <w:p w14:paraId="169E0A73" w14:textId="77777777" w:rsidR="004D13E5" w:rsidRDefault="004D13E5" w:rsidP="0060768A">
            <w:pPr>
              <w:jc w:val="center"/>
            </w:pPr>
            <w:r>
              <w:t>£0</w:t>
            </w:r>
          </w:p>
        </w:tc>
        <w:tc>
          <w:tcPr>
            <w:tcW w:w="2324" w:type="dxa"/>
            <w:shd w:val="clear" w:color="auto" w:fill="BFBFBF" w:themeFill="background1" w:themeFillShade="BF"/>
          </w:tcPr>
          <w:p w14:paraId="48039573" w14:textId="77777777" w:rsidR="004D13E5" w:rsidRDefault="004D13E5" w:rsidP="0060768A">
            <w:pPr>
              <w:jc w:val="center"/>
            </w:pPr>
            <w:r>
              <w:t>45%</w:t>
            </w:r>
          </w:p>
        </w:tc>
        <w:tc>
          <w:tcPr>
            <w:tcW w:w="2425" w:type="dxa"/>
            <w:shd w:val="clear" w:color="auto" w:fill="BFBFBF" w:themeFill="background1" w:themeFillShade="BF"/>
          </w:tcPr>
          <w:p w14:paraId="4C89350B" w14:textId="77777777" w:rsidR="004D13E5" w:rsidRDefault="004D13E5" w:rsidP="0060768A">
            <w:pPr>
              <w:jc w:val="center"/>
            </w:pPr>
            <w:r>
              <w:t>£0</w:t>
            </w:r>
          </w:p>
        </w:tc>
      </w:tr>
      <w:tr w:rsidR="004D13E5" w14:paraId="50FBFA6E" w14:textId="77777777" w:rsidTr="0060768A">
        <w:tc>
          <w:tcPr>
            <w:tcW w:w="2405" w:type="dxa"/>
            <w:shd w:val="clear" w:color="auto" w:fill="F2F2F2" w:themeFill="background1" w:themeFillShade="F2"/>
          </w:tcPr>
          <w:p w14:paraId="04FE653B" w14:textId="77777777" w:rsidR="004D13E5" w:rsidRDefault="004D13E5" w:rsidP="0060768A">
            <w:r>
              <w:t>Savings Income</w:t>
            </w:r>
          </w:p>
        </w:tc>
        <w:tc>
          <w:tcPr>
            <w:tcW w:w="2196" w:type="dxa"/>
            <w:shd w:val="clear" w:color="auto" w:fill="F2F2F2" w:themeFill="background1" w:themeFillShade="F2"/>
          </w:tcPr>
          <w:p w14:paraId="2E7E286E" w14:textId="77777777" w:rsidR="004D13E5" w:rsidRDefault="004D13E5" w:rsidP="0060768A">
            <w:pPr>
              <w:jc w:val="center"/>
            </w:pPr>
            <w:r>
              <w:t>£500</w:t>
            </w:r>
          </w:p>
        </w:tc>
        <w:tc>
          <w:tcPr>
            <w:tcW w:w="2324" w:type="dxa"/>
            <w:shd w:val="clear" w:color="auto" w:fill="F2F2F2" w:themeFill="background1" w:themeFillShade="F2"/>
          </w:tcPr>
          <w:p w14:paraId="38E1CCF1" w14:textId="77777777" w:rsidR="004D13E5" w:rsidRDefault="004D13E5" w:rsidP="0060768A">
            <w:pPr>
              <w:jc w:val="center"/>
            </w:pPr>
            <w:r>
              <w:t>0% PSA</w:t>
            </w:r>
          </w:p>
        </w:tc>
        <w:tc>
          <w:tcPr>
            <w:tcW w:w="2425" w:type="dxa"/>
            <w:shd w:val="clear" w:color="auto" w:fill="F2F2F2" w:themeFill="background1" w:themeFillShade="F2"/>
          </w:tcPr>
          <w:p w14:paraId="4980103E" w14:textId="77777777" w:rsidR="004D13E5" w:rsidRDefault="004D13E5" w:rsidP="0060768A">
            <w:pPr>
              <w:jc w:val="center"/>
            </w:pPr>
            <w:r>
              <w:t>£0</w:t>
            </w:r>
          </w:p>
        </w:tc>
      </w:tr>
      <w:tr w:rsidR="004D13E5" w14:paraId="57325A2D" w14:textId="77777777" w:rsidTr="0060768A">
        <w:tc>
          <w:tcPr>
            <w:tcW w:w="2405" w:type="dxa"/>
            <w:shd w:val="clear" w:color="auto" w:fill="F2F2F2" w:themeFill="background1" w:themeFillShade="F2"/>
          </w:tcPr>
          <w:p w14:paraId="6DC33AFB" w14:textId="77777777" w:rsidR="004D13E5" w:rsidRDefault="004D13E5" w:rsidP="0060768A"/>
        </w:tc>
        <w:tc>
          <w:tcPr>
            <w:tcW w:w="2196" w:type="dxa"/>
            <w:shd w:val="clear" w:color="auto" w:fill="F2F2F2" w:themeFill="background1" w:themeFillShade="F2"/>
          </w:tcPr>
          <w:p w14:paraId="75BA9409" w14:textId="77777777" w:rsidR="004D13E5" w:rsidRDefault="004D13E5" w:rsidP="0060768A">
            <w:pPr>
              <w:jc w:val="center"/>
            </w:pPr>
            <w:r>
              <w:t>£0</w:t>
            </w:r>
          </w:p>
        </w:tc>
        <w:tc>
          <w:tcPr>
            <w:tcW w:w="2324" w:type="dxa"/>
            <w:shd w:val="clear" w:color="auto" w:fill="F2F2F2" w:themeFill="background1" w:themeFillShade="F2"/>
          </w:tcPr>
          <w:p w14:paraId="11CE09FE" w14:textId="77777777" w:rsidR="004D13E5" w:rsidRDefault="004D13E5" w:rsidP="0060768A">
            <w:pPr>
              <w:jc w:val="center"/>
            </w:pPr>
            <w:r>
              <w:t>20%</w:t>
            </w:r>
          </w:p>
        </w:tc>
        <w:tc>
          <w:tcPr>
            <w:tcW w:w="2425" w:type="dxa"/>
            <w:shd w:val="clear" w:color="auto" w:fill="F2F2F2" w:themeFill="background1" w:themeFillShade="F2"/>
          </w:tcPr>
          <w:p w14:paraId="28621E55" w14:textId="77777777" w:rsidR="004D13E5" w:rsidRDefault="004D13E5" w:rsidP="0060768A">
            <w:pPr>
              <w:jc w:val="center"/>
            </w:pPr>
            <w:r>
              <w:t>£0</w:t>
            </w:r>
          </w:p>
        </w:tc>
      </w:tr>
      <w:tr w:rsidR="004D13E5" w14:paraId="479A0FA1" w14:textId="77777777" w:rsidTr="0060768A">
        <w:tc>
          <w:tcPr>
            <w:tcW w:w="2405" w:type="dxa"/>
            <w:shd w:val="clear" w:color="auto" w:fill="F2F2F2" w:themeFill="background1" w:themeFillShade="F2"/>
          </w:tcPr>
          <w:p w14:paraId="41BA4C23" w14:textId="77777777" w:rsidR="004D13E5" w:rsidRDefault="004D13E5" w:rsidP="0060768A"/>
        </w:tc>
        <w:tc>
          <w:tcPr>
            <w:tcW w:w="2196" w:type="dxa"/>
            <w:shd w:val="clear" w:color="auto" w:fill="F2F2F2" w:themeFill="background1" w:themeFillShade="F2"/>
          </w:tcPr>
          <w:p w14:paraId="2307A1C0" w14:textId="77777777" w:rsidR="004D13E5" w:rsidRDefault="004D13E5" w:rsidP="0060768A">
            <w:pPr>
              <w:jc w:val="center"/>
            </w:pPr>
            <w:r>
              <w:t>£0</w:t>
            </w:r>
          </w:p>
        </w:tc>
        <w:tc>
          <w:tcPr>
            <w:tcW w:w="2324" w:type="dxa"/>
            <w:shd w:val="clear" w:color="auto" w:fill="F2F2F2" w:themeFill="background1" w:themeFillShade="F2"/>
          </w:tcPr>
          <w:p w14:paraId="76D4FDB7" w14:textId="77777777" w:rsidR="004D13E5" w:rsidRDefault="004D13E5" w:rsidP="0060768A">
            <w:pPr>
              <w:jc w:val="center"/>
            </w:pPr>
            <w:r>
              <w:t>40%</w:t>
            </w:r>
          </w:p>
        </w:tc>
        <w:tc>
          <w:tcPr>
            <w:tcW w:w="2425" w:type="dxa"/>
            <w:shd w:val="clear" w:color="auto" w:fill="F2F2F2" w:themeFill="background1" w:themeFillShade="F2"/>
          </w:tcPr>
          <w:p w14:paraId="641653CF" w14:textId="77777777" w:rsidR="004D13E5" w:rsidRDefault="004D13E5" w:rsidP="0060768A">
            <w:pPr>
              <w:jc w:val="center"/>
            </w:pPr>
            <w:r>
              <w:t>£0</w:t>
            </w:r>
          </w:p>
        </w:tc>
      </w:tr>
      <w:tr w:rsidR="004D13E5" w14:paraId="0996C22E" w14:textId="77777777" w:rsidTr="0060768A">
        <w:tc>
          <w:tcPr>
            <w:tcW w:w="2405" w:type="dxa"/>
            <w:shd w:val="clear" w:color="auto" w:fill="F2F2F2" w:themeFill="background1" w:themeFillShade="F2"/>
          </w:tcPr>
          <w:p w14:paraId="7C566EBF" w14:textId="77777777" w:rsidR="004D13E5" w:rsidRDefault="004D13E5" w:rsidP="0060768A"/>
        </w:tc>
        <w:tc>
          <w:tcPr>
            <w:tcW w:w="2196" w:type="dxa"/>
            <w:shd w:val="clear" w:color="auto" w:fill="F2F2F2" w:themeFill="background1" w:themeFillShade="F2"/>
          </w:tcPr>
          <w:p w14:paraId="1AE39EBC" w14:textId="77777777" w:rsidR="004D13E5" w:rsidRDefault="004D13E5" w:rsidP="0060768A">
            <w:pPr>
              <w:jc w:val="center"/>
            </w:pPr>
            <w:r>
              <w:t>£0</w:t>
            </w:r>
          </w:p>
        </w:tc>
        <w:tc>
          <w:tcPr>
            <w:tcW w:w="2324" w:type="dxa"/>
            <w:shd w:val="clear" w:color="auto" w:fill="F2F2F2" w:themeFill="background1" w:themeFillShade="F2"/>
          </w:tcPr>
          <w:p w14:paraId="294D43D4" w14:textId="77777777" w:rsidR="004D13E5" w:rsidRDefault="004D13E5" w:rsidP="0060768A">
            <w:pPr>
              <w:jc w:val="center"/>
            </w:pPr>
            <w:r>
              <w:t>45%</w:t>
            </w:r>
          </w:p>
        </w:tc>
        <w:tc>
          <w:tcPr>
            <w:tcW w:w="2425" w:type="dxa"/>
            <w:shd w:val="clear" w:color="auto" w:fill="F2F2F2" w:themeFill="background1" w:themeFillShade="F2"/>
          </w:tcPr>
          <w:p w14:paraId="142FD1F8" w14:textId="77777777" w:rsidR="004D13E5" w:rsidRDefault="004D13E5" w:rsidP="0060768A">
            <w:pPr>
              <w:jc w:val="center"/>
            </w:pPr>
            <w:r>
              <w:t>£0</w:t>
            </w:r>
          </w:p>
        </w:tc>
      </w:tr>
      <w:tr w:rsidR="004D13E5" w14:paraId="7D80BA68" w14:textId="77777777" w:rsidTr="0060768A">
        <w:tc>
          <w:tcPr>
            <w:tcW w:w="2405" w:type="dxa"/>
            <w:shd w:val="clear" w:color="auto" w:fill="BFBFBF" w:themeFill="background1" w:themeFillShade="BF"/>
          </w:tcPr>
          <w:p w14:paraId="77A42331" w14:textId="77777777" w:rsidR="004D13E5" w:rsidRDefault="004D13E5" w:rsidP="0060768A">
            <w:r>
              <w:t>UK Chargeable Gain</w:t>
            </w:r>
          </w:p>
        </w:tc>
        <w:tc>
          <w:tcPr>
            <w:tcW w:w="2196" w:type="dxa"/>
            <w:shd w:val="clear" w:color="auto" w:fill="BFBFBF" w:themeFill="background1" w:themeFillShade="BF"/>
          </w:tcPr>
          <w:p w14:paraId="6EE70FC0" w14:textId="77777777" w:rsidR="004D13E5" w:rsidRDefault="004D13E5" w:rsidP="0060768A">
            <w:pPr>
              <w:jc w:val="center"/>
            </w:pPr>
            <w:r>
              <w:t>£0</w:t>
            </w:r>
          </w:p>
        </w:tc>
        <w:tc>
          <w:tcPr>
            <w:tcW w:w="2324" w:type="dxa"/>
            <w:shd w:val="clear" w:color="auto" w:fill="BFBFBF" w:themeFill="background1" w:themeFillShade="BF"/>
          </w:tcPr>
          <w:p w14:paraId="315429D1" w14:textId="77777777" w:rsidR="004D13E5" w:rsidRDefault="004D13E5" w:rsidP="0060768A">
            <w:pPr>
              <w:jc w:val="center"/>
            </w:pPr>
            <w:r>
              <w:t>0%</w:t>
            </w:r>
          </w:p>
        </w:tc>
        <w:tc>
          <w:tcPr>
            <w:tcW w:w="2425" w:type="dxa"/>
            <w:shd w:val="clear" w:color="auto" w:fill="BFBFBF" w:themeFill="background1" w:themeFillShade="BF"/>
          </w:tcPr>
          <w:p w14:paraId="04D51484" w14:textId="77777777" w:rsidR="004D13E5" w:rsidRDefault="004D13E5" w:rsidP="0060768A">
            <w:pPr>
              <w:jc w:val="center"/>
            </w:pPr>
            <w:r>
              <w:t>£0</w:t>
            </w:r>
          </w:p>
        </w:tc>
      </w:tr>
      <w:tr w:rsidR="004D13E5" w14:paraId="356EC363" w14:textId="77777777" w:rsidTr="002428E3">
        <w:tc>
          <w:tcPr>
            <w:tcW w:w="2405" w:type="dxa"/>
            <w:shd w:val="clear" w:color="auto" w:fill="BFBFBF" w:themeFill="background1" w:themeFillShade="BF"/>
          </w:tcPr>
          <w:p w14:paraId="4E7C194C" w14:textId="77777777" w:rsidR="004D13E5" w:rsidRDefault="004D13E5" w:rsidP="0060768A"/>
        </w:tc>
        <w:tc>
          <w:tcPr>
            <w:tcW w:w="2196" w:type="dxa"/>
            <w:shd w:val="clear" w:color="auto" w:fill="FFFF00"/>
          </w:tcPr>
          <w:p w14:paraId="09E359A5" w14:textId="1CC6ABC6" w:rsidR="004D13E5" w:rsidRDefault="004D13E5" w:rsidP="0060768A">
            <w:pPr>
              <w:jc w:val="center"/>
            </w:pPr>
            <w:r>
              <w:t>£10,000</w:t>
            </w:r>
          </w:p>
        </w:tc>
        <w:tc>
          <w:tcPr>
            <w:tcW w:w="2324" w:type="dxa"/>
            <w:shd w:val="clear" w:color="auto" w:fill="BFBFBF" w:themeFill="background1" w:themeFillShade="BF"/>
          </w:tcPr>
          <w:p w14:paraId="71F2CB08" w14:textId="77777777" w:rsidR="004D13E5" w:rsidRDefault="004D13E5" w:rsidP="0060768A">
            <w:pPr>
              <w:jc w:val="center"/>
            </w:pPr>
            <w:r>
              <w:t>20%</w:t>
            </w:r>
          </w:p>
        </w:tc>
        <w:tc>
          <w:tcPr>
            <w:tcW w:w="2425" w:type="dxa"/>
            <w:shd w:val="clear" w:color="auto" w:fill="FFFF00"/>
          </w:tcPr>
          <w:p w14:paraId="0A63E5AD" w14:textId="55512B05" w:rsidR="004D13E5" w:rsidRDefault="004D13E5" w:rsidP="0060768A">
            <w:pPr>
              <w:jc w:val="center"/>
            </w:pPr>
            <w:r>
              <w:t>£</w:t>
            </w:r>
            <w:r w:rsidR="002428E3">
              <w:t>2</w:t>
            </w:r>
            <w:r>
              <w:t>,000</w:t>
            </w:r>
          </w:p>
        </w:tc>
      </w:tr>
      <w:tr w:rsidR="004D13E5" w14:paraId="64108049" w14:textId="77777777" w:rsidTr="0060768A">
        <w:tc>
          <w:tcPr>
            <w:tcW w:w="2405" w:type="dxa"/>
            <w:shd w:val="clear" w:color="auto" w:fill="BFBFBF" w:themeFill="background1" w:themeFillShade="BF"/>
          </w:tcPr>
          <w:p w14:paraId="754A86E0" w14:textId="77777777" w:rsidR="004D13E5" w:rsidRDefault="004D13E5" w:rsidP="0060768A"/>
        </w:tc>
        <w:tc>
          <w:tcPr>
            <w:tcW w:w="2196" w:type="dxa"/>
            <w:shd w:val="clear" w:color="auto" w:fill="FFFF00"/>
          </w:tcPr>
          <w:p w14:paraId="47253E61" w14:textId="53768D81" w:rsidR="004D13E5" w:rsidRDefault="004D13E5" w:rsidP="0060768A">
            <w:pPr>
              <w:jc w:val="center"/>
            </w:pPr>
            <w:r>
              <w:t>£0</w:t>
            </w:r>
          </w:p>
        </w:tc>
        <w:tc>
          <w:tcPr>
            <w:tcW w:w="2324" w:type="dxa"/>
            <w:shd w:val="clear" w:color="auto" w:fill="BFBFBF" w:themeFill="background1" w:themeFillShade="BF"/>
          </w:tcPr>
          <w:p w14:paraId="7AD6E494" w14:textId="77777777" w:rsidR="004D13E5" w:rsidRDefault="004D13E5" w:rsidP="0060768A">
            <w:pPr>
              <w:jc w:val="center"/>
            </w:pPr>
            <w:r>
              <w:t>40%</w:t>
            </w:r>
          </w:p>
        </w:tc>
        <w:tc>
          <w:tcPr>
            <w:tcW w:w="2425" w:type="dxa"/>
            <w:shd w:val="clear" w:color="auto" w:fill="FFFF00"/>
          </w:tcPr>
          <w:p w14:paraId="210BFDB3" w14:textId="04AE7B48" w:rsidR="004D13E5" w:rsidRDefault="004D13E5" w:rsidP="0060768A">
            <w:pPr>
              <w:jc w:val="center"/>
            </w:pPr>
            <w:r>
              <w:t>£0</w:t>
            </w:r>
          </w:p>
        </w:tc>
      </w:tr>
      <w:tr w:rsidR="004D13E5" w14:paraId="769E768C" w14:textId="77777777" w:rsidTr="0060768A">
        <w:tc>
          <w:tcPr>
            <w:tcW w:w="2405" w:type="dxa"/>
            <w:shd w:val="clear" w:color="auto" w:fill="BFBFBF" w:themeFill="background1" w:themeFillShade="BF"/>
          </w:tcPr>
          <w:p w14:paraId="68165C90" w14:textId="77777777" w:rsidR="004D13E5" w:rsidRDefault="004D13E5" w:rsidP="0060768A"/>
        </w:tc>
        <w:tc>
          <w:tcPr>
            <w:tcW w:w="2196" w:type="dxa"/>
            <w:shd w:val="clear" w:color="auto" w:fill="BFBFBF" w:themeFill="background1" w:themeFillShade="BF"/>
          </w:tcPr>
          <w:p w14:paraId="3CE9FDAB" w14:textId="77777777" w:rsidR="004D13E5" w:rsidRDefault="004D13E5" w:rsidP="0060768A">
            <w:pPr>
              <w:jc w:val="center"/>
            </w:pPr>
            <w:r>
              <w:t>£0</w:t>
            </w:r>
          </w:p>
        </w:tc>
        <w:tc>
          <w:tcPr>
            <w:tcW w:w="2324" w:type="dxa"/>
            <w:shd w:val="clear" w:color="auto" w:fill="BFBFBF" w:themeFill="background1" w:themeFillShade="BF"/>
          </w:tcPr>
          <w:p w14:paraId="77B55E89" w14:textId="77777777" w:rsidR="004D13E5" w:rsidRDefault="004D13E5" w:rsidP="0060768A">
            <w:pPr>
              <w:jc w:val="center"/>
            </w:pPr>
            <w:r>
              <w:t>45%</w:t>
            </w:r>
          </w:p>
        </w:tc>
        <w:tc>
          <w:tcPr>
            <w:tcW w:w="2425" w:type="dxa"/>
            <w:shd w:val="clear" w:color="auto" w:fill="BFBFBF" w:themeFill="background1" w:themeFillShade="BF"/>
          </w:tcPr>
          <w:p w14:paraId="03F8B0AC" w14:textId="77777777" w:rsidR="004D13E5" w:rsidRDefault="004D13E5" w:rsidP="0060768A">
            <w:pPr>
              <w:jc w:val="center"/>
            </w:pPr>
            <w:r>
              <w:t>£0</w:t>
            </w:r>
          </w:p>
        </w:tc>
      </w:tr>
      <w:tr w:rsidR="004D13E5" w:rsidRPr="00AF1059" w14:paraId="08BD3E83" w14:textId="77777777" w:rsidTr="0060768A">
        <w:tc>
          <w:tcPr>
            <w:tcW w:w="2405" w:type="dxa"/>
            <w:shd w:val="clear" w:color="auto" w:fill="000000" w:themeFill="text1"/>
          </w:tcPr>
          <w:p w14:paraId="3836BE50" w14:textId="77777777" w:rsidR="004D13E5" w:rsidRPr="00AF1059" w:rsidRDefault="004D13E5" w:rsidP="0060768A">
            <w:pPr>
              <w:rPr>
                <w:b/>
                <w:bCs/>
              </w:rPr>
            </w:pPr>
            <w:r w:rsidRPr="00AF1059">
              <w:rPr>
                <w:b/>
                <w:bCs/>
              </w:rPr>
              <w:t>Total</w:t>
            </w:r>
          </w:p>
        </w:tc>
        <w:tc>
          <w:tcPr>
            <w:tcW w:w="2196" w:type="dxa"/>
            <w:shd w:val="clear" w:color="auto" w:fill="FFFF00"/>
          </w:tcPr>
          <w:p w14:paraId="272FDACE" w14:textId="090B3902" w:rsidR="004D13E5" w:rsidRPr="00AF1059" w:rsidRDefault="004D13E5" w:rsidP="0060768A">
            <w:pPr>
              <w:jc w:val="center"/>
              <w:rPr>
                <w:b/>
                <w:bCs/>
              </w:rPr>
            </w:pPr>
            <w:r w:rsidRPr="00AF1059">
              <w:rPr>
                <w:b/>
                <w:bCs/>
              </w:rPr>
              <w:t>£</w:t>
            </w:r>
            <w:r>
              <w:rPr>
                <w:b/>
                <w:bCs/>
              </w:rPr>
              <w:t>5</w:t>
            </w:r>
            <w:r w:rsidR="002428E3">
              <w:rPr>
                <w:b/>
                <w:bCs/>
              </w:rPr>
              <w:t>0</w:t>
            </w:r>
            <w:r>
              <w:rPr>
                <w:b/>
                <w:bCs/>
              </w:rPr>
              <w:t>,270</w:t>
            </w:r>
          </w:p>
        </w:tc>
        <w:tc>
          <w:tcPr>
            <w:tcW w:w="2324" w:type="dxa"/>
            <w:shd w:val="clear" w:color="auto" w:fill="000000" w:themeFill="text1"/>
          </w:tcPr>
          <w:p w14:paraId="71E9DF35" w14:textId="77777777" w:rsidR="004D13E5" w:rsidRPr="00AF1059" w:rsidRDefault="004D13E5" w:rsidP="0060768A">
            <w:pPr>
              <w:jc w:val="center"/>
              <w:rPr>
                <w:b/>
                <w:bCs/>
              </w:rPr>
            </w:pPr>
          </w:p>
        </w:tc>
        <w:tc>
          <w:tcPr>
            <w:tcW w:w="2425" w:type="dxa"/>
            <w:shd w:val="clear" w:color="auto" w:fill="000000" w:themeFill="text1"/>
          </w:tcPr>
          <w:p w14:paraId="3424F44F" w14:textId="77777777" w:rsidR="004D13E5" w:rsidRPr="00AF1059" w:rsidRDefault="004D13E5" w:rsidP="0060768A">
            <w:pPr>
              <w:jc w:val="center"/>
              <w:rPr>
                <w:b/>
                <w:bCs/>
              </w:rPr>
            </w:pPr>
          </w:p>
        </w:tc>
      </w:tr>
      <w:tr w:rsidR="004D13E5" w:rsidRPr="009A0175" w14:paraId="5913BA45" w14:textId="77777777" w:rsidTr="0060768A">
        <w:tc>
          <w:tcPr>
            <w:tcW w:w="2405" w:type="dxa"/>
            <w:shd w:val="clear" w:color="auto" w:fill="F2F2F2" w:themeFill="background1" w:themeFillShade="F2"/>
          </w:tcPr>
          <w:p w14:paraId="5F13E9D3" w14:textId="77777777" w:rsidR="004D13E5" w:rsidRPr="008F0E1D" w:rsidRDefault="004D13E5" w:rsidP="0060768A">
            <w:r w:rsidRPr="008F0E1D">
              <w:t>Onshore Tax Credit</w:t>
            </w:r>
          </w:p>
        </w:tc>
        <w:tc>
          <w:tcPr>
            <w:tcW w:w="2196" w:type="dxa"/>
            <w:shd w:val="clear" w:color="auto" w:fill="FFFF00"/>
          </w:tcPr>
          <w:p w14:paraId="19FE3360" w14:textId="77777777" w:rsidR="004D13E5" w:rsidRPr="009A0175" w:rsidRDefault="004D13E5" w:rsidP="0060768A">
            <w:pPr>
              <w:jc w:val="center"/>
            </w:pPr>
            <w:r w:rsidRPr="009A0175">
              <w:t>(£</w:t>
            </w:r>
            <w:r>
              <w:t>10</w:t>
            </w:r>
            <w:r w:rsidRPr="009A0175">
              <w:t>,000)</w:t>
            </w:r>
          </w:p>
        </w:tc>
        <w:tc>
          <w:tcPr>
            <w:tcW w:w="2324" w:type="dxa"/>
            <w:shd w:val="clear" w:color="auto" w:fill="F2F2F2" w:themeFill="background1" w:themeFillShade="F2"/>
          </w:tcPr>
          <w:p w14:paraId="480596AF" w14:textId="77777777" w:rsidR="004D13E5" w:rsidRPr="009A0175" w:rsidRDefault="004D13E5" w:rsidP="0060768A">
            <w:pPr>
              <w:jc w:val="center"/>
            </w:pPr>
            <w:r w:rsidRPr="009A0175">
              <w:t>20%</w:t>
            </w:r>
          </w:p>
        </w:tc>
        <w:tc>
          <w:tcPr>
            <w:tcW w:w="2425" w:type="dxa"/>
            <w:shd w:val="clear" w:color="auto" w:fill="FFFF00"/>
          </w:tcPr>
          <w:p w14:paraId="197282E1" w14:textId="77777777" w:rsidR="004D13E5" w:rsidRPr="009A0175" w:rsidRDefault="004D13E5" w:rsidP="0060768A">
            <w:pPr>
              <w:jc w:val="center"/>
            </w:pPr>
            <w:r w:rsidRPr="009A0175">
              <w:t>(£</w:t>
            </w:r>
            <w:r>
              <w:t>2</w:t>
            </w:r>
            <w:r w:rsidRPr="009A0175">
              <w:t>,000)</w:t>
            </w:r>
          </w:p>
        </w:tc>
      </w:tr>
      <w:tr w:rsidR="004D13E5" w:rsidRPr="00AF1059" w14:paraId="7C81BDA1" w14:textId="77777777" w:rsidTr="0060768A">
        <w:tc>
          <w:tcPr>
            <w:tcW w:w="2405" w:type="dxa"/>
            <w:shd w:val="clear" w:color="auto" w:fill="F2F2F2" w:themeFill="background1" w:themeFillShade="F2"/>
          </w:tcPr>
          <w:p w14:paraId="64DDBC4F" w14:textId="77777777" w:rsidR="004D13E5" w:rsidRPr="00644F44" w:rsidRDefault="004D13E5" w:rsidP="0060768A">
            <w:r w:rsidRPr="00644F44">
              <w:t>Top-Slicing Relief</w:t>
            </w:r>
          </w:p>
        </w:tc>
        <w:tc>
          <w:tcPr>
            <w:tcW w:w="2196" w:type="dxa"/>
            <w:shd w:val="clear" w:color="auto" w:fill="F2F2F2" w:themeFill="background1" w:themeFillShade="F2"/>
          </w:tcPr>
          <w:p w14:paraId="298E1B56" w14:textId="77777777" w:rsidR="004D13E5" w:rsidRPr="00AF1059" w:rsidRDefault="004D13E5" w:rsidP="0060768A">
            <w:pPr>
              <w:jc w:val="center"/>
              <w:rPr>
                <w:b/>
                <w:bCs/>
              </w:rPr>
            </w:pPr>
          </w:p>
        </w:tc>
        <w:tc>
          <w:tcPr>
            <w:tcW w:w="2324" w:type="dxa"/>
            <w:shd w:val="clear" w:color="auto" w:fill="F2F2F2" w:themeFill="background1" w:themeFillShade="F2"/>
          </w:tcPr>
          <w:p w14:paraId="4BBB76A7" w14:textId="77777777" w:rsidR="004D13E5" w:rsidRPr="00AF1059" w:rsidRDefault="004D13E5" w:rsidP="0060768A">
            <w:pPr>
              <w:jc w:val="center"/>
              <w:rPr>
                <w:b/>
                <w:bCs/>
              </w:rPr>
            </w:pPr>
          </w:p>
        </w:tc>
        <w:tc>
          <w:tcPr>
            <w:tcW w:w="2425" w:type="dxa"/>
            <w:shd w:val="clear" w:color="auto" w:fill="F2F2F2" w:themeFill="background1" w:themeFillShade="F2"/>
          </w:tcPr>
          <w:p w14:paraId="71C3B849" w14:textId="77777777" w:rsidR="004D13E5" w:rsidRPr="00AF1059" w:rsidRDefault="004D13E5" w:rsidP="0060768A">
            <w:pPr>
              <w:jc w:val="center"/>
              <w:rPr>
                <w:b/>
                <w:bCs/>
              </w:rPr>
            </w:pPr>
          </w:p>
        </w:tc>
      </w:tr>
      <w:tr w:rsidR="004D13E5" w:rsidRPr="00AF1059" w14:paraId="06771DB2" w14:textId="77777777" w:rsidTr="0060768A">
        <w:tc>
          <w:tcPr>
            <w:tcW w:w="2405" w:type="dxa"/>
            <w:shd w:val="clear" w:color="auto" w:fill="000000" w:themeFill="text1"/>
          </w:tcPr>
          <w:p w14:paraId="1854C619" w14:textId="77777777" w:rsidR="004D13E5" w:rsidRPr="00AF1059" w:rsidRDefault="004D13E5" w:rsidP="0060768A">
            <w:pPr>
              <w:rPr>
                <w:b/>
                <w:bCs/>
              </w:rPr>
            </w:pPr>
            <w:r>
              <w:rPr>
                <w:b/>
                <w:bCs/>
              </w:rPr>
              <w:t>Actual Tax Due</w:t>
            </w:r>
          </w:p>
        </w:tc>
        <w:tc>
          <w:tcPr>
            <w:tcW w:w="2196" w:type="dxa"/>
            <w:shd w:val="clear" w:color="auto" w:fill="000000" w:themeFill="text1"/>
          </w:tcPr>
          <w:p w14:paraId="07406342" w14:textId="77777777" w:rsidR="004D13E5" w:rsidRPr="00AF1059" w:rsidRDefault="004D13E5" w:rsidP="0060768A">
            <w:pPr>
              <w:jc w:val="center"/>
              <w:rPr>
                <w:b/>
                <w:bCs/>
              </w:rPr>
            </w:pPr>
          </w:p>
        </w:tc>
        <w:tc>
          <w:tcPr>
            <w:tcW w:w="2324" w:type="dxa"/>
            <w:shd w:val="clear" w:color="auto" w:fill="000000" w:themeFill="text1"/>
          </w:tcPr>
          <w:p w14:paraId="4C2C9AF7" w14:textId="77777777" w:rsidR="004D13E5" w:rsidRPr="00AF1059" w:rsidRDefault="004D13E5" w:rsidP="0060768A">
            <w:pPr>
              <w:jc w:val="center"/>
              <w:rPr>
                <w:b/>
                <w:bCs/>
              </w:rPr>
            </w:pPr>
          </w:p>
        </w:tc>
        <w:tc>
          <w:tcPr>
            <w:tcW w:w="2425" w:type="dxa"/>
            <w:shd w:val="clear" w:color="auto" w:fill="000000" w:themeFill="text1"/>
          </w:tcPr>
          <w:p w14:paraId="6641D437" w14:textId="77777777" w:rsidR="004D13E5" w:rsidRPr="00AF1059" w:rsidRDefault="004D13E5" w:rsidP="0060768A">
            <w:pPr>
              <w:jc w:val="center"/>
              <w:rPr>
                <w:b/>
                <w:bCs/>
              </w:rPr>
            </w:pPr>
          </w:p>
        </w:tc>
      </w:tr>
    </w:tbl>
    <w:p w14:paraId="0F265CDB" w14:textId="77777777" w:rsidR="004D13E5" w:rsidRDefault="004D13E5" w:rsidP="00E96C2A"/>
    <w:p w14:paraId="27F46E0B" w14:textId="6966FCD9" w:rsidR="00AC3A8E" w:rsidRDefault="002428E3" w:rsidP="00E96C2A">
      <w:r>
        <w:t>£</w:t>
      </w:r>
      <w:r w:rsidR="00840AE7">
        <w:t>2,000 tax on slice - £2,000 onshore tax credit = £0</w:t>
      </w:r>
    </w:p>
    <w:p w14:paraId="2EFF1096" w14:textId="51C9750A" w:rsidR="00840AE7" w:rsidRDefault="00840AE7" w:rsidP="00E96C2A">
      <w:r>
        <w:t>£0 x 5 years = £0</w:t>
      </w:r>
    </w:p>
    <w:p w14:paraId="389BD1B5" w14:textId="1DC1406D" w:rsidR="00840AE7" w:rsidRDefault="002624F4" w:rsidP="00E96C2A">
      <w:r>
        <w:t>B = £0</w:t>
      </w:r>
    </w:p>
    <w:p w14:paraId="19D15FC8" w14:textId="10542864" w:rsidR="002624F4" w:rsidRDefault="002624F4" w:rsidP="00E96C2A"/>
    <w:p w14:paraId="34D68504" w14:textId="328E8354" w:rsidR="002624F4" w:rsidRPr="00E83684" w:rsidRDefault="002624F4" w:rsidP="002624F4">
      <w:pPr>
        <w:pBdr>
          <w:top w:val="single" w:sz="4" w:space="1" w:color="auto"/>
          <w:left w:val="single" w:sz="4" w:space="4" w:color="auto"/>
          <w:bottom w:val="single" w:sz="4" w:space="1" w:color="auto"/>
          <w:right w:val="single" w:sz="4" w:space="4" w:color="auto"/>
        </w:pBdr>
        <w:jc w:val="center"/>
        <w:rPr>
          <w:b/>
          <w:bCs/>
        </w:rPr>
      </w:pPr>
      <w:r w:rsidRPr="00E83684">
        <w:rPr>
          <w:b/>
          <w:bCs/>
        </w:rPr>
        <w:lastRenderedPageBreak/>
        <w:t xml:space="preserve">TSR = </w:t>
      </w:r>
      <w:r>
        <w:rPr>
          <w:b/>
          <w:bCs/>
        </w:rPr>
        <w:t>£8,000</w:t>
      </w:r>
      <w:r w:rsidRPr="00E83684">
        <w:rPr>
          <w:b/>
          <w:bCs/>
        </w:rPr>
        <w:t xml:space="preserve"> – </w:t>
      </w:r>
      <w:r>
        <w:rPr>
          <w:b/>
          <w:bCs/>
        </w:rPr>
        <w:t>£0 = £8,000</w:t>
      </w:r>
    </w:p>
    <w:p w14:paraId="079E48AB" w14:textId="015219DB" w:rsidR="002624F4" w:rsidRDefault="002624F4" w:rsidP="00E96C2A"/>
    <w:p w14:paraId="45B68D26" w14:textId="341F2AE1" w:rsidR="000A7149" w:rsidRPr="000A7149" w:rsidRDefault="000A7149" w:rsidP="00E96C2A">
      <w:pPr>
        <w:rPr>
          <w:b/>
          <w:bCs/>
        </w:rPr>
      </w:pPr>
      <w:r w:rsidRPr="000A7149">
        <w:rPr>
          <w:b/>
          <w:bCs/>
        </w:rPr>
        <w:t>As you can see from the top table, we had £18,000 of tax to pay on the bond. However, this has been completely wiped out by the combined onshore tax credit and TSR</w:t>
      </w:r>
      <w:r w:rsidR="009F017D">
        <w:rPr>
          <w:b/>
          <w:bCs/>
        </w:rPr>
        <w:t>, to the penny!</w:t>
      </w:r>
    </w:p>
    <w:p w14:paraId="5B467B63" w14:textId="0EEF53C0" w:rsidR="00420C68" w:rsidRDefault="00420C68" w:rsidP="00E96C2A"/>
    <w:p w14:paraId="0E6CA134" w14:textId="41EFB182" w:rsidR="00420C68" w:rsidRDefault="00420C68" w:rsidP="00420C68">
      <w:pPr>
        <w:pStyle w:val="Heading3"/>
      </w:pPr>
      <w:bookmarkStart w:id="14" w:name="_Toc187422038"/>
      <w:r>
        <w:t>Offshore Bonds</w:t>
      </w:r>
      <w:bookmarkEnd w:id="14"/>
    </w:p>
    <w:p w14:paraId="2379A98F" w14:textId="0D6AAAEB" w:rsidR="00420C68" w:rsidRDefault="00420C68" w:rsidP="00420C68"/>
    <w:p w14:paraId="502BB64A" w14:textId="0FE13DA3" w:rsidR="00420C68" w:rsidRDefault="002766C5" w:rsidP="00420C68">
      <w:r>
        <w:t xml:space="preserve">If this was an offshore </w:t>
      </w:r>
      <w:r w:rsidR="008B11AC">
        <w:t xml:space="preserve">bond </w:t>
      </w:r>
      <w:r>
        <w:t xml:space="preserve">calculation, the only thing that would change is the </w:t>
      </w:r>
      <w:r w:rsidR="00B763EC">
        <w:t xml:space="preserve">availability of the </w:t>
      </w:r>
      <w:r w:rsidR="00EF2861">
        <w:t xml:space="preserve">onshore tax credit, so the </w:t>
      </w:r>
      <w:r w:rsidR="00365B6F">
        <w:t>Actual T</w:t>
      </w:r>
      <w:r w:rsidR="00EF2861">
        <w:t>ax</w:t>
      </w:r>
      <w:r w:rsidR="00365B6F">
        <w:t xml:space="preserve"> Due</w:t>
      </w:r>
      <w:r w:rsidR="00EF2861">
        <w:t xml:space="preserve"> would be £</w:t>
      </w:r>
      <w:r w:rsidR="00365B6F" w:rsidRPr="00365B6F">
        <w:t>21,440</w:t>
      </w:r>
      <w:r w:rsidR="00365B6F">
        <w:t>.</w:t>
      </w:r>
      <w:r w:rsidR="00156AA2">
        <w:t xml:space="preserve"> However, the top-slicing amount wouldn’t change</w:t>
      </w:r>
      <w:r w:rsidR="00111F02">
        <w:t xml:space="preserve"> – it’s still calculated in </w:t>
      </w:r>
      <w:proofErr w:type="gramStart"/>
      <w:r w:rsidR="00111F02">
        <w:t>exactly the same</w:t>
      </w:r>
      <w:proofErr w:type="gramEnd"/>
      <w:r w:rsidR="00111F02">
        <w:t xml:space="preserve"> way. However, note that a ‘theoretical’ 20% onshore tax credit is used in the top-slicing calculation (because we need to deduct it from </w:t>
      </w:r>
      <w:r w:rsidR="00FE4C6B">
        <w:t>‘</w:t>
      </w:r>
      <w:r w:rsidR="00111F02">
        <w:t>A</w:t>
      </w:r>
      <w:r w:rsidR="00FE4C6B">
        <w:t>’</w:t>
      </w:r>
      <w:r w:rsidR="00111F02">
        <w:t xml:space="preserve"> and the first part of ‘B’</w:t>
      </w:r>
      <w:r w:rsidR="00FE4C6B">
        <w:t>).</w:t>
      </w:r>
    </w:p>
    <w:p w14:paraId="20E15782" w14:textId="7FE6D384" w:rsidR="00F77ABE" w:rsidRDefault="00F77ABE" w:rsidP="00420C68"/>
    <w:tbl>
      <w:tblPr>
        <w:tblStyle w:val="TableGrid"/>
        <w:tblW w:w="0" w:type="auto"/>
        <w:tblLook w:val="04A0" w:firstRow="1" w:lastRow="0" w:firstColumn="1" w:lastColumn="0" w:noHBand="0" w:noVBand="1"/>
      </w:tblPr>
      <w:tblGrid>
        <w:gridCol w:w="2405"/>
        <w:gridCol w:w="2196"/>
        <w:gridCol w:w="2324"/>
        <w:gridCol w:w="2425"/>
      </w:tblGrid>
      <w:tr w:rsidR="00F77ABE" w:rsidRPr="00E871BE" w14:paraId="11D25147" w14:textId="77777777" w:rsidTr="0060768A">
        <w:tc>
          <w:tcPr>
            <w:tcW w:w="2405" w:type="dxa"/>
          </w:tcPr>
          <w:p w14:paraId="1A9D0045" w14:textId="77777777" w:rsidR="00F77ABE" w:rsidRPr="00E871BE" w:rsidRDefault="00F77ABE" w:rsidP="0060768A">
            <w:pPr>
              <w:rPr>
                <w:b/>
                <w:bCs/>
              </w:rPr>
            </w:pPr>
            <w:r w:rsidRPr="00E871BE">
              <w:rPr>
                <w:b/>
                <w:bCs/>
              </w:rPr>
              <w:t>Income Source</w:t>
            </w:r>
          </w:p>
        </w:tc>
        <w:tc>
          <w:tcPr>
            <w:tcW w:w="2196" w:type="dxa"/>
          </w:tcPr>
          <w:p w14:paraId="142019AE" w14:textId="77777777" w:rsidR="00F77ABE" w:rsidRPr="00E871BE" w:rsidRDefault="00F77ABE" w:rsidP="0060768A">
            <w:pPr>
              <w:jc w:val="center"/>
              <w:rPr>
                <w:b/>
                <w:bCs/>
              </w:rPr>
            </w:pPr>
            <w:r w:rsidRPr="00E871BE">
              <w:rPr>
                <w:b/>
                <w:bCs/>
              </w:rPr>
              <w:t>Amount</w:t>
            </w:r>
          </w:p>
        </w:tc>
        <w:tc>
          <w:tcPr>
            <w:tcW w:w="2324" w:type="dxa"/>
          </w:tcPr>
          <w:p w14:paraId="2E85EE0C" w14:textId="77777777" w:rsidR="00F77ABE" w:rsidRPr="00E871BE" w:rsidRDefault="00F77ABE" w:rsidP="0060768A">
            <w:pPr>
              <w:jc w:val="center"/>
              <w:rPr>
                <w:b/>
                <w:bCs/>
              </w:rPr>
            </w:pPr>
            <w:r w:rsidRPr="00E871BE">
              <w:rPr>
                <w:b/>
                <w:bCs/>
              </w:rPr>
              <w:t>Tax Rate</w:t>
            </w:r>
          </w:p>
        </w:tc>
        <w:tc>
          <w:tcPr>
            <w:tcW w:w="2425" w:type="dxa"/>
          </w:tcPr>
          <w:p w14:paraId="630A00EC" w14:textId="77777777" w:rsidR="00F77ABE" w:rsidRPr="00E871BE" w:rsidRDefault="00F77ABE" w:rsidP="0060768A">
            <w:pPr>
              <w:jc w:val="center"/>
              <w:rPr>
                <w:b/>
                <w:bCs/>
              </w:rPr>
            </w:pPr>
            <w:r w:rsidRPr="00E871BE">
              <w:rPr>
                <w:b/>
                <w:bCs/>
              </w:rPr>
              <w:t>Amount of Tax</w:t>
            </w:r>
          </w:p>
        </w:tc>
      </w:tr>
      <w:tr w:rsidR="00F77ABE" w14:paraId="57B70101" w14:textId="77777777" w:rsidTr="0060768A">
        <w:tc>
          <w:tcPr>
            <w:tcW w:w="2405" w:type="dxa"/>
            <w:shd w:val="clear" w:color="auto" w:fill="BFBFBF" w:themeFill="background1" w:themeFillShade="BF"/>
          </w:tcPr>
          <w:p w14:paraId="4C84C7B7" w14:textId="77777777" w:rsidR="00F77ABE" w:rsidRDefault="00F77ABE" w:rsidP="0060768A">
            <w:r>
              <w:t>Salary</w:t>
            </w:r>
          </w:p>
        </w:tc>
        <w:tc>
          <w:tcPr>
            <w:tcW w:w="2196" w:type="dxa"/>
            <w:shd w:val="clear" w:color="auto" w:fill="BFBFBF" w:themeFill="background1" w:themeFillShade="BF"/>
          </w:tcPr>
          <w:p w14:paraId="1CEE96CB" w14:textId="77777777" w:rsidR="00F77ABE" w:rsidRDefault="00F77ABE" w:rsidP="0060768A">
            <w:pPr>
              <w:jc w:val="center"/>
            </w:pPr>
            <w:r>
              <w:t>£12,570</w:t>
            </w:r>
          </w:p>
        </w:tc>
        <w:tc>
          <w:tcPr>
            <w:tcW w:w="2324" w:type="dxa"/>
            <w:shd w:val="clear" w:color="auto" w:fill="BFBFBF" w:themeFill="background1" w:themeFillShade="BF"/>
          </w:tcPr>
          <w:p w14:paraId="081B9F06" w14:textId="77777777" w:rsidR="00F77ABE" w:rsidRDefault="00F77ABE" w:rsidP="0060768A">
            <w:pPr>
              <w:jc w:val="center"/>
            </w:pPr>
            <w:r>
              <w:t>0% Personal Allowance</w:t>
            </w:r>
          </w:p>
        </w:tc>
        <w:tc>
          <w:tcPr>
            <w:tcW w:w="2425" w:type="dxa"/>
            <w:shd w:val="clear" w:color="auto" w:fill="BFBFBF" w:themeFill="background1" w:themeFillShade="BF"/>
          </w:tcPr>
          <w:p w14:paraId="26B06247" w14:textId="77777777" w:rsidR="00F77ABE" w:rsidRDefault="00F77ABE" w:rsidP="0060768A">
            <w:pPr>
              <w:jc w:val="center"/>
            </w:pPr>
            <w:r>
              <w:t>£0</w:t>
            </w:r>
          </w:p>
        </w:tc>
      </w:tr>
      <w:tr w:rsidR="00F77ABE" w14:paraId="50B0E03C" w14:textId="77777777" w:rsidTr="0060768A">
        <w:tc>
          <w:tcPr>
            <w:tcW w:w="2405" w:type="dxa"/>
            <w:shd w:val="clear" w:color="auto" w:fill="BFBFBF" w:themeFill="background1" w:themeFillShade="BF"/>
          </w:tcPr>
          <w:p w14:paraId="22AE5A95" w14:textId="77777777" w:rsidR="00F77ABE" w:rsidRDefault="00F77ABE" w:rsidP="0060768A"/>
        </w:tc>
        <w:tc>
          <w:tcPr>
            <w:tcW w:w="2196" w:type="dxa"/>
            <w:shd w:val="clear" w:color="auto" w:fill="BFBFBF" w:themeFill="background1" w:themeFillShade="BF"/>
          </w:tcPr>
          <w:p w14:paraId="15D5CA17" w14:textId="77777777" w:rsidR="00F77ABE" w:rsidRDefault="00F77ABE" w:rsidP="0060768A">
            <w:pPr>
              <w:jc w:val="center"/>
            </w:pPr>
            <w:r>
              <w:t>£</w:t>
            </w:r>
            <w:r w:rsidRPr="004B099E">
              <w:t>32,200</w:t>
            </w:r>
          </w:p>
        </w:tc>
        <w:tc>
          <w:tcPr>
            <w:tcW w:w="2324" w:type="dxa"/>
            <w:shd w:val="clear" w:color="auto" w:fill="BFBFBF" w:themeFill="background1" w:themeFillShade="BF"/>
          </w:tcPr>
          <w:p w14:paraId="45B6A487" w14:textId="77777777" w:rsidR="00F77ABE" w:rsidRDefault="00F77ABE" w:rsidP="0060768A">
            <w:pPr>
              <w:jc w:val="center"/>
            </w:pPr>
            <w:r>
              <w:t>20%</w:t>
            </w:r>
          </w:p>
        </w:tc>
        <w:tc>
          <w:tcPr>
            <w:tcW w:w="2425" w:type="dxa"/>
            <w:shd w:val="clear" w:color="auto" w:fill="BFBFBF" w:themeFill="background1" w:themeFillShade="BF"/>
          </w:tcPr>
          <w:p w14:paraId="0AD2B686" w14:textId="77777777" w:rsidR="00F77ABE" w:rsidRDefault="00F77ABE" w:rsidP="0060768A">
            <w:pPr>
              <w:jc w:val="center"/>
            </w:pPr>
            <w:r>
              <w:t>£</w:t>
            </w:r>
            <w:r w:rsidRPr="00E871BE">
              <w:t>6,440</w:t>
            </w:r>
          </w:p>
        </w:tc>
      </w:tr>
      <w:tr w:rsidR="00F77ABE" w14:paraId="39C7C26E" w14:textId="77777777" w:rsidTr="0060768A">
        <w:tc>
          <w:tcPr>
            <w:tcW w:w="2405" w:type="dxa"/>
            <w:shd w:val="clear" w:color="auto" w:fill="BFBFBF" w:themeFill="background1" w:themeFillShade="BF"/>
          </w:tcPr>
          <w:p w14:paraId="2C97486C" w14:textId="77777777" w:rsidR="00F77ABE" w:rsidRDefault="00F77ABE" w:rsidP="0060768A"/>
        </w:tc>
        <w:tc>
          <w:tcPr>
            <w:tcW w:w="2196" w:type="dxa"/>
            <w:shd w:val="clear" w:color="auto" w:fill="BFBFBF" w:themeFill="background1" w:themeFillShade="BF"/>
          </w:tcPr>
          <w:p w14:paraId="42C21CEB" w14:textId="77777777" w:rsidR="00F77ABE" w:rsidRDefault="00F77ABE" w:rsidP="0060768A">
            <w:pPr>
              <w:jc w:val="center"/>
            </w:pPr>
            <w:r>
              <w:t>£0</w:t>
            </w:r>
          </w:p>
        </w:tc>
        <w:tc>
          <w:tcPr>
            <w:tcW w:w="2324" w:type="dxa"/>
            <w:shd w:val="clear" w:color="auto" w:fill="BFBFBF" w:themeFill="background1" w:themeFillShade="BF"/>
          </w:tcPr>
          <w:p w14:paraId="2BDC3A5D" w14:textId="77777777" w:rsidR="00F77ABE" w:rsidRDefault="00F77ABE" w:rsidP="0060768A">
            <w:pPr>
              <w:jc w:val="center"/>
            </w:pPr>
            <w:r>
              <w:t>40%</w:t>
            </w:r>
          </w:p>
        </w:tc>
        <w:tc>
          <w:tcPr>
            <w:tcW w:w="2425" w:type="dxa"/>
            <w:shd w:val="clear" w:color="auto" w:fill="BFBFBF" w:themeFill="background1" w:themeFillShade="BF"/>
          </w:tcPr>
          <w:p w14:paraId="3AB7D734" w14:textId="77777777" w:rsidR="00F77ABE" w:rsidRDefault="00F77ABE" w:rsidP="0060768A">
            <w:pPr>
              <w:jc w:val="center"/>
            </w:pPr>
            <w:r>
              <w:t>£0</w:t>
            </w:r>
          </w:p>
        </w:tc>
      </w:tr>
      <w:tr w:rsidR="00F77ABE" w14:paraId="069131C3" w14:textId="77777777" w:rsidTr="0060768A">
        <w:tc>
          <w:tcPr>
            <w:tcW w:w="2405" w:type="dxa"/>
            <w:shd w:val="clear" w:color="auto" w:fill="BFBFBF" w:themeFill="background1" w:themeFillShade="BF"/>
          </w:tcPr>
          <w:p w14:paraId="3F7AB5F3" w14:textId="77777777" w:rsidR="00F77ABE" w:rsidRDefault="00F77ABE" w:rsidP="0060768A"/>
        </w:tc>
        <w:tc>
          <w:tcPr>
            <w:tcW w:w="2196" w:type="dxa"/>
            <w:shd w:val="clear" w:color="auto" w:fill="BFBFBF" w:themeFill="background1" w:themeFillShade="BF"/>
          </w:tcPr>
          <w:p w14:paraId="61A309C3" w14:textId="77777777" w:rsidR="00F77ABE" w:rsidRDefault="00F77ABE" w:rsidP="0060768A">
            <w:pPr>
              <w:jc w:val="center"/>
            </w:pPr>
            <w:r>
              <w:t>£0</w:t>
            </w:r>
          </w:p>
        </w:tc>
        <w:tc>
          <w:tcPr>
            <w:tcW w:w="2324" w:type="dxa"/>
            <w:shd w:val="clear" w:color="auto" w:fill="BFBFBF" w:themeFill="background1" w:themeFillShade="BF"/>
          </w:tcPr>
          <w:p w14:paraId="46BA598D" w14:textId="77777777" w:rsidR="00F77ABE" w:rsidRDefault="00F77ABE" w:rsidP="0060768A">
            <w:pPr>
              <w:jc w:val="center"/>
            </w:pPr>
            <w:r>
              <w:t>45%</w:t>
            </w:r>
          </w:p>
        </w:tc>
        <w:tc>
          <w:tcPr>
            <w:tcW w:w="2425" w:type="dxa"/>
            <w:shd w:val="clear" w:color="auto" w:fill="BFBFBF" w:themeFill="background1" w:themeFillShade="BF"/>
          </w:tcPr>
          <w:p w14:paraId="760A5CA6" w14:textId="77777777" w:rsidR="00F77ABE" w:rsidRDefault="00F77ABE" w:rsidP="0060768A">
            <w:pPr>
              <w:jc w:val="center"/>
            </w:pPr>
            <w:r>
              <w:t>£0</w:t>
            </w:r>
          </w:p>
        </w:tc>
      </w:tr>
      <w:tr w:rsidR="00F77ABE" w14:paraId="3F11A27F" w14:textId="77777777" w:rsidTr="0060768A">
        <w:tc>
          <w:tcPr>
            <w:tcW w:w="2405" w:type="dxa"/>
            <w:shd w:val="clear" w:color="auto" w:fill="F2F2F2" w:themeFill="background1" w:themeFillShade="F2"/>
          </w:tcPr>
          <w:p w14:paraId="0B2EB739" w14:textId="77777777" w:rsidR="00F77ABE" w:rsidRDefault="00F77ABE" w:rsidP="0060768A">
            <w:r>
              <w:t>Savings Income</w:t>
            </w:r>
          </w:p>
        </w:tc>
        <w:tc>
          <w:tcPr>
            <w:tcW w:w="2196" w:type="dxa"/>
            <w:shd w:val="clear" w:color="auto" w:fill="F2F2F2" w:themeFill="background1" w:themeFillShade="F2"/>
          </w:tcPr>
          <w:p w14:paraId="1A37ADB9" w14:textId="77777777" w:rsidR="00F77ABE" w:rsidRDefault="00F77ABE" w:rsidP="0060768A">
            <w:pPr>
              <w:jc w:val="center"/>
            </w:pPr>
            <w:r>
              <w:t>£500</w:t>
            </w:r>
          </w:p>
        </w:tc>
        <w:tc>
          <w:tcPr>
            <w:tcW w:w="2324" w:type="dxa"/>
            <w:shd w:val="clear" w:color="auto" w:fill="F2F2F2" w:themeFill="background1" w:themeFillShade="F2"/>
          </w:tcPr>
          <w:p w14:paraId="65104588" w14:textId="77777777" w:rsidR="00F77ABE" w:rsidRDefault="00F77ABE" w:rsidP="0060768A">
            <w:pPr>
              <w:jc w:val="center"/>
            </w:pPr>
            <w:r>
              <w:t>0% PSA</w:t>
            </w:r>
          </w:p>
        </w:tc>
        <w:tc>
          <w:tcPr>
            <w:tcW w:w="2425" w:type="dxa"/>
            <w:shd w:val="clear" w:color="auto" w:fill="F2F2F2" w:themeFill="background1" w:themeFillShade="F2"/>
          </w:tcPr>
          <w:p w14:paraId="3C485C81" w14:textId="77777777" w:rsidR="00F77ABE" w:rsidRDefault="00F77ABE" w:rsidP="0060768A">
            <w:pPr>
              <w:jc w:val="center"/>
            </w:pPr>
            <w:r>
              <w:t>£0</w:t>
            </w:r>
          </w:p>
        </w:tc>
      </w:tr>
      <w:tr w:rsidR="00F77ABE" w14:paraId="72278BEA" w14:textId="77777777" w:rsidTr="0060768A">
        <w:tc>
          <w:tcPr>
            <w:tcW w:w="2405" w:type="dxa"/>
            <w:shd w:val="clear" w:color="auto" w:fill="F2F2F2" w:themeFill="background1" w:themeFillShade="F2"/>
          </w:tcPr>
          <w:p w14:paraId="2293AF9D" w14:textId="77777777" w:rsidR="00F77ABE" w:rsidRDefault="00F77ABE" w:rsidP="0060768A"/>
        </w:tc>
        <w:tc>
          <w:tcPr>
            <w:tcW w:w="2196" w:type="dxa"/>
            <w:shd w:val="clear" w:color="auto" w:fill="F2F2F2" w:themeFill="background1" w:themeFillShade="F2"/>
          </w:tcPr>
          <w:p w14:paraId="16C4ECD5" w14:textId="160E6814" w:rsidR="00F77ABE" w:rsidRDefault="00F77ABE" w:rsidP="0060768A">
            <w:pPr>
              <w:jc w:val="center"/>
            </w:pPr>
            <w:r>
              <w:t>£</w:t>
            </w:r>
            <w:r w:rsidR="0035628C">
              <w:t>5,000</w:t>
            </w:r>
          </w:p>
        </w:tc>
        <w:tc>
          <w:tcPr>
            <w:tcW w:w="2324" w:type="dxa"/>
            <w:shd w:val="clear" w:color="auto" w:fill="F2F2F2" w:themeFill="background1" w:themeFillShade="F2"/>
          </w:tcPr>
          <w:p w14:paraId="1BBE7635" w14:textId="77777777" w:rsidR="00F77ABE" w:rsidRDefault="00F77ABE" w:rsidP="0060768A">
            <w:pPr>
              <w:jc w:val="center"/>
            </w:pPr>
            <w:r>
              <w:t>20%</w:t>
            </w:r>
          </w:p>
        </w:tc>
        <w:tc>
          <w:tcPr>
            <w:tcW w:w="2425" w:type="dxa"/>
            <w:shd w:val="clear" w:color="auto" w:fill="F2F2F2" w:themeFill="background1" w:themeFillShade="F2"/>
          </w:tcPr>
          <w:p w14:paraId="74C98606" w14:textId="07CC64AB" w:rsidR="00F77ABE" w:rsidRDefault="00F77ABE" w:rsidP="0060768A">
            <w:pPr>
              <w:jc w:val="center"/>
            </w:pPr>
            <w:r>
              <w:t>£</w:t>
            </w:r>
            <w:r w:rsidR="0035628C">
              <w:t>1,000</w:t>
            </w:r>
          </w:p>
        </w:tc>
      </w:tr>
      <w:tr w:rsidR="00F77ABE" w14:paraId="63452C22" w14:textId="77777777" w:rsidTr="0060768A">
        <w:tc>
          <w:tcPr>
            <w:tcW w:w="2405" w:type="dxa"/>
            <w:shd w:val="clear" w:color="auto" w:fill="F2F2F2" w:themeFill="background1" w:themeFillShade="F2"/>
          </w:tcPr>
          <w:p w14:paraId="722F7409" w14:textId="77777777" w:rsidR="00F77ABE" w:rsidRDefault="00F77ABE" w:rsidP="0060768A"/>
        </w:tc>
        <w:tc>
          <w:tcPr>
            <w:tcW w:w="2196" w:type="dxa"/>
            <w:shd w:val="clear" w:color="auto" w:fill="F2F2F2" w:themeFill="background1" w:themeFillShade="F2"/>
          </w:tcPr>
          <w:p w14:paraId="218369FE" w14:textId="0D9636A1" w:rsidR="00F77ABE" w:rsidRDefault="00F77ABE" w:rsidP="0060768A">
            <w:pPr>
              <w:jc w:val="center"/>
            </w:pPr>
            <w:r>
              <w:t>£</w:t>
            </w:r>
            <w:r w:rsidR="0035628C">
              <w:t>45,000</w:t>
            </w:r>
          </w:p>
        </w:tc>
        <w:tc>
          <w:tcPr>
            <w:tcW w:w="2324" w:type="dxa"/>
            <w:shd w:val="clear" w:color="auto" w:fill="F2F2F2" w:themeFill="background1" w:themeFillShade="F2"/>
          </w:tcPr>
          <w:p w14:paraId="4985FE54" w14:textId="77777777" w:rsidR="00F77ABE" w:rsidRDefault="00F77ABE" w:rsidP="0060768A">
            <w:pPr>
              <w:jc w:val="center"/>
            </w:pPr>
            <w:r>
              <w:t>40%</w:t>
            </w:r>
          </w:p>
        </w:tc>
        <w:tc>
          <w:tcPr>
            <w:tcW w:w="2425" w:type="dxa"/>
            <w:shd w:val="clear" w:color="auto" w:fill="F2F2F2" w:themeFill="background1" w:themeFillShade="F2"/>
          </w:tcPr>
          <w:p w14:paraId="347ABA2D" w14:textId="01D35638" w:rsidR="00F77ABE" w:rsidRDefault="00F77ABE" w:rsidP="0060768A">
            <w:pPr>
              <w:jc w:val="center"/>
            </w:pPr>
            <w:r>
              <w:t>£</w:t>
            </w:r>
            <w:r w:rsidR="0035628C">
              <w:t>18,000</w:t>
            </w:r>
          </w:p>
        </w:tc>
      </w:tr>
      <w:tr w:rsidR="00F77ABE" w14:paraId="34AB58C6" w14:textId="77777777" w:rsidTr="0060768A">
        <w:tc>
          <w:tcPr>
            <w:tcW w:w="2405" w:type="dxa"/>
            <w:shd w:val="clear" w:color="auto" w:fill="F2F2F2" w:themeFill="background1" w:themeFillShade="F2"/>
          </w:tcPr>
          <w:p w14:paraId="6FBB01BF" w14:textId="77777777" w:rsidR="00F77ABE" w:rsidRDefault="00F77ABE" w:rsidP="0060768A"/>
        </w:tc>
        <w:tc>
          <w:tcPr>
            <w:tcW w:w="2196" w:type="dxa"/>
            <w:shd w:val="clear" w:color="auto" w:fill="F2F2F2" w:themeFill="background1" w:themeFillShade="F2"/>
          </w:tcPr>
          <w:p w14:paraId="743EDDB7" w14:textId="77777777" w:rsidR="00F77ABE" w:rsidRDefault="00F77ABE" w:rsidP="0060768A">
            <w:pPr>
              <w:jc w:val="center"/>
            </w:pPr>
            <w:r>
              <w:t>£0</w:t>
            </w:r>
          </w:p>
        </w:tc>
        <w:tc>
          <w:tcPr>
            <w:tcW w:w="2324" w:type="dxa"/>
            <w:shd w:val="clear" w:color="auto" w:fill="F2F2F2" w:themeFill="background1" w:themeFillShade="F2"/>
          </w:tcPr>
          <w:p w14:paraId="2ACCB3E3" w14:textId="77777777" w:rsidR="00F77ABE" w:rsidRDefault="00F77ABE" w:rsidP="0060768A">
            <w:pPr>
              <w:jc w:val="center"/>
            </w:pPr>
            <w:r>
              <w:t>45%</w:t>
            </w:r>
          </w:p>
        </w:tc>
        <w:tc>
          <w:tcPr>
            <w:tcW w:w="2425" w:type="dxa"/>
            <w:shd w:val="clear" w:color="auto" w:fill="F2F2F2" w:themeFill="background1" w:themeFillShade="F2"/>
          </w:tcPr>
          <w:p w14:paraId="0A1DCF6E" w14:textId="77777777" w:rsidR="00F77ABE" w:rsidRDefault="00F77ABE" w:rsidP="0060768A">
            <w:pPr>
              <w:jc w:val="center"/>
            </w:pPr>
            <w:r>
              <w:t>£0</w:t>
            </w:r>
          </w:p>
        </w:tc>
      </w:tr>
      <w:tr w:rsidR="00F77ABE" w:rsidRPr="00AF1059" w14:paraId="5776CFE0" w14:textId="77777777" w:rsidTr="0060768A">
        <w:tc>
          <w:tcPr>
            <w:tcW w:w="2405" w:type="dxa"/>
            <w:shd w:val="clear" w:color="auto" w:fill="000000" w:themeFill="text1"/>
          </w:tcPr>
          <w:p w14:paraId="272F8F34" w14:textId="77777777" w:rsidR="00F77ABE" w:rsidRPr="00AF1059" w:rsidRDefault="00F77ABE" w:rsidP="0060768A">
            <w:pPr>
              <w:rPr>
                <w:b/>
                <w:bCs/>
              </w:rPr>
            </w:pPr>
            <w:r w:rsidRPr="00AF1059">
              <w:rPr>
                <w:b/>
                <w:bCs/>
              </w:rPr>
              <w:t>Total</w:t>
            </w:r>
          </w:p>
        </w:tc>
        <w:tc>
          <w:tcPr>
            <w:tcW w:w="2196" w:type="dxa"/>
            <w:shd w:val="clear" w:color="auto" w:fill="000000" w:themeFill="text1"/>
          </w:tcPr>
          <w:p w14:paraId="66958811" w14:textId="77777777" w:rsidR="00F77ABE" w:rsidRPr="00AF1059" w:rsidRDefault="00F77ABE" w:rsidP="0060768A">
            <w:pPr>
              <w:jc w:val="center"/>
              <w:rPr>
                <w:b/>
                <w:bCs/>
              </w:rPr>
            </w:pPr>
            <w:r w:rsidRPr="00AF1059">
              <w:rPr>
                <w:b/>
                <w:bCs/>
              </w:rPr>
              <w:t>£95,270</w:t>
            </w:r>
          </w:p>
        </w:tc>
        <w:tc>
          <w:tcPr>
            <w:tcW w:w="2324" w:type="dxa"/>
            <w:shd w:val="clear" w:color="auto" w:fill="000000" w:themeFill="text1"/>
          </w:tcPr>
          <w:p w14:paraId="1191EDA3" w14:textId="77777777" w:rsidR="00F77ABE" w:rsidRPr="00AF1059" w:rsidRDefault="00F77ABE" w:rsidP="0060768A">
            <w:pPr>
              <w:jc w:val="center"/>
              <w:rPr>
                <w:b/>
                <w:bCs/>
              </w:rPr>
            </w:pPr>
          </w:p>
        </w:tc>
        <w:tc>
          <w:tcPr>
            <w:tcW w:w="2425" w:type="dxa"/>
            <w:shd w:val="clear" w:color="auto" w:fill="000000" w:themeFill="text1"/>
          </w:tcPr>
          <w:p w14:paraId="26564A8D" w14:textId="77777777" w:rsidR="00F77ABE" w:rsidRPr="00AF1059" w:rsidRDefault="00F77ABE" w:rsidP="0060768A">
            <w:pPr>
              <w:jc w:val="center"/>
              <w:rPr>
                <w:b/>
                <w:bCs/>
              </w:rPr>
            </w:pPr>
            <w:r w:rsidRPr="00AF1059">
              <w:rPr>
                <w:b/>
                <w:bCs/>
              </w:rPr>
              <w:t>£25,440</w:t>
            </w:r>
          </w:p>
        </w:tc>
      </w:tr>
      <w:tr w:rsidR="00F77ABE" w:rsidRPr="009A0175" w14:paraId="2B505D49" w14:textId="77777777" w:rsidTr="0060768A">
        <w:tc>
          <w:tcPr>
            <w:tcW w:w="2405" w:type="dxa"/>
            <w:shd w:val="clear" w:color="auto" w:fill="F2F2F2" w:themeFill="background1" w:themeFillShade="F2"/>
          </w:tcPr>
          <w:p w14:paraId="04119740" w14:textId="77777777" w:rsidR="00F77ABE" w:rsidRPr="008F0E1D" w:rsidRDefault="00F77ABE" w:rsidP="0060768A">
            <w:r w:rsidRPr="008F0E1D">
              <w:t>Onshore Tax Credit</w:t>
            </w:r>
          </w:p>
        </w:tc>
        <w:tc>
          <w:tcPr>
            <w:tcW w:w="2196" w:type="dxa"/>
            <w:shd w:val="clear" w:color="auto" w:fill="F2F2F2" w:themeFill="background1" w:themeFillShade="F2"/>
          </w:tcPr>
          <w:p w14:paraId="31E421AE" w14:textId="3AF0E9B7" w:rsidR="00F77ABE" w:rsidRPr="009A0175" w:rsidRDefault="00F77ABE" w:rsidP="0060768A">
            <w:pPr>
              <w:jc w:val="center"/>
            </w:pPr>
            <w:r w:rsidRPr="009A0175">
              <w:t>(£</w:t>
            </w:r>
            <w:r w:rsidR="0054286A">
              <w:t>50,00</w:t>
            </w:r>
            <w:r w:rsidRPr="009A0175">
              <w:t>0)</w:t>
            </w:r>
          </w:p>
        </w:tc>
        <w:tc>
          <w:tcPr>
            <w:tcW w:w="2324" w:type="dxa"/>
            <w:shd w:val="clear" w:color="auto" w:fill="F2F2F2" w:themeFill="background1" w:themeFillShade="F2"/>
          </w:tcPr>
          <w:p w14:paraId="17ECE93B" w14:textId="4A0AFEC6" w:rsidR="00F77ABE" w:rsidRPr="009A0175" w:rsidRDefault="00F77ABE" w:rsidP="0060768A">
            <w:pPr>
              <w:jc w:val="center"/>
            </w:pPr>
            <w:r w:rsidRPr="009A0175">
              <w:t>0%</w:t>
            </w:r>
          </w:p>
        </w:tc>
        <w:tc>
          <w:tcPr>
            <w:tcW w:w="2425" w:type="dxa"/>
            <w:shd w:val="clear" w:color="auto" w:fill="F2F2F2" w:themeFill="background1" w:themeFillShade="F2"/>
          </w:tcPr>
          <w:p w14:paraId="76BC27D0" w14:textId="04742116" w:rsidR="00F77ABE" w:rsidRPr="009A0175" w:rsidRDefault="00F77ABE" w:rsidP="0060768A">
            <w:pPr>
              <w:jc w:val="center"/>
            </w:pPr>
            <w:r w:rsidRPr="009A0175">
              <w:t>(£</w:t>
            </w:r>
            <w:r>
              <w:t>0</w:t>
            </w:r>
            <w:r w:rsidRPr="009A0175">
              <w:t>)</w:t>
            </w:r>
          </w:p>
        </w:tc>
      </w:tr>
      <w:tr w:rsidR="00F77ABE" w:rsidRPr="00746D6D" w14:paraId="5BAEA40E" w14:textId="77777777" w:rsidTr="0060768A">
        <w:tc>
          <w:tcPr>
            <w:tcW w:w="2405" w:type="dxa"/>
            <w:shd w:val="clear" w:color="auto" w:fill="F2F2F2" w:themeFill="background1" w:themeFillShade="F2"/>
          </w:tcPr>
          <w:p w14:paraId="451783C6" w14:textId="77777777" w:rsidR="00F77ABE" w:rsidRPr="00644F44" w:rsidRDefault="00F77ABE" w:rsidP="0060768A">
            <w:r w:rsidRPr="00644F44">
              <w:t>Top-Slicing Relief</w:t>
            </w:r>
          </w:p>
        </w:tc>
        <w:tc>
          <w:tcPr>
            <w:tcW w:w="2196" w:type="dxa"/>
            <w:shd w:val="clear" w:color="auto" w:fill="F2F2F2" w:themeFill="background1" w:themeFillShade="F2"/>
          </w:tcPr>
          <w:p w14:paraId="32271CFF" w14:textId="77777777" w:rsidR="00F77ABE" w:rsidRPr="00746D6D" w:rsidRDefault="00F77ABE" w:rsidP="0060768A">
            <w:pPr>
              <w:jc w:val="center"/>
            </w:pPr>
          </w:p>
        </w:tc>
        <w:tc>
          <w:tcPr>
            <w:tcW w:w="2324" w:type="dxa"/>
            <w:shd w:val="clear" w:color="auto" w:fill="F2F2F2" w:themeFill="background1" w:themeFillShade="F2"/>
          </w:tcPr>
          <w:p w14:paraId="219022DA" w14:textId="77777777" w:rsidR="00F77ABE" w:rsidRPr="00746D6D" w:rsidRDefault="00F77ABE" w:rsidP="0060768A">
            <w:pPr>
              <w:jc w:val="center"/>
            </w:pPr>
          </w:p>
        </w:tc>
        <w:tc>
          <w:tcPr>
            <w:tcW w:w="2425" w:type="dxa"/>
            <w:shd w:val="clear" w:color="auto" w:fill="F2F2F2" w:themeFill="background1" w:themeFillShade="F2"/>
          </w:tcPr>
          <w:p w14:paraId="3195D239" w14:textId="77777777" w:rsidR="00F77ABE" w:rsidRPr="00746D6D" w:rsidRDefault="00F77ABE" w:rsidP="0060768A">
            <w:pPr>
              <w:jc w:val="center"/>
            </w:pPr>
            <w:r>
              <w:t>(£4,000)</w:t>
            </w:r>
          </w:p>
        </w:tc>
      </w:tr>
      <w:tr w:rsidR="00F77ABE" w:rsidRPr="00AF1059" w14:paraId="1D7DC5B7" w14:textId="77777777" w:rsidTr="0060768A">
        <w:tc>
          <w:tcPr>
            <w:tcW w:w="2405" w:type="dxa"/>
            <w:shd w:val="clear" w:color="auto" w:fill="000000" w:themeFill="text1"/>
          </w:tcPr>
          <w:p w14:paraId="55D894A3" w14:textId="77777777" w:rsidR="00F77ABE" w:rsidRPr="00AF1059" w:rsidRDefault="00F77ABE" w:rsidP="0060768A">
            <w:pPr>
              <w:rPr>
                <w:b/>
                <w:bCs/>
              </w:rPr>
            </w:pPr>
            <w:r>
              <w:rPr>
                <w:b/>
                <w:bCs/>
              </w:rPr>
              <w:t>Actual Tax Due</w:t>
            </w:r>
          </w:p>
        </w:tc>
        <w:tc>
          <w:tcPr>
            <w:tcW w:w="2196" w:type="dxa"/>
            <w:shd w:val="clear" w:color="auto" w:fill="000000" w:themeFill="text1"/>
          </w:tcPr>
          <w:p w14:paraId="70CB0C1A" w14:textId="77777777" w:rsidR="00F77ABE" w:rsidRPr="00AF1059" w:rsidRDefault="00F77ABE" w:rsidP="0060768A">
            <w:pPr>
              <w:jc w:val="center"/>
              <w:rPr>
                <w:b/>
                <w:bCs/>
              </w:rPr>
            </w:pPr>
          </w:p>
        </w:tc>
        <w:tc>
          <w:tcPr>
            <w:tcW w:w="2324" w:type="dxa"/>
            <w:shd w:val="clear" w:color="auto" w:fill="000000" w:themeFill="text1"/>
          </w:tcPr>
          <w:p w14:paraId="389C27F3" w14:textId="77777777" w:rsidR="00F77ABE" w:rsidRPr="00AF1059" w:rsidRDefault="00F77ABE" w:rsidP="0060768A">
            <w:pPr>
              <w:jc w:val="center"/>
              <w:rPr>
                <w:b/>
                <w:bCs/>
              </w:rPr>
            </w:pPr>
          </w:p>
        </w:tc>
        <w:tc>
          <w:tcPr>
            <w:tcW w:w="2425" w:type="dxa"/>
            <w:shd w:val="clear" w:color="auto" w:fill="000000" w:themeFill="text1"/>
          </w:tcPr>
          <w:p w14:paraId="59B55B56" w14:textId="6C8F21A7" w:rsidR="00F77ABE" w:rsidRPr="00AF1059" w:rsidRDefault="00F77ABE" w:rsidP="0060768A">
            <w:pPr>
              <w:jc w:val="center"/>
              <w:rPr>
                <w:b/>
                <w:bCs/>
              </w:rPr>
            </w:pPr>
            <w:r>
              <w:rPr>
                <w:b/>
                <w:bCs/>
              </w:rPr>
              <w:t>£21,440</w:t>
            </w:r>
          </w:p>
        </w:tc>
      </w:tr>
    </w:tbl>
    <w:p w14:paraId="554D5F1F" w14:textId="77777777" w:rsidR="00F77ABE" w:rsidRDefault="00F77ABE" w:rsidP="00420C68"/>
    <w:p w14:paraId="05859D5F" w14:textId="0306EA27" w:rsidR="00365B6F" w:rsidRDefault="00365B6F" w:rsidP="00420C68">
      <w:r>
        <w:t xml:space="preserve">For more complex cases, particularly where dividends are involved, </w:t>
      </w:r>
      <w:r w:rsidR="00156AA2">
        <w:t>or where the client has low levels of non-savings income</w:t>
      </w:r>
      <w:r w:rsidR="00A879C3">
        <w:t xml:space="preserve"> and can </w:t>
      </w:r>
      <w:r w:rsidR="00DE7550">
        <w:t xml:space="preserve">therefore </w:t>
      </w:r>
      <w:r w:rsidR="00A879C3">
        <w:t xml:space="preserve">use their </w:t>
      </w:r>
      <w:r w:rsidR="00DE7550">
        <w:t>0% S</w:t>
      </w:r>
      <w:r w:rsidR="00A879C3">
        <w:t xml:space="preserve">tarting </w:t>
      </w:r>
      <w:r w:rsidR="00DE7550">
        <w:t>S</w:t>
      </w:r>
      <w:r w:rsidR="00A879C3">
        <w:t xml:space="preserve">avings </w:t>
      </w:r>
      <w:r w:rsidR="00DE7550">
        <w:t>R</w:t>
      </w:r>
      <w:r w:rsidR="00A879C3">
        <w:t>ate</w:t>
      </w:r>
      <w:r w:rsidR="00156AA2">
        <w:t xml:space="preserve">, </w:t>
      </w:r>
      <w:r w:rsidR="00813827">
        <w:t xml:space="preserve">offshore bond </w:t>
      </w:r>
      <w:r w:rsidR="00EB7BE0">
        <w:t>tax can be very different (i.e., it’s not just the availability of the onshore tax credit).</w:t>
      </w:r>
      <w:r w:rsidR="00813827">
        <w:t xml:space="preserve"> </w:t>
      </w:r>
      <w:r w:rsidR="00EB7BE0">
        <w:t xml:space="preserve">This is because </w:t>
      </w:r>
      <w:r w:rsidR="00293D76">
        <w:t>of the order of taxation.</w:t>
      </w:r>
    </w:p>
    <w:p w14:paraId="7E4012CD" w14:textId="7B1E4046" w:rsidR="00293D76" w:rsidRDefault="00293D76" w:rsidP="00420C68"/>
    <w:p w14:paraId="5294BCBB" w14:textId="77E1777C" w:rsidR="00293D76" w:rsidRDefault="00293D76" w:rsidP="00DE7550">
      <w:pPr>
        <w:pBdr>
          <w:top w:val="single" w:sz="4" w:space="1" w:color="auto"/>
          <w:left w:val="single" w:sz="4" w:space="4" w:color="auto"/>
          <w:bottom w:val="single" w:sz="4" w:space="1" w:color="auto"/>
          <w:right w:val="single" w:sz="4" w:space="4" w:color="auto"/>
        </w:pBdr>
        <w:rPr>
          <w:b/>
          <w:bCs/>
        </w:rPr>
      </w:pPr>
      <w:r w:rsidRPr="00DE7550">
        <w:rPr>
          <w:b/>
          <w:bCs/>
        </w:rPr>
        <w:t xml:space="preserve">Financial Advisers should be aware that </w:t>
      </w:r>
      <w:r w:rsidR="001830B1" w:rsidRPr="00DE7550">
        <w:rPr>
          <w:b/>
          <w:bCs/>
        </w:rPr>
        <w:t>non-savings income (salary, pension) is taxed first (as per our table). Then savings income. Then dividends.</w:t>
      </w:r>
      <w:r w:rsidR="0066440D" w:rsidRPr="00DE7550">
        <w:rPr>
          <w:b/>
          <w:bCs/>
        </w:rPr>
        <w:t xml:space="preserve"> Investment bonds fit into this order differently, depending on whether they’re UK or offshore. Offshore bond chargeable gains are taxed </w:t>
      </w:r>
      <w:r w:rsidR="00061CDC" w:rsidRPr="00DE7550">
        <w:rPr>
          <w:b/>
          <w:bCs/>
        </w:rPr>
        <w:t>as savings income (i.e., before dividends) whereas UK bond chargeable gains are taxed after dividends</w:t>
      </w:r>
      <w:r w:rsidR="006113F9" w:rsidRPr="00DE7550">
        <w:rPr>
          <w:b/>
          <w:bCs/>
        </w:rPr>
        <w:t>.</w:t>
      </w:r>
    </w:p>
    <w:p w14:paraId="1FB1BF8B" w14:textId="010DF5C4" w:rsidR="00DE7550" w:rsidRDefault="00DE7550" w:rsidP="00DE7550">
      <w:pPr>
        <w:pBdr>
          <w:top w:val="single" w:sz="4" w:space="1" w:color="auto"/>
          <w:left w:val="single" w:sz="4" w:space="4" w:color="auto"/>
          <w:bottom w:val="single" w:sz="4" w:space="1" w:color="auto"/>
          <w:right w:val="single" w:sz="4" w:space="4" w:color="auto"/>
        </w:pBdr>
        <w:rPr>
          <w:b/>
          <w:bCs/>
        </w:rPr>
      </w:pPr>
    </w:p>
    <w:p w14:paraId="0C6CB82B" w14:textId="6A44ACF0" w:rsidR="006C441A" w:rsidRPr="00DE7550" w:rsidRDefault="00DE7550" w:rsidP="00DE7550">
      <w:pPr>
        <w:pBdr>
          <w:top w:val="single" w:sz="4" w:space="1" w:color="auto"/>
          <w:left w:val="single" w:sz="4" w:space="4" w:color="auto"/>
          <w:bottom w:val="single" w:sz="4" w:space="1" w:color="auto"/>
          <w:right w:val="single" w:sz="4" w:space="4" w:color="auto"/>
        </w:pBdr>
        <w:rPr>
          <w:b/>
          <w:bCs/>
        </w:rPr>
      </w:pPr>
      <w:r>
        <w:rPr>
          <w:b/>
          <w:bCs/>
        </w:rPr>
        <w:t xml:space="preserve">UK bonds can still </w:t>
      </w:r>
      <w:r w:rsidR="00903B13">
        <w:rPr>
          <w:b/>
          <w:bCs/>
        </w:rPr>
        <w:t>use</w:t>
      </w:r>
      <w:r w:rsidR="00445445">
        <w:rPr>
          <w:b/>
          <w:bCs/>
        </w:rPr>
        <w:t xml:space="preserve"> the </w:t>
      </w:r>
      <w:r w:rsidR="000C7B0C">
        <w:rPr>
          <w:b/>
          <w:bCs/>
        </w:rPr>
        <w:t>P</w:t>
      </w:r>
      <w:r w:rsidR="00445445">
        <w:rPr>
          <w:b/>
          <w:bCs/>
        </w:rPr>
        <w:t>ersonal Savings Allowance</w:t>
      </w:r>
      <w:r w:rsidR="00903B13">
        <w:rPr>
          <w:b/>
          <w:bCs/>
        </w:rPr>
        <w:t xml:space="preserve"> to offset chargeable gains</w:t>
      </w:r>
      <w:r w:rsidR="000C7B0C">
        <w:rPr>
          <w:b/>
          <w:bCs/>
        </w:rPr>
        <w:t xml:space="preserve">. </w:t>
      </w:r>
      <w:r w:rsidR="00445445">
        <w:rPr>
          <w:b/>
          <w:bCs/>
        </w:rPr>
        <w:t>However, because of the availability of the Onshore Tax Credit</w:t>
      </w:r>
      <w:r w:rsidR="009F43DA">
        <w:rPr>
          <w:b/>
          <w:bCs/>
        </w:rPr>
        <w:t>, this will only be relevant where</w:t>
      </w:r>
      <w:r w:rsidR="00C01EDF">
        <w:rPr>
          <w:b/>
          <w:bCs/>
        </w:rPr>
        <w:t xml:space="preserve"> some Income Tax is payable. </w:t>
      </w:r>
      <w:r w:rsidR="00903B13">
        <w:rPr>
          <w:b/>
          <w:bCs/>
        </w:rPr>
        <w:t>If the client</w:t>
      </w:r>
      <w:r w:rsidR="0077179A">
        <w:rPr>
          <w:b/>
          <w:bCs/>
        </w:rPr>
        <w:t xml:space="preserve"> has some or all of their PSA available, when they complete their self-assessment to pay the Income Tax on their chargeable gain, </w:t>
      </w:r>
      <w:r w:rsidR="006C441A">
        <w:rPr>
          <w:b/>
          <w:bCs/>
        </w:rPr>
        <w:t>they could get a rebate of up to £100 (20% of the £500 PSA for higher-rate taxpayers).</w:t>
      </w:r>
    </w:p>
    <w:p w14:paraId="4D86A3D0" w14:textId="77777777" w:rsidR="00365B6F" w:rsidRPr="00420C68" w:rsidRDefault="00365B6F" w:rsidP="00420C68"/>
    <w:p w14:paraId="78DAB029" w14:textId="55E1A5CD" w:rsidR="00AC3A8E" w:rsidRDefault="00AC3A8E" w:rsidP="00AC3A8E">
      <w:pPr>
        <w:pStyle w:val="Heading2"/>
      </w:pPr>
      <w:bookmarkStart w:id="15" w:name="_Toc187422039"/>
      <w:r>
        <w:lastRenderedPageBreak/>
        <w:t>Income Tax Calculation – Higher Rate</w:t>
      </w:r>
      <w:bookmarkEnd w:id="15"/>
    </w:p>
    <w:p w14:paraId="4CA2A002" w14:textId="15E15435" w:rsidR="00AC3A8E" w:rsidRDefault="00AC3A8E" w:rsidP="00AC3A8E"/>
    <w:p w14:paraId="006822D1" w14:textId="262EC169" w:rsidR="00AC3A8E" w:rsidRDefault="009F017D" w:rsidP="00AC3A8E">
      <w:r>
        <w:t>For higher/additional rate top-slicing relief</w:t>
      </w:r>
      <w:r w:rsidR="007215F5">
        <w:t>, the process is virtually identical.</w:t>
      </w:r>
    </w:p>
    <w:p w14:paraId="6ABE8DF7" w14:textId="0608472A" w:rsidR="007215F5" w:rsidRDefault="007215F5" w:rsidP="00AC3A8E"/>
    <w:p w14:paraId="069EDC52" w14:textId="33608657" w:rsidR="0020074F" w:rsidRDefault="00266CFC" w:rsidP="00AC3A8E">
      <w:r>
        <w:t>Marcus</w:t>
      </w:r>
      <w:r w:rsidR="0020074F">
        <w:t xml:space="preserve"> has a salary of £</w:t>
      </w:r>
      <w:r w:rsidR="00F526FF">
        <w:t>99</w:t>
      </w:r>
      <w:r w:rsidR="0020074F">
        <w:t>,</w:t>
      </w:r>
      <w:r w:rsidR="00290A92">
        <w:t>500</w:t>
      </w:r>
      <w:r w:rsidR="0020074F">
        <w:t>, savings income from his cash savings account of £500, and a</w:t>
      </w:r>
      <w:r w:rsidR="00CC07E9">
        <w:t xml:space="preserve">n </w:t>
      </w:r>
      <w:r w:rsidR="00CC07E9" w:rsidRPr="00CC07E9">
        <w:rPr>
          <w:b/>
          <w:bCs/>
        </w:rPr>
        <w:t>offshore</w:t>
      </w:r>
      <w:r w:rsidR="0020074F">
        <w:t xml:space="preserve"> investment bond chargeable gain of £</w:t>
      </w:r>
      <w:r w:rsidR="00F526FF">
        <w:t>10</w:t>
      </w:r>
      <w:r w:rsidR="0020074F">
        <w:t xml:space="preserve">0,000. </w:t>
      </w:r>
      <w:r>
        <w:t>Marcus</w:t>
      </w:r>
      <w:r w:rsidR="0020074F">
        <w:t xml:space="preserve"> has held the bond for </w:t>
      </w:r>
      <w:r w:rsidR="00F526FF">
        <w:t>10</w:t>
      </w:r>
      <w:r w:rsidR="0020074F">
        <w:t>.5 years.</w:t>
      </w:r>
    </w:p>
    <w:p w14:paraId="19D6CAC0" w14:textId="3CBF2D38" w:rsidR="007215F5" w:rsidRDefault="007215F5" w:rsidP="00AC3A8E"/>
    <w:tbl>
      <w:tblPr>
        <w:tblStyle w:val="TableGrid"/>
        <w:tblW w:w="0" w:type="auto"/>
        <w:tblLook w:val="04A0" w:firstRow="1" w:lastRow="0" w:firstColumn="1" w:lastColumn="0" w:noHBand="0" w:noVBand="1"/>
      </w:tblPr>
      <w:tblGrid>
        <w:gridCol w:w="2405"/>
        <w:gridCol w:w="2196"/>
        <w:gridCol w:w="2324"/>
        <w:gridCol w:w="2425"/>
      </w:tblGrid>
      <w:tr w:rsidR="00CC07E9" w:rsidRPr="00E871BE" w14:paraId="0E6628DE" w14:textId="77777777" w:rsidTr="0060768A">
        <w:tc>
          <w:tcPr>
            <w:tcW w:w="2405" w:type="dxa"/>
          </w:tcPr>
          <w:p w14:paraId="0B84F3AA" w14:textId="77777777" w:rsidR="00CC07E9" w:rsidRPr="00E871BE" w:rsidRDefault="00CC07E9" w:rsidP="0060768A">
            <w:pPr>
              <w:rPr>
                <w:b/>
                <w:bCs/>
              </w:rPr>
            </w:pPr>
            <w:r w:rsidRPr="00E871BE">
              <w:rPr>
                <w:b/>
                <w:bCs/>
              </w:rPr>
              <w:t>Income Source</w:t>
            </w:r>
          </w:p>
        </w:tc>
        <w:tc>
          <w:tcPr>
            <w:tcW w:w="2196" w:type="dxa"/>
          </w:tcPr>
          <w:p w14:paraId="06847151" w14:textId="77777777" w:rsidR="00CC07E9" w:rsidRPr="00E871BE" w:rsidRDefault="00CC07E9" w:rsidP="0060768A">
            <w:pPr>
              <w:jc w:val="center"/>
              <w:rPr>
                <w:b/>
                <w:bCs/>
              </w:rPr>
            </w:pPr>
            <w:r w:rsidRPr="00E871BE">
              <w:rPr>
                <w:b/>
                <w:bCs/>
              </w:rPr>
              <w:t>Amount</w:t>
            </w:r>
          </w:p>
        </w:tc>
        <w:tc>
          <w:tcPr>
            <w:tcW w:w="2324" w:type="dxa"/>
          </w:tcPr>
          <w:p w14:paraId="21FBD884" w14:textId="77777777" w:rsidR="00CC07E9" w:rsidRPr="00E871BE" w:rsidRDefault="00CC07E9" w:rsidP="0060768A">
            <w:pPr>
              <w:jc w:val="center"/>
              <w:rPr>
                <w:b/>
                <w:bCs/>
              </w:rPr>
            </w:pPr>
            <w:r w:rsidRPr="00E871BE">
              <w:rPr>
                <w:b/>
                <w:bCs/>
              </w:rPr>
              <w:t>Tax Rate</w:t>
            </w:r>
          </w:p>
        </w:tc>
        <w:tc>
          <w:tcPr>
            <w:tcW w:w="2425" w:type="dxa"/>
          </w:tcPr>
          <w:p w14:paraId="55ADFA3F" w14:textId="77777777" w:rsidR="00CC07E9" w:rsidRPr="00E871BE" w:rsidRDefault="00CC07E9" w:rsidP="0060768A">
            <w:pPr>
              <w:jc w:val="center"/>
              <w:rPr>
                <w:b/>
                <w:bCs/>
              </w:rPr>
            </w:pPr>
            <w:r w:rsidRPr="00E871BE">
              <w:rPr>
                <w:b/>
                <w:bCs/>
              </w:rPr>
              <w:t>Amount of Tax</w:t>
            </w:r>
          </w:p>
        </w:tc>
      </w:tr>
      <w:tr w:rsidR="00CC07E9" w14:paraId="42476337" w14:textId="77777777" w:rsidTr="0060768A">
        <w:tc>
          <w:tcPr>
            <w:tcW w:w="2405" w:type="dxa"/>
            <w:shd w:val="clear" w:color="auto" w:fill="BFBFBF" w:themeFill="background1" w:themeFillShade="BF"/>
          </w:tcPr>
          <w:p w14:paraId="003A884C" w14:textId="77777777" w:rsidR="00CC07E9" w:rsidRDefault="00CC07E9" w:rsidP="0060768A">
            <w:r>
              <w:t>Salary</w:t>
            </w:r>
          </w:p>
        </w:tc>
        <w:tc>
          <w:tcPr>
            <w:tcW w:w="2196" w:type="dxa"/>
            <w:shd w:val="clear" w:color="auto" w:fill="BFBFBF" w:themeFill="background1" w:themeFillShade="BF"/>
          </w:tcPr>
          <w:p w14:paraId="608B6F33" w14:textId="244202D5" w:rsidR="00CC07E9" w:rsidRDefault="00CC07E9" w:rsidP="0060768A">
            <w:pPr>
              <w:jc w:val="center"/>
            </w:pPr>
            <w:r>
              <w:t>£</w:t>
            </w:r>
            <w:r w:rsidR="00402067">
              <w:t>0</w:t>
            </w:r>
          </w:p>
        </w:tc>
        <w:tc>
          <w:tcPr>
            <w:tcW w:w="2324" w:type="dxa"/>
            <w:shd w:val="clear" w:color="auto" w:fill="BFBFBF" w:themeFill="background1" w:themeFillShade="BF"/>
          </w:tcPr>
          <w:p w14:paraId="6035DC15" w14:textId="77777777" w:rsidR="00CC07E9" w:rsidRDefault="00CC07E9" w:rsidP="0060768A">
            <w:pPr>
              <w:jc w:val="center"/>
            </w:pPr>
            <w:r>
              <w:t>0% Personal Allowance</w:t>
            </w:r>
          </w:p>
        </w:tc>
        <w:tc>
          <w:tcPr>
            <w:tcW w:w="2425" w:type="dxa"/>
            <w:shd w:val="clear" w:color="auto" w:fill="BFBFBF" w:themeFill="background1" w:themeFillShade="BF"/>
          </w:tcPr>
          <w:p w14:paraId="0D48F0B7" w14:textId="77777777" w:rsidR="00CC07E9" w:rsidRDefault="00CC07E9" w:rsidP="0060768A">
            <w:pPr>
              <w:jc w:val="center"/>
            </w:pPr>
            <w:r>
              <w:t>£0</w:t>
            </w:r>
          </w:p>
        </w:tc>
      </w:tr>
      <w:tr w:rsidR="00CC07E9" w14:paraId="544811C7" w14:textId="77777777" w:rsidTr="0060768A">
        <w:tc>
          <w:tcPr>
            <w:tcW w:w="2405" w:type="dxa"/>
            <w:shd w:val="clear" w:color="auto" w:fill="BFBFBF" w:themeFill="background1" w:themeFillShade="BF"/>
          </w:tcPr>
          <w:p w14:paraId="47B5FA70" w14:textId="77777777" w:rsidR="00CC07E9" w:rsidRDefault="00CC07E9" w:rsidP="0060768A"/>
        </w:tc>
        <w:tc>
          <w:tcPr>
            <w:tcW w:w="2196" w:type="dxa"/>
            <w:shd w:val="clear" w:color="auto" w:fill="BFBFBF" w:themeFill="background1" w:themeFillShade="BF"/>
          </w:tcPr>
          <w:p w14:paraId="2B558324" w14:textId="587BE9E2" w:rsidR="00CC07E9" w:rsidRDefault="00CC07E9" w:rsidP="0060768A">
            <w:pPr>
              <w:jc w:val="center"/>
            </w:pPr>
            <w:r>
              <w:t>£</w:t>
            </w:r>
            <w:r w:rsidRPr="004B099E">
              <w:t>3</w:t>
            </w:r>
            <w:r w:rsidR="002F0C67">
              <w:t>7,700</w:t>
            </w:r>
          </w:p>
        </w:tc>
        <w:tc>
          <w:tcPr>
            <w:tcW w:w="2324" w:type="dxa"/>
            <w:shd w:val="clear" w:color="auto" w:fill="BFBFBF" w:themeFill="background1" w:themeFillShade="BF"/>
          </w:tcPr>
          <w:p w14:paraId="0A94B780" w14:textId="77777777" w:rsidR="00CC07E9" w:rsidRDefault="00CC07E9" w:rsidP="0060768A">
            <w:pPr>
              <w:jc w:val="center"/>
            </w:pPr>
            <w:r>
              <w:t>20%</w:t>
            </w:r>
          </w:p>
        </w:tc>
        <w:tc>
          <w:tcPr>
            <w:tcW w:w="2425" w:type="dxa"/>
            <w:shd w:val="clear" w:color="auto" w:fill="BFBFBF" w:themeFill="background1" w:themeFillShade="BF"/>
          </w:tcPr>
          <w:p w14:paraId="06505E8E" w14:textId="369A1543" w:rsidR="00CC07E9" w:rsidRDefault="00CC07E9" w:rsidP="0060768A">
            <w:pPr>
              <w:jc w:val="center"/>
            </w:pPr>
            <w:r>
              <w:t>£</w:t>
            </w:r>
            <w:r w:rsidR="009A1124">
              <w:t>7</w:t>
            </w:r>
            <w:r w:rsidRPr="00E871BE">
              <w:t>,</w:t>
            </w:r>
            <w:r w:rsidR="009A1124">
              <w:t>5</w:t>
            </w:r>
            <w:r w:rsidRPr="00E871BE">
              <w:t>40</w:t>
            </w:r>
          </w:p>
        </w:tc>
      </w:tr>
      <w:tr w:rsidR="00CC07E9" w14:paraId="221369CC" w14:textId="77777777" w:rsidTr="0060768A">
        <w:tc>
          <w:tcPr>
            <w:tcW w:w="2405" w:type="dxa"/>
            <w:shd w:val="clear" w:color="auto" w:fill="BFBFBF" w:themeFill="background1" w:themeFillShade="BF"/>
          </w:tcPr>
          <w:p w14:paraId="6BDECEDD" w14:textId="77777777" w:rsidR="00CC07E9" w:rsidRDefault="00CC07E9" w:rsidP="0060768A"/>
        </w:tc>
        <w:tc>
          <w:tcPr>
            <w:tcW w:w="2196" w:type="dxa"/>
            <w:shd w:val="clear" w:color="auto" w:fill="BFBFBF" w:themeFill="background1" w:themeFillShade="BF"/>
          </w:tcPr>
          <w:p w14:paraId="5DB2F0BD" w14:textId="11E03368" w:rsidR="00CC07E9" w:rsidRDefault="00CC07E9" w:rsidP="0060768A">
            <w:pPr>
              <w:jc w:val="center"/>
            </w:pPr>
            <w:r>
              <w:t>£</w:t>
            </w:r>
            <w:r w:rsidR="00756FEB" w:rsidRPr="00756FEB">
              <w:t>61,800</w:t>
            </w:r>
          </w:p>
        </w:tc>
        <w:tc>
          <w:tcPr>
            <w:tcW w:w="2324" w:type="dxa"/>
            <w:shd w:val="clear" w:color="auto" w:fill="BFBFBF" w:themeFill="background1" w:themeFillShade="BF"/>
          </w:tcPr>
          <w:p w14:paraId="34CA77A0" w14:textId="77777777" w:rsidR="00CC07E9" w:rsidRDefault="00CC07E9" w:rsidP="0060768A">
            <w:pPr>
              <w:jc w:val="center"/>
            </w:pPr>
            <w:r>
              <w:t>40%</w:t>
            </w:r>
          </w:p>
        </w:tc>
        <w:tc>
          <w:tcPr>
            <w:tcW w:w="2425" w:type="dxa"/>
            <w:shd w:val="clear" w:color="auto" w:fill="BFBFBF" w:themeFill="background1" w:themeFillShade="BF"/>
          </w:tcPr>
          <w:p w14:paraId="565BFD5B" w14:textId="0E9AA155" w:rsidR="00CC07E9" w:rsidRDefault="00CC07E9" w:rsidP="0060768A">
            <w:pPr>
              <w:jc w:val="center"/>
            </w:pPr>
            <w:r>
              <w:t>£</w:t>
            </w:r>
            <w:r w:rsidR="00B40634">
              <w:t>2</w:t>
            </w:r>
            <w:r w:rsidR="00DC48F5" w:rsidRPr="00DC48F5">
              <w:t>4,720</w:t>
            </w:r>
          </w:p>
        </w:tc>
      </w:tr>
      <w:tr w:rsidR="00CC07E9" w14:paraId="053FCA13" w14:textId="77777777" w:rsidTr="0060768A">
        <w:tc>
          <w:tcPr>
            <w:tcW w:w="2405" w:type="dxa"/>
            <w:shd w:val="clear" w:color="auto" w:fill="BFBFBF" w:themeFill="background1" w:themeFillShade="BF"/>
          </w:tcPr>
          <w:p w14:paraId="5DCE7380" w14:textId="77777777" w:rsidR="00CC07E9" w:rsidRDefault="00CC07E9" w:rsidP="0060768A"/>
        </w:tc>
        <w:tc>
          <w:tcPr>
            <w:tcW w:w="2196" w:type="dxa"/>
            <w:shd w:val="clear" w:color="auto" w:fill="BFBFBF" w:themeFill="background1" w:themeFillShade="BF"/>
          </w:tcPr>
          <w:p w14:paraId="5431DEC6" w14:textId="77777777" w:rsidR="00CC07E9" w:rsidRDefault="00CC07E9" w:rsidP="0060768A">
            <w:pPr>
              <w:jc w:val="center"/>
            </w:pPr>
            <w:r>
              <w:t>£0</w:t>
            </w:r>
          </w:p>
        </w:tc>
        <w:tc>
          <w:tcPr>
            <w:tcW w:w="2324" w:type="dxa"/>
            <w:shd w:val="clear" w:color="auto" w:fill="BFBFBF" w:themeFill="background1" w:themeFillShade="BF"/>
          </w:tcPr>
          <w:p w14:paraId="183C33A4" w14:textId="77777777" w:rsidR="00CC07E9" w:rsidRDefault="00CC07E9" w:rsidP="0060768A">
            <w:pPr>
              <w:jc w:val="center"/>
            </w:pPr>
            <w:r>
              <w:t>45%</w:t>
            </w:r>
          </w:p>
        </w:tc>
        <w:tc>
          <w:tcPr>
            <w:tcW w:w="2425" w:type="dxa"/>
            <w:shd w:val="clear" w:color="auto" w:fill="BFBFBF" w:themeFill="background1" w:themeFillShade="BF"/>
          </w:tcPr>
          <w:p w14:paraId="5895C8A8" w14:textId="77777777" w:rsidR="00CC07E9" w:rsidRDefault="00CC07E9" w:rsidP="0060768A">
            <w:pPr>
              <w:jc w:val="center"/>
            </w:pPr>
            <w:r>
              <w:t>£0</w:t>
            </w:r>
          </w:p>
        </w:tc>
      </w:tr>
      <w:tr w:rsidR="00CC07E9" w14:paraId="214F7CA5" w14:textId="77777777" w:rsidTr="0060768A">
        <w:tc>
          <w:tcPr>
            <w:tcW w:w="2405" w:type="dxa"/>
            <w:shd w:val="clear" w:color="auto" w:fill="F2F2F2" w:themeFill="background1" w:themeFillShade="F2"/>
          </w:tcPr>
          <w:p w14:paraId="7B37E3BC" w14:textId="77777777" w:rsidR="00CC07E9" w:rsidRDefault="00CC07E9" w:rsidP="0060768A">
            <w:r>
              <w:t>Savings Income</w:t>
            </w:r>
          </w:p>
        </w:tc>
        <w:tc>
          <w:tcPr>
            <w:tcW w:w="2196" w:type="dxa"/>
            <w:shd w:val="clear" w:color="auto" w:fill="F2F2F2" w:themeFill="background1" w:themeFillShade="F2"/>
          </w:tcPr>
          <w:p w14:paraId="2A28A347" w14:textId="7DD89E55" w:rsidR="00CC07E9" w:rsidRDefault="00CC07E9" w:rsidP="0060768A">
            <w:pPr>
              <w:jc w:val="center"/>
            </w:pPr>
            <w:r>
              <w:t>£0</w:t>
            </w:r>
          </w:p>
        </w:tc>
        <w:tc>
          <w:tcPr>
            <w:tcW w:w="2324" w:type="dxa"/>
            <w:shd w:val="clear" w:color="auto" w:fill="F2F2F2" w:themeFill="background1" w:themeFillShade="F2"/>
          </w:tcPr>
          <w:p w14:paraId="740C978F" w14:textId="77777777" w:rsidR="00CC07E9" w:rsidRDefault="00CC07E9" w:rsidP="0060768A">
            <w:pPr>
              <w:jc w:val="center"/>
            </w:pPr>
            <w:r>
              <w:t>0% PSA</w:t>
            </w:r>
          </w:p>
        </w:tc>
        <w:tc>
          <w:tcPr>
            <w:tcW w:w="2425" w:type="dxa"/>
            <w:shd w:val="clear" w:color="auto" w:fill="F2F2F2" w:themeFill="background1" w:themeFillShade="F2"/>
          </w:tcPr>
          <w:p w14:paraId="221F2EB4" w14:textId="77777777" w:rsidR="00CC07E9" w:rsidRDefault="00CC07E9" w:rsidP="0060768A">
            <w:pPr>
              <w:jc w:val="center"/>
            </w:pPr>
            <w:r>
              <w:t>£0</w:t>
            </w:r>
          </w:p>
        </w:tc>
      </w:tr>
      <w:tr w:rsidR="00CC07E9" w14:paraId="5C7B388E" w14:textId="77777777" w:rsidTr="0060768A">
        <w:tc>
          <w:tcPr>
            <w:tcW w:w="2405" w:type="dxa"/>
            <w:shd w:val="clear" w:color="auto" w:fill="F2F2F2" w:themeFill="background1" w:themeFillShade="F2"/>
          </w:tcPr>
          <w:p w14:paraId="016D83D6" w14:textId="77777777" w:rsidR="00CC07E9" w:rsidRDefault="00CC07E9" w:rsidP="0060768A"/>
        </w:tc>
        <w:tc>
          <w:tcPr>
            <w:tcW w:w="2196" w:type="dxa"/>
            <w:shd w:val="clear" w:color="auto" w:fill="F2F2F2" w:themeFill="background1" w:themeFillShade="F2"/>
          </w:tcPr>
          <w:p w14:paraId="61675D91" w14:textId="7A3F2B19" w:rsidR="00CC07E9" w:rsidRDefault="00CC07E9" w:rsidP="0060768A">
            <w:pPr>
              <w:jc w:val="center"/>
            </w:pPr>
            <w:r>
              <w:t>£</w:t>
            </w:r>
            <w:r w:rsidR="00EF5664">
              <w:t>0</w:t>
            </w:r>
          </w:p>
        </w:tc>
        <w:tc>
          <w:tcPr>
            <w:tcW w:w="2324" w:type="dxa"/>
            <w:shd w:val="clear" w:color="auto" w:fill="F2F2F2" w:themeFill="background1" w:themeFillShade="F2"/>
          </w:tcPr>
          <w:p w14:paraId="557D5FB0" w14:textId="77777777" w:rsidR="00CC07E9" w:rsidRDefault="00CC07E9" w:rsidP="0060768A">
            <w:pPr>
              <w:jc w:val="center"/>
            </w:pPr>
            <w:r>
              <w:t>20%</w:t>
            </w:r>
          </w:p>
        </w:tc>
        <w:tc>
          <w:tcPr>
            <w:tcW w:w="2425" w:type="dxa"/>
            <w:shd w:val="clear" w:color="auto" w:fill="F2F2F2" w:themeFill="background1" w:themeFillShade="F2"/>
          </w:tcPr>
          <w:p w14:paraId="45CCCA57" w14:textId="77777777" w:rsidR="00CC07E9" w:rsidRDefault="00CC07E9" w:rsidP="0060768A">
            <w:pPr>
              <w:jc w:val="center"/>
            </w:pPr>
            <w:r>
              <w:t>£0</w:t>
            </w:r>
          </w:p>
        </w:tc>
      </w:tr>
      <w:tr w:rsidR="00CC07E9" w14:paraId="71886D86" w14:textId="77777777" w:rsidTr="0060768A">
        <w:tc>
          <w:tcPr>
            <w:tcW w:w="2405" w:type="dxa"/>
            <w:shd w:val="clear" w:color="auto" w:fill="F2F2F2" w:themeFill="background1" w:themeFillShade="F2"/>
          </w:tcPr>
          <w:p w14:paraId="7E358E54" w14:textId="77777777" w:rsidR="00CC07E9" w:rsidRDefault="00CC07E9" w:rsidP="0060768A"/>
        </w:tc>
        <w:tc>
          <w:tcPr>
            <w:tcW w:w="2196" w:type="dxa"/>
            <w:shd w:val="clear" w:color="auto" w:fill="F2F2F2" w:themeFill="background1" w:themeFillShade="F2"/>
          </w:tcPr>
          <w:p w14:paraId="67A2182F" w14:textId="69861370" w:rsidR="00CC07E9" w:rsidRDefault="00CC07E9" w:rsidP="0060768A">
            <w:pPr>
              <w:jc w:val="center"/>
            </w:pPr>
            <w:r>
              <w:t>£</w:t>
            </w:r>
            <w:r w:rsidR="00EF5664">
              <w:t>500</w:t>
            </w:r>
          </w:p>
        </w:tc>
        <w:tc>
          <w:tcPr>
            <w:tcW w:w="2324" w:type="dxa"/>
            <w:shd w:val="clear" w:color="auto" w:fill="F2F2F2" w:themeFill="background1" w:themeFillShade="F2"/>
          </w:tcPr>
          <w:p w14:paraId="5086C406" w14:textId="77777777" w:rsidR="00CC07E9" w:rsidRDefault="00CC07E9" w:rsidP="0060768A">
            <w:pPr>
              <w:jc w:val="center"/>
            </w:pPr>
            <w:r>
              <w:t>40%</w:t>
            </w:r>
          </w:p>
        </w:tc>
        <w:tc>
          <w:tcPr>
            <w:tcW w:w="2425" w:type="dxa"/>
            <w:shd w:val="clear" w:color="auto" w:fill="F2F2F2" w:themeFill="background1" w:themeFillShade="F2"/>
          </w:tcPr>
          <w:p w14:paraId="5D1B0B2C" w14:textId="23FD5F50" w:rsidR="00CC07E9" w:rsidRDefault="00CC07E9" w:rsidP="0060768A">
            <w:pPr>
              <w:jc w:val="center"/>
            </w:pPr>
            <w:r>
              <w:t>£</w:t>
            </w:r>
            <w:r w:rsidR="00EF5664">
              <w:t>200</w:t>
            </w:r>
          </w:p>
        </w:tc>
      </w:tr>
      <w:tr w:rsidR="00CC07E9" w14:paraId="02F67CF2" w14:textId="77777777" w:rsidTr="0060768A">
        <w:tc>
          <w:tcPr>
            <w:tcW w:w="2405" w:type="dxa"/>
            <w:shd w:val="clear" w:color="auto" w:fill="F2F2F2" w:themeFill="background1" w:themeFillShade="F2"/>
          </w:tcPr>
          <w:p w14:paraId="19DEA604" w14:textId="77777777" w:rsidR="00CC07E9" w:rsidRDefault="00CC07E9" w:rsidP="0060768A"/>
        </w:tc>
        <w:tc>
          <w:tcPr>
            <w:tcW w:w="2196" w:type="dxa"/>
            <w:shd w:val="clear" w:color="auto" w:fill="F2F2F2" w:themeFill="background1" w:themeFillShade="F2"/>
          </w:tcPr>
          <w:p w14:paraId="0D93B682" w14:textId="77777777" w:rsidR="00CC07E9" w:rsidRDefault="00CC07E9" w:rsidP="0060768A">
            <w:pPr>
              <w:jc w:val="center"/>
            </w:pPr>
            <w:r>
              <w:t>£0</w:t>
            </w:r>
          </w:p>
        </w:tc>
        <w:tc>
          <w:tcPr>
            <w:tcW w:w="2324" w:type="dxa"/>
            <w:shd w:val="clear" w:color="auto" w:fill="F2F2F2" w:themeFill="background1" w:themeFillShade="F2"/>
          </w:tcPr>
          <w:p w14:paraId="76CD3E8A" w14:textId="77777777" w:rsidR="00CC07E9" w:rsidRDefault="00CC07E9" w:rsidP="0060768A">
            <w:pPr>
              <w:jc w:val="center"/>
            </w:pPr>
            <w:r>
              <w:t>45%</w:t>
            </w:r>
          </w:p>
        </w:tc>
        <w:tc>
          <w:tcPr>
            <w:tcW w:w="2425" w:type="dxa"/>
            <w:shd w:val="clear" w:color="auto" w:fill="F2F2F2" w:themeFill="background1" w:themeFillShade="F2"/>
          </w:tcPr>
          <w:p w14:paraId="3AE51F81" w14:textId="77777777" w:rsidR="00CC07E9" w:rsidRDefault="00CC07E9" w:rsidP="0060768A">
            <w:pPr>
              <w:jc w:val="center"/>
            </w:pPr>
            <w:r>
              <w:t>£0</w:t>
            </w:r>
          </w:p>
        </w:tc>
      </w:tr>
      <w:tr w:rsidR="00CC07E9" w14:paraId="3DB7990C" w14:textId="77777777" w:rsidTr="0060768A">
        <w:tc>
          <w:tcPr>
            <w:tcW w:w="2405" w:type="dxa"/>
            <w:shd w:val="clear" w:color="auto" w:fill="BFBFBF" w:themeFill="background1" w:themeFillShade="BF"/>
          </w:tcPr>
          <w:p w14:paraId="452404AA" w14:textId="4219C5BB" w:rsidR="00CC07E9" w:rsidRDefault="006A5860" w:rsidP="0060768A">
            <w:r>
              <w:t>Offshore</w:t>
            </w:r>
            <w:r w:rsidR="00CC07E9">
              <w:t xml:space="preserve"> Gain</w:t>
            </w:r>
          </w:p>
        </w:tc>
        <w:tc>
          <w:tcPr>
            <w:tcW w:w="2196" w:type="dxa"/>
            <w:shd w:val="clear" w:color="auto" w:fill="BFBFBF" w:themeFill="background1" w:themeFillShade="BF"/>
          </w:tcPr>
          <w:p w14:paraId="11D3C2CF" w14:textId="77777777" w:rsidR="00CC07E9" w:rsidRDefault="00CC07E9" w:rsidP="0060768A">
            <w:pPr>
              <w:jc w:val="center"/>
            </w:pPr>
            <w:r>
              <w:t>£0</w:t>
            </w:r>
          </w:p>
        </w:tc>
        <w:tc>
          <w:tcPr>
            <w:tcW w:w="2324" w:type="dxa"/>
            <w:shd w:val="clear" w:color="auto" w:fill="BFBFBF" w:themeFill="background1" w:themeFillShade="BF"/>
          </w:tcPr>
          <w:p w14:paraId="03E5298A" w14:textId="77777777" w:rsidR="00CC07E9" w:rsidRDefault="00CC07E9" w:rsidP="0060768A">
            <w:pPr>
              <w:jc w:val="center"/>
            </w:pPr>
            <w:r>
              <w:t>0%</w:t>
            </w:r>
          </w:p>
        </w:tc>
        <w:tc>
          <w:tcPr>
            <w:tcW w:w="2425" w:type="dxa"/>
            <w:shd w:val="clear" w:color="auto" w:fill="BFBFBF" w:themeFill="background1" w:themeFillShade="BF"/>
          </w:tcPr>
          <w:p w14:paraId="0977384D" w14:textId="77777777" w:rsidR="00CC07E9" w:rsidRDefault="00CC07E9" w:rsidP="0060768A">
            <w:pPr>
              <w:jc w:val="center"/>
            </w:pPr>
            <w:r>
              <w:t>£0</w:t>
            </w:r>
          </w:p>
        </w:tc>
      </w:tr>
      <w:tr w:rsidR="00CC07E9" w14:paraId="2C684FFB" w14:textId="77777777" w:rsidTr="0060768A">
        <w:tc>
          <w:tcPr>
            <w:tcW w:w="2405" w:type="dxa"/>
            <w:shd w:val="clear" w:color="auto" w:fill="BFBFBF" w:themeFill="background1" w:themeFillShade="BF"/>
          </w:tcPr>
          <w:p w14:paraId="4777283E" w14:textId="77777777" w:rsidR="00CC07E9" w:rsidRDefault="00CC07E9" w:rsidP="0060768A"/>
        </w:tc>
        <w:tc>
          <w:tcPr>
            <w:tcW w:w="2196" w:type="dxa"/>
            <w:shd w:val="clear" w:color="auto" w:fill="BFBFBF" w:themeFill="background1" w:themeFillShade="BF"/>
          </w:tcPr>
          <w:p w14:paraId="414FA5EB" w14:textId="6895FEB0" w:rsidR="00CC07E9" w:rsidRDefault="00CC07E9" w:rsidP="0060768A">
            <w:pPr>
              <w:jc w:val="center"/>
            </w:pPr>
            <w:r>
              <w:t>£0</w:t>
            </w:r>
          </w:p>
        </w:tc>
        <w:tc>
          <w:tcPr>
            <w:tcW w:w="2324" w:type="dxa"/>
            <w:shd w:val="clear" w:color="auto" w:fill="BFBFBF" w:themeFill="background1" w:themeFillShade="BF"/>
          </w:tcPr>
          <w:p w14:paraId="279D0895" w14:textId="77777777" w:rsidR="00CC07E9" w:rsidRDefault="00CC07E9" w:rsidP="0060768A">
            <w:pPr>
              <w:jc w:val="center"/>
            </w:pPr>
            <w:r>
              <w:t>20%</w:t>
            </w:r>
          </w:p>
        </w:tc>
        <w:tc>
          <w:tcPr>
            <w:tcW w:w="2425" w:type="dxa"/>
            <w:shd w:val="clear" w:color="auto" w:fill="BFBFBF" w:themeFill="background1" w:themeFillShade="BF"/>
          </w:tcPr>
          <w:p w14:paraId="4E5EF84C" w14:textId="61AAF96E" w:rsidR="00CC07E9" w:rsidRDefault="00CC07E9" w:rsidP="0060768A">
            <w:pPr>
              <w:jc w:val="center"/>
            </w:pPr>
            <w:r>
              <w:t>£</w:t>
            </w:r>
            <w:r w:rsidR="006A5860">
              <w:t>0</w:t>
            </w:r>
          </w:p>
        </w:tc>
      </w:tr>
      <w:tr w:rsidR="00CC07E9" w14:paraId="3AB4704D" w14:textId="77777777" w:rsidTr="0060768A">
        <w:tc>
          <w:tcPr>
            <w:tcW w:w="2405" w:type="dxa"/>
            <w:shd w:val="clear" w:color="auto" w:fill="BFBFBF" w:themeFill="background1" w:themeFillShade="BF"/>
          </w:tcPr>
          <w:p w14:paraId="38D117E4" w14:textId="77777777" w:rsidR="00CC07E9" w:rsidRDefault="00CC07E9" w:rsidP="0060768A"/>
        </w:tc>
        <w:tc>
          <w:tcPr>
            <w:tcW w:w="2196" w:type="dxa"/>
            <w:shd w:val="clear" w:color="auto" w:fill="BFBFBF" w:themeFill="background1" w:themeFillShade="BF"/>
          </w:tcPr>
          <w:p w14:paraId="488E5926" w14:textId="5E3886A3" w:rsidR="00CC07E9" w:rsidRDefault="00CC07E9" w:rsidP="0060768A">
            <w:pPr>
              <w:jc w:val="center"/>
            </w:pPr>
            <w:r>
              <w:t>£</w:t>
            </w:r>
            <w:r w:rsidR="00B40634">
              <w:t>50</w:t>
            </w:r>
            <w:r>
              <w:t>,000</w:t>
            </w:r>
          </w:p>
        </w:tc>
        <w:tc>
          <w:tcPr>
            <w:tcW w:w="2324" w:type="dxa"/>
            <w:shd w:val="clear" w:color="auto" w:fill="BFBFBF" w:themeFill="background1" w:themeFillShade="BF"/>
          </w:tcPr>
          <w:p w14:paraId="17FEE00C" w14:textId="77777777" w:rsidR="00CC07E9" w:rsidRDefault="00CC07E9" w:rsidP="0060768A">
            <w:pPr>
              <w:jc w:val="center"/>
            </w:pPr>
            <w:r>
              <w:t>40%</w:t>
            </w:r>
          </w:p>
        </w:tc>
        <w:tc>
          <w:tcPr>
            <w:tcW w:w="2425" w:type="dxa"/>
            <w:shd w:val="clear" w:color="auto" w:fill="BFBFBF" w:themeFill="background1" w:themeFillShade="BF"/>
          </w:tcPr>
          <w:p w14:paraId="27E5ECA6" w14:textId="6F4C8534" w:rsidR="00CC07E9" w:rsidRDefault="00CC07E9" w:rsidP="0060768A">
            <w:pPr>
              <w:jc w:val="center"/>
            </w:pPr>
            <w:r>
              <w:t>£</w:t>
            </w:r>
            <w:r w:rsidR="00B40634">
              <w:t>20</w:t>
            </w:r>
            <w:r>
              <w:t>,000</w:t>
            </w:r>
          </w:p>
        </w:tc>
      </w:tr>
      <w:tr w:rsidR="00CC07E9" w14:paraId="6033DE4C" w14:textId="77777777" w:rsidTr="0060768A">
        <w:tc>
          <w:tcPr>
            <w:tcW w:w="2405" w:type="dxa"/>
            <w:shd w:val="clear" w:color="auto" w:fill="BFBFBF" w:themeFill="background1" w:themeFillShade="BF"/>
          </w:tcPr>
          <w:p w14:paraId="37450534" w14:textId="77777777" w:rsidR="00CC07E9" w:rsidRDefault="00CC07E9" w:rsidP="0060768A"/>
        </w:tc>
        <w:tc>
          <w:tcPr>
            <w:tcW w:w="2196" w:type="dxa"/>
            <w:shd w:val="clear" w:color="auto" w:fill="BFBFBF" w:themeFill="background1" w:themeFillShade="BF"/>
          </w:tcPr>
          <w:p w14:paraId="6DE55D73" w14:textId="7523E23C" w:rsidR="00CC07E9" w:rsidRDefault="00CC07E9" w:rsidP="0060768A">
            <w:pPr>
              <w:jc w:val="center"/>
            </w:pPr>
            <w:r>
              <w:t>£</w:t>
            </w:r>
            <w:r w:rsidR="00B40634">
              <w:t>50</w:t>
            </w:r>
            <w:r w:rsidR="00EB0A85">
              <w:t>,000</w:t>
            </w:r>
          </w:p>
        </w:tc>
        <w:tc>
          <w:tcPr>
            <w:tcW w:w="2324" w:type="dxa"/>
            <w:shd w:val="clear" w:color="auto" w:fill="BFBFBF" w:themeFill="background1" w:themeFillShade="BF"/>
          </w:tcPr>
          <w:p w14:paraId="133F0283" w14:textId="77777777" w:rsidR="00CC07E9" w:rsidRDefault="00CC07E9" w:rsidP="0060768A">
            <w:pPr>
              <w:jc w:val="center"/>
            </w:pPr>
            <w:r>
              <w:t>45%</w:t>
            </w:r>
          </w:p>
        </w:tc>
        <w:tc>
          <w:tcPr>
            <w:tcW w:w="2425" w:type="dxa"/>
            <w:shd w:val="clear" w:color="auto" w:fill="BFBFBF" w:themeFill="background1" w:themeFillShade="BF"/>
          </w:tcPr>
          <w:p w14:paraId="73500745" w14:textId="77C0A560" w:rsidR="00CC07E9" w:rsidRDefault="00CC07E9" w:rsidP="0060768A">
            <w:pPr>
              <w:jc w:val="center"/>
            </w:pPr>
            <w:r>
              <w:t>£</w:t>
            </w:r>
            <w:r w:rsidR="00FE65BD">
              <w:t>22</w:t>
            </w:r>
            <w:r w:rsidR="00EB0A85">
              <w:t>,</w:t>
            </w:r>
            <w:r w:rsidR="00FE65BD">
              <w:t>50</w:t>
            </w:r>
            <w:r w:rsidR="00EB0A85">
              <w:t>0</w:t>
            </w:r>
          </w:p>
        </w:tc>
      </w:tr>
      <w:tr w:rsidR="00CC07E9" w:rsidRPr="00AF1059" w14:paraId="678B0695" w14:textId="77777777" w:rsidTr="0060768A">
        <w:tc>
          <w:tcPr>
            <w:tcW w:w="2405" w:type="dxa"/>
            <w:shd w:val="clear" w:color="auto" w:fill="000000" w:themeFill="text1"/>
          </w:tcPr>
          <w:p w14:paraId="40E3E9BE" w14:textId="77777777" w:rsidR="00CC07E9" w:rsidRPr="00AF1059" w:rsidRDefault="00CC07E9" w:rsidP="0060768A">
            <w:pPr>
              <w:rPr>
                <w:b/>
                <w:bCs/>
              </w:rPr>
            </w:pPr>
            <w:r w:rsidRPr="00AF1059">
              <w:rPr>
                <w:b/>
                <w:bCs/>
              </w:rPr>
              <w:t>Total</w:t>
            </w:r>
          </w:p>
        </w:tc>
        <w:tc>
          <w:tcPr>
            <w:tcW w:w="2196" w:type="dxa"/>
            <w:shd w:val="clear" w:color="auto" w:fill="000000" w:themeFill="text1"/>
          </w:tcPr>
          <w:p w14:paraId="028AF997" w14:textId="042E871C" w:rsidR="00CC07E9" w:rsidRPr="00AF1059" w:rsidRDefault="00CC07E9" w:rsidP="0060768A">
            <w:pPr>
              <w:jc w:val="center"/>
              <w:rPr>
                <w:b/>
                <w:bCs/>
              </w:rPr>
            </w:pPr>
            <w:r w:rsidRPr="00AF1059">
              <w:rPr>
                <w:b/>
                <w:bCs/>
              </w:rPr>
              <w:t>£</w:t>
            </w:r>
            <w:r w:rsidR="00575396">
              <w:rPr>
                <w:b/>
                <w:bCs/>
              </w:rPr>
              <w:t>200,000</w:t>
            </w:r>
          </w:p>
        </w:tc>
        <w:tc>
          <w:tcPr>
            <w:tcW w:w="2324" w:type="dxa"/>
            <w:shd w:val="clear" w:color="auto" w:fill="000000" w:themeFill="text1"/>
          </w:tcPr>
          <w:p w14:paraId="2895C7FC" w14:textId="77777777" w:rsidR="00CC07E9" w:rsidRPr="00AF1059" w:rsidRDefault="00CC07E9" w:rsidP="0060768A">
            <w:pPr>
              <w:jc w:val="center"/>
              <w:rPr>
                <w:b/>
                <w:bCs/>
              </w:rPr>
            </w:pPr>
          </w:p>
        </w:tc>
        <w:tc>
          <w:tcPr>
            <w:tcW w:w="2425" w:type="dxa"/>
            <w:shd w:val="clear" w:color="auto" w:fill="000000" w:themeFill="text1"/>
          </w:tcPr>
          <w:p w14:paraId="1525D5E2" w14:textId="1E1D0492" w:rsidR="00CC07E9" w:rsidRPr="00AF1059" w:rsidRDefault="00CC07E9" w:rsidP="0060768A">
            <w:pPr>
              <w:jc w:val="center"/>
              <w:rPr>
                <w:b/>
                <w:bCs/>
              </w:rPr>
            </w:pPr>
            <w:r w:rsidRPr="00AF1059">
              <w:rPr>
                <w:b/>
                <w:bCs/>
              </w:rPr>
              <w:t>£</w:t>
            </w:r>
            <w:r w:rsidR="00BB3A85" w:rsidRPr="00BB3A85">
              <w:rPr>
                <w:b/>
                <w:bCs/>
              </w:rPr>
              <w:t>74,760</w:t>
            </w:r>
          </w:p>
        </w:tc>
      </w:tr>
      <w:tr w:rsidR="00CC07E9" w:rsidRPr="009A0175" w14:paraId="3A63000A" w14:textId="77777777" w:rsidTr="0060768A">
        <w:tc>
          <w:tcPr>
            <w:tcW w:w="2405" w:type="dxa"/>
            <w:shd w:val="clear" w:color="auto" w:fill="F2F2F2" w:themeFill="background1" w:themeFillShade="F2"/>
          </w:tcPr>
          <w:p w14:paraId="5B8866E8" w14:textId="77777777" w:rsidR="00CC07E9" w:rsidRPr="008F0E1D" w:rsidRDefault="00CC07E9" w:rsidP="0060768A">
            <w:r w:rsidRPr="008F0E1D">
              <w:t>Onshore Tax Credit</w:t>
            </w:r>
          </w:p>
        </w:tc>
        <w:tc>
          <w:tcPr>
            <w:tcW w:w="2196" w:type="dxa"/>
            <w:shd w:val="clear" w:color="auto" w:fill="F2F2F2" w:themeFill="background1" w:themeFillShade="F2"/>
          </w:tcPr>
          <w:p w14:paraId="1AE0B7E3" w14:textId="0859A8C7" w:rsidR="00CC07E9" w:rsidRPr="009A0175" w:rsidRDefault="00CC07E9" w:rsidP="0060768A">
            <w:pPr>
              <w:jc w:val="center"/>
            </w:pPr>
            <w:r w:rsidRPr="009A0175">
              <w:t>(£</w:t>
            </w:r>
            <w:r w:rsidR="00575396">
              <w:t>100,000</w:t>
            </w:r>
            <w:r w:rsidRPr="009A0175">
              <w:t>)</w:t>
            </w:r>
          </w:p>
        </w:tc>
        <w:tc>
          <w:tcPr>
            <w:tcW w:w="2324" w:type="dxa"/>
            <w:shd w:val="clear" w:color="auto" w:fill="F2F2F2" w:themeFill="background1" w:themeFillShade="F2"/>
          </w:tcPr>
          <w:p w14:paraId="39FB3EA1" w14:textId="3DB7E992" w:rsidR="00CC07E9" w:rsidRPr="009A0175" w:rsidRDefault="00193BC2" w:rsidP="0060768A">
            <w:pPr>
              <w:jc w:val="center"/>
            </w:pPr>
            <w:r>
              <w:t>0</w:t>
            </w:r>
            <w:r w:rsidR="00CC07E9" w:rsidRPr="009A0175">
              <w:t>%</w:t>
            </w:r>
          </w:p>
        </w:tc>
        <w:tc>
          <w:tcPr>
            <w:tcW w:w="2425" w:type="dxa"/>
            <w:shd w:val="clear" w:color="auto" w:fill="F2F2F2" w:themeFill="background1" w:themeFillShade="F2"/>
          </w:tcPr>
          <w:p w14:paraId="769E850B" w14:textId="204A5325" w:rsidR="00CC07E9" w:rsidRPr="009A0175" w:rsidRDefault="00CC07E9" w:rsidP="0060768A">
            <w:pPr>
              <w:jc w:val="center"/>
            </w:pPr>
            <w:r w:rsidRPr="009A0175">
              <w:t>(</w:t>
            </w:r>
            <w:r w:rsidR="00193BC2">
              <w:t>£0</w:t>
            </w:r>
            <w:r w:rsidRPr="009A0175">
              <w:t>)</w:t>
            </w:r>
          </w:p>
        </w:tc>
      </w:tr>
      <w:tr w:rsidR="00CC07E9" w:rsidRPr="00746D6D" w14:paraId="7964305F" w14:textId="77777777" w:rsidTr="0060768A">
        <w:tc>
          <w:tcPr>
            <w:tcW w:w="2405" w:type="dxa"/>
            <w:shd w:val="clear" w:color="auto" w:fill="F2F2F2" w:themeFill="background1" w:themeFillShade="F2"/>
          </w:tcPr>
          <w:p w14:paraId="03056205" w14:textId="77777777" w:rsidR="00CC07E9" w:rsidRPr="00644F44" w:rsidRDefault="00CC07E9" w:rsidP="0060768A">
            <w:r w:rsidRPr="00644F44">
              <w:t>Top-Slicing Relief</w:t>
            </w:r>
          </w:p>
        </w:tc>
        <w:tc>
          <w:tcPr>
            <w:tcW w:w="2196" w:type="dxa"/>
            <w:shd w:val="clear" w:color="auto" w:fill="F2F2F2" w:themeFill="background1" w:themeFillShade="F2"/>
          </w:tcPr>
          <w:p w14:paraId="008DF9E4" w14:textId="77777777" w:rsidR="00CC07E9" w:rsidRPr="00746D6D" w:rsidRDefault="00CC07E9" w:rsidP="0060768A">
            <w:pPr>
              <w:jc w:val="center"/>
            </w:pPr>
          </w:p>
        </w:tc>
        <w:tc>
          <w:tcPr>
            <w:tcW w:w="2324" w:type="dxa"/>
            <w:shd w:val="clear" w:color="auto" w:fill="F2F2F2" w:themeFill="background1" w:themeFillShade="F2"/>
          </w:tcPr>
          <w:p w14:paraId="61B8496A" w14:textId="77777777" w:rsidR="00CC07E9" w:rsidRPr="00746D6D" w:rsidRDefault="00CC07E9" w:rsidP="0060768A">
            <w:pPr>
              <w:jc w:val="center"/>
            </w:pPr>
          </w:p>
        </w:tc>
        <w:tc>
          <w:tcPr>
            <w:tcW w:w="2425" w:type="dxa"/>
            <w:shd w:val="clear" w:color="auto" w:fill="F2F2F2" w:themeFill="background1" w:themeFillShade="F2"/>
          </w:tcPr>
          <w:p w14:paraId="75E55113" w14:textId="2490C710" w:rsidR="00CC07E9" w:rsidRPr="00746D6D" w:rsidRDefault="00CC07E9" w:rsidP="0060768A">
            <w:pPr>
              <w:jc w:val="center"/>
            </w:pPr>
          </w:p>
        </w:tc>
      </w:tr>
      <w:tr w:rsidR="00CC07E9" w:rsidRPr="00AF1059" w14:paraId="6A1C0CB4" w14:textId="77777777" w:rsidTr="0060768A">
        <w:tc>
          <w:tcPr>
            <w:tcW w:w="2405" w:type="dxa"/>
            <w:shd w:val="clear" w:color="auto" w:fill="000000" w:themeFill="text1"/>
          </w:tcPr>
          <w:p w14:paraId="13A0B110" w14:textId="77777777" w:rsidR="00CC07E9" w:rsidRPr="00AF1059" w:rsidRDefault="00CC07E9" w:rsidP="0060768A">
            <w:pPr>
              <w:rPr>
                <w:b/>
                <w:bCs/>
              </w:rPr>
            </w:pPr>
            <w:r>
              <w:rPr>
                <w:b/>
                <w:bCs/>
              </w:rPr>
              <w:t>Actual Tax Due</w:t>
            </w:r>
          </w:p>
        </w:tc>
        <w:tc>
          <w:tcPr>
            <w:tcW w:w="2196" w:type="dxa"/>
            <w:shd w:val="clear" w:color="auto" w:fill="000000" w:themeFill="text1"/>
          </w:tcPr>
          <w:p w14:paraId="16B572BB" w14:textId="77777777" w:rsidR="00CC07E9" w:rsidRPr="00AF1059" w:rsidRDefault="00CC07E9" w:rsidP="0060768A">
            <w:pPr>
              <w:jc w:val="center"/>
              <w:rPr>
                <w:b/>
                <w:bCs/>
              </w:rPr>
            </w:pPr>
          </w:p>
        </w:tc>
        <w:tc>
          <w:tcPr>
            <w:tcW w:w="2324" w:type="dxa"/>
            <w:shd w:val="clear" w:color="auto" w:fill="000000" w:themeFill="text1"/>
          </w:tcPr>
          <w:p w14:paraId="49FF2116" w14:textId="77777777" w:rsidR="00CC07E9" w:rsidRPr="00AF1059" w:rsidRDefault="00CC07E9" w:rsidP="0060768A">
            <w:pPr>
              <w:jc w:val="center"/>
              <w:rPr>
                <w:b/>
                <w:bCs/>
              </w:rPr>
            </w:pPr>
          </w:p>
        </w:tc>
        <w:tc>
          <w:tcPr>
            <w:tcW w:w="2425" w:type="dxa"/>
            <w:shd w:val="clear" w:color="auto" w:fill="000000" w:themeFill="text1"/>
          </w:tcPr>
          <w:p w14:paraId="5BA528D3" w14:textId="14920C13" w:rsidR="00CC07E9" w:rsidRPr="00AF1059" w:rsidRDefault="00CC07E9" w:rsidP="0060768A">
            <w:pPr>
              <w:jc w:val="center"/>
              <w:rPr>
                <w:b/>
                <w:bCs/>
              </w:rPr>
            </w:pPr>
          </w:p>
        </w:tc>
      </w:tr>
    </w:tbl>
    <w:p w14:paraId="0D368833" w14:textId="6D224839" w:rsidR="00266CFC" w:rsidRDefault="00266CFC" w:rsidP="00AC3A8E"/>
    <w:p w14:paraId="023574E0" w14:textId="77777777" w:rsidR="00193BC2" w:rsidRDefault="00193BC2" w:rsidP="00193BC2">
      <w:pPr>
        <w:pStyle w:val="Heading3"/>
      </w:pPr>
      <w:bookmarkStart w:id="16" w:name="_Toc187422040"/>
      <w:r>
        <w:t>Working Out ‘A’</w:t>
      </w:r>
      <w:bookmarkEnd w:id="16"/>
    </w:p>
    <w:p w14:paraId="57D15944" w14:textId="77777777" w:rsidR="00193BC2" w:rsidRDefault="00193BC2" w:rsidP="00193BC2"/>
    <w:p w14:paraId="155A5FC6" w14:textId="43C972BF" w:rsidR="00193BC2" w:rsidRDefault="007D6952" w:rsidP="00193BC2">
      <w:r>
        <w:t>Again, we</w:t>
      </w:r>
      <w:r w:rsidR="00193BC2">
        <w:t xml:space="preserve"> calculate the total tax on the bond, and deduct the</w:t>
      </w:r>
      <w:r w:rsidR="00525E41">
        <w:t xml:space="preserve"> </w:t>
      </w:r>
      <w:r w:rsidR="00525E41" w:rsidRPr="00525E41">
        <w:rPr>
          <w:b/>
          <w:bCs/>
        </w:rPr>
        <w:t>theoretical</w:t>
      </w:r>
      <w:r w:rsidR="00193BC2">
        <w:t xml:space="preserve"> Onshore Tax Credit. </w:t>
      </w:r>
      <w:r w:rsidR="00525E41">
        <w:t xml:space="preserve">Remember it’s only a theoretical onshore tax credit here because it’s an offshore gain. </w:t>
      </w:r>
      <w:r w:rsidR="00193BC2">
        <w:t>Total tax on the bond (according to our table) is £</w:t>
      </w:r>
      <w:r w:rsidR="000D2218">
        <w:t>20</w:t>
      </w:r>
      <w:r w:rsidR="00193BC2">
        <w:t>,000 + £</w:t>
      </w:r>
      <w:r w:rsidR="000D2218">
        <w:t>22</w:t>
      </w:r>
      <w:r w:rsidR="00193BC2">
        <w:t>,</w:t>
      </w:r>
      <w:r w:rsidR="000D2218">
        <w:t>500</w:t>
      </w:r>
      <w:r w:rsidR="00193BC2">
        <w:t xml:space="preserve"> = £</w:t>
      </w:r>
      <w:r w:rsidR="000D2218">
        <w:t>42</w:t>
      </w:r>
      <w:r w:rsidR="00193BC2">
        <w:t>,</w:t>
      </w:r>
      <w:r w:rsidR="000D2218">
        <w:t>50</w:t>
      </w:r>
      <w:r w:rsidR="00193BC2">
        <w:t xml:space="preserve">0. And the </w:t>
      </w:r>
      <w:r w:rsidR="00525E41" w:rsidRPr="00452C80">
        <w:rPr>
          <w:b/>
          <w:bCs/>
        </w:rPr>
        <w:t>theoretical</w:t>
      </w:r>
      <w:r w:rsidR="00525E41">
        <w:t xml:space="preserve"> </w:t>
      </w:r>
      <w:r w:rsidR="00193BC2">
        <w:t>Onshore Tax Credit is £</w:t>
      </w:r>
      <w:r w:rsidR="000D2218">
        <w:t>2</w:t>
      </w:r>
      <w:r w:rsidR="00193BC2">
        <w:t>0,000. So</w:t>
      </w:r>
      <w:r w:rsidR="000D2218">
        <w:t>,</w:t>
      </w:r>
      <w:r w:rsidR="00193BC2">
        <w:t xml:space="preserve"> £</w:t>
      </w:r>
      <w:r w:rsidR="00452C80">
        <w:t>42</w:t>
      </w:r>
      <w:r w:rsidR="00525E41">
        <w:t>,</w:t>
      </w:r>
      <w:r w:rsidR="00452C80">
        <w:t>50</w:t>
      </w:r>
      <w:r w:rsidR="00525E41">
        <w:t>0</w:t>
      </w:r>
      <w:r w:rsidR="00193BC2">
        <w:t xml:space="preserve"> - £</w:t>
      </w:r>
      <w:r w:rsidR="00452C80">
        <w:t>20</w:t>
      </w:r>
      <w:r w:rsidR="00193BC2">
        <w:t>,000 = £</w:t>
      </w:r>
      <w:r w:rsidR="00452C80">
        <w:t>22</w:t>
      </w:r>
      <w:r w:rsidR="00193BC2">
        <w:t>,</w:t>
      </w:r>
      <w:r w:rsidR="00452C80">
        <w:t>50</w:t>
      </w:r>
      <w:r w:rsidR="00193BC2">
        <w:t>0.</w:t>
      </w:r>
    </w:p>
    <w:p w14:paraId="4718DFC8" w14:textId="77777777" w:rsidR="00193BC2" w:rsidRDefault="00193BC2" w:rsidP="00193BC2"/>
    <w:p w14:paraId="204DE5FB" w14:textId="28D70651" w:rsidR="00193BC2" w:rsidRPr="00E83684" w:rsidRDefault="00193BC2" w:rsidP="00193BC2">
      <w:pPr>
        <w:pBdr>
          <w:top w:val="single" w:sz="4" w:space="1" w:color="auto"/>
          <w:left w:val="single" w:sz="4" w:space="4" w:color="auto"/>
          <w:bottom w:val="single" w:sz="4" w:space="1" w:color="auto"/>
          <w:right w:val="single" w:sz="4" w:space="4" w:color="auto"/>
        </w:pBdr>
        <w:jc w:val="center"/>
        <w:rPr>
          <w:b/>
          <w:bCs/>
        </w:rPr>
      </w:pPr>
      <w:r w:rsidRPr="00E83684">
        <w:rPr>
          <w:b/>
          <w:bCs/>
        </w:rPr>
        <w:t xml:space="preserve">TSR = </w:t>
      </w:r>
      <w:r>
        <w:rPr>
          <w:b/>
          <w:bCs/>
        </w:rPr>
        <w:t>£</w:t>
      </w:r>
      <w:r w:rsidR="00452C80">
        <w:rPr>
          <w:b/>
          <w:bCs/>
        </w:rPr>
        <w:t>22</w:t>
      </w:r>
      <w:r w:rsidR="00525E41">
        <w:rPr>
          <w:b/>
          <w:bCs/>
        </w:rPr>
        <w:t>,5</w:t>
      </w:r>
      <w:r w:rsidR="00452C80">
        <w:rPr>
          <w:b/>
          <w:bCs/>
        </w:rPr>
        <w:t>0</w:t>
      </w:r>
      <w:r w:rsidR="00525E41">
        <w:rPr>
          <w:b/>
          <w:bCs/>
        </w:rPr>
        <w:t>0</w:t>
      </w:r>
      <w:r w:rsidRPr="00E83684">
        <w:rPr>
          <w:b/>
          <w:bCs/>
        </w:rPr>
        <w:t xml:space="preserve"> – B</w:t>
      </w:r>
    </w:p>
    <w:p w14:paraId="5739A62C" w14:textId="2DA180D4" w:rsidR="00193BC2" w:rsidRDefault="00193BC2" w:rsidP="00AC3A8E"/>
    <w:p w14:paraId="27D80CE0" w14:textId="0D5139C3" w:rsidR="007D6952" w:rsidRDefault="002E0C5D" w:rsidP="002E0C5D">
      <w:pPr>
        <w:pStyle w:val="Heading3"/>
      </w:pPr>
      <w:bookmarkStart w:id="17" w:name="_Toc187422041"/>
      <w:r>
        <w:t>Working Out ‘B’</w:t>
      </w:r>
      <w:bookmarkEnd w:id="17"/>
    </w:p>
    <w:p w14:paraId="0021B387" w14:textId="27F0F2AC" w:rsidR="002E0C5D" w:rsidRDefault="002E0C5D" w:rsidP="002E0C5D"/>
    <w:p w14:paraId="619A85E7" w14:textId="0603E8F4" w:rsidR="002E0C5D" w:rsidRPr="00357009" w:rsidRDefault="00A52279" w:rsidP="002E0C5D">
      <w:pPr>
        <w:rPr>
          <w:b/>
          <w:bCs/>
        </w:rPr>
      </w:pPr>
      <w:r>
        <w:t>And again, we’re going to repeat our table</w:t>
      </w:r>
      <w:r w:rsidR="00F526FF">
        <w:t>.</w:t>
      </w:r>
      <w:r w:rsidR="00357009">
        <w:t xml:space="preserve"> </w:t>
      </w:r>
      <w:r w:rsidR="00357009" w:rsidRPr="00357009">
        <w:rPr>
          <w:b/>
          <w:bCs/>
        </w:rPr>
        <w:t>Note that because we’re repeating the table based on just a £10,000 slice, we’re getting back some of our Personal Allowance!</w:t>
      </w:r>
    </w:p>
    <w:p w14:paraId="5F0C93E8" w14:textId="2E94A7BF" w:rsidR="00357009" w:rsidRDefault="00357009" w:rsidP="002E0C5D"/>
    <w:p w14:paraId="20FA1B50" w14:textId="66245351" w:rsidR="00154A67" w:rsidRDefault="00357009" w:rsidP="002E0C5D">
      <w:r>
        <w:t xml:space="preserve">The Personal Allowance is reduced by £1 for every £2 of adjusted net income over £100,000. Our </w:t>
      </w:r>
      <w:r w:rsidR="005F39AA">
        <w:t>adjusted net income based on the slice is £110,000.</w:t>
      </w:r>
      <w:r w:rsidR="00D16677">
        <w:t xml:space="preserve"> T</w:t>
      </w:r>
      <w:r w:rsidR="005F39AA">
        <w:t>h</w:t>
      </w:r>
      <w:r w:rsidR="00D16677">
        <w:t>e reduction</w:t>
      </w:r>
      <w:r w:rsidR="005F39AA">
        <w:t xml:space="preserve"> is £10,000 (the excess over £100,000) divided by 2</w:t>
      </w:r>
      <w:r w:rsidR="00D16677">
        <w:t>, which is £5,000.</w:t>
      </w:r>
    </w:p>
    <w:p w14:paraId="2B2B1FC3" w14:textId="306E4798" w:rsidR="00D16677" w:rsidRDefault="00D16677" w:rsidP="002E0C5D"/>
    <w:p w14:paraId="11BD5E33" w14:textId="661205BD" w:rsidR="00D16677" w:rsidRPr="00D16677" w:rsidRDefault="00D16677" w:rsidP="00D16677">
      <w:pPr>
        <w:pBdr>
          <w:top w:val="single" w:sz="4" w:space="1" w:color="auto"/>
          <w:left w:val="single" w:sz="4" w:space="4" w:color="auto"/>
          <w:bottom w:val="single" w:sz="4" w:space="1" w:color="auto"/>
          <w:right w:val="single" w:sz="4" w:space="4" w:color="auto"/>
        </w:pBdr>
        <w:jc w:val="center"/>
        <w:rPr>
          <w:b/>
          <w:bCs/>
        </w:rPr>
      </w:pPr>
      <w:r>
        <w:rPr>
          <w:b/>
          <w:bCs/>
        </w:rPr>
        <w:lastRenderedPageBreak/>
        <w:t>£12,570</w:t>
      </w:r>
      <w:r w:rsidR="007C2FBE">
        <w:rPr>
          <w:b/>
          <w:bCs/>
        </w:rPr>
        <w:t xml:space="preserve"> standard Personal Allowance</w:t>
      </w:r>
      <w:r>
        <w:rPr>
          <w:b/>
          <w:bCs/>
        </w:rPr>
        <w:t xml:space="preserve"> - £5,000</w:t>
      </w:r>
      <w:r w:rsidR="007C2FBE">
        <w:rPr>
          <w:b/>
          <w:bCs/>
        </w:rPr>
        <w:t xml:space="preserve"> reduction</w:t>
      </w:r>
      <w:r>
        <w:rPr>
          <w:b/>
          <w:bCs/>
        </w:rPr>
        <w:t xml:space="preserve"> = £7,570</w:t>
      </w:r>
    </w:p>
    <w:p w14:paraId="09387CB7" w14:textId="1A9D361A" w:rsidR="00357009" w:rsidRDefault="00357009" w:rsidP="002E0C5D"/>
    <w:p w14:paraId="2E2F83FA" w14:textId="0E063004" w:rsidR="00154A67" w:rsidRDefault="00154A67" w:rsidP="002E0C5D">
      <w:r>
        <w:t xml:space="preserve">Note also that when the Personal Allowance comes back, the basic-rate band doesn’t change – it is fixed at £37,700. </w:t>
      </w:r>
      <w:r w:rsidRPr="00154A67">
        <w:rPr>
          <w:b/>
          <w:bCs/>
        </w:rPr>
        <w:t xml:space="preserve">It’s the higher-rate band that </w:t>
      </w:r>
      <w:r>
        <w:rPr>
          <w:b/>
          <w:bCs/>
        </w:rPr>
        <w:t>adjusts</w:t>
      </w:r>
      <w:r w:rsidRPr="00154A67">
        <w:rPr>
          <w:b/>
          <w:bCs/>
        </w:rPr>
        <w:t>.</w:t>
      </w:r>
      <w:r w:rsidR="00C46E42">
        <w:t xml:space="preserve"> This is demonstrated in the table.</w:t>
      </w:r>
    </w:p>
    <w:p w14:paraId="4492A130" w14:textId="4C3140D0" w:rsidR="00154A67" w:rsidRDefault="00154A67" w:rsidP="002E0C5D"/>
    <w:p w14:paraId="18904A6D" w14:textId="5F0ED7A2" w:rsidR="00666CE9" w:rsidRPr="00666CE9" w:rsidRDefault="00666CE9" w:rsidP="002E0C5D">
      <w:pPr>
        <w:rPr>
          <w:b/>
          <w:bCs/>
        </w:rPr>
      </w:pPr>
      <w:r>
        <w:t xml:space="preserve">Because we’re also now a higher-rate taxpayer (rather than additional-rate) </w:t>
      </w:r>
      <w:r w:rsidRPr="00666CE9">
        <w:rPr>
          <w:b/>
          <w:bCs/>
        </w:rPr>
        <w:t>we also get to reclaim our PSA of £500 for higher-rate taxpayers!</w:t>
      </w:r>
    </w:p>
    <w:p w14:paraId="499ECC6B" w14:textId="77777777" w:rsidR="00666CE9" w:rsidRDefault="00666CE9" w:rsidP="002E0C5D"/>
    <w:tbl>
      <w:tblPr>
        <w:tblStyle w:val="TableGrid"/>
        <w:tblW w:w="0" w:type="auto"/>
        <w:tblLook w:val="04A0" w:firstRow="1" w:lastRow="0" w:firstColumn="1" w:lastColumn="0" w:noHBand="0" w:noVBand="1"/>
      </w:tblPr>
      <w:tblGrid>
        <w:gridCol w:w="2405"/>
        <w:gridCol w:w="2196"/>
        <w:gridCol w:w="2324"/>
        <w:gridCol w:w="2425"/>
      </w:tblGrid>
      <w:tr w:rsidR="00357009" w:rsidRPr="00E871BE" w14:paraId="56A460ED" w14:textId="77777777" w:rsidTr="0060768A">
        <w:tc>
          <w:tcPr>
            <w:tcW w:w="2405" w:type="dxa"/>
          </w:tcPr>
          <w:p w14:paraId="104B8CF8" w14:textId="77777777" w:rsidR="00357009" w:rsidRPr="00E871BE" w:rsidRDefault="00357009" w:rsidP="0060768A">
            <w:pPr>
              <w:rPr>
                <w:b/>
                <w:bCs/>
              </w:rPr>
            </w:pPr>
            <w:r w:rsidRPr="00E871BE">
              <w:rPr>
                <w:b/>
                <w:bCs/>
              </w:rPr>
              <w:t>Income Source</w:t>
            </w:r>
          </w:p>
        </w:tc>
        <w:tc>
          <w:tcPr>
            <w:tcW w:w="2196" w:type="dxa"/>
          </w:tcPr>
          <w:p w14:paraId="3D6BBB98" w14:textId="77777777" w:rsidR="00357009" w:rsidRPr="00E871BE" w:rsidRDefault="00357009" w:rsidP="0060768A">
            <w:pPr>
              <w:jc w:val="center"/>
              <w:rPr>
                <w:b/>
                <w:bCs/>
              </w:rPr>
            </w:pPr>
            <w:r w:rsidRPr="00E871BE">
              <w:rPr>
                <w:b/>
                <w:bCs/>
              </w:rPr>
              <w:t>Amount</w:t>
            </w:r>
          </w:p>
        </w:tc>
        <w:tc>
          <w:tcPr>
            <w:tcW w:w="2324" w:type="dxa"/>
          </w:tcPr>
          <w:p w14:paraId="69088438" w14:textId="77777777" w:rsidR="00357009" w:rsidRPr="00E871BE" w:rsidRDefault="00357009" w:rsidP="0060768A">
            <w:pPr>
              <w:jc w:val="center"/>
              <w:rPr>
                <w:b/>
                <w:bCs/>
              </w:rPr>
            </w:pPr>
            <w:r w:rsidRPr="00E871BE">
              <w:rPr>
                <w:b/>
                <w:bCs/>
              </w:rPr>
              <w:t>Tax Rate</w:t>
            </w:r>
          </w:p>
        </w:tc>
        <w:tc>
          <w:tcPr>
            <w:tcW w:w="2425" w:type="dxa"/>
          </w:tcPr>
          <w:p w14:paraId="06C5358F" w14:textId="77777777" w:rsidR="00357009" w:rsidRPr="00E871BE" w:rsidRDefault="00357009" w:rsidP="0060768A">
            <w:pPr>
              <w:jc w:val="center"/>
              <w:rPr>
                <w:b/>
                <w:bCs/>
              </w:rPr>
            </w:pPr>
            <w:r w:rsidRPr="00E871BE">
              <w:rPr>
                <w:b/>
                <w:bCs/>
              </w:rPr>
              <w:t>Amount of Tax</w:t>
            </w:r>
          </w:p>
        </w:tc>
      </w:tr>
      <w:tr w:rsidR="00357009" w14:paraId="25324FAE" w14:textId="77777777" w:rsidTr="0060768A">
        <w:tc>
          <w:tcPr>
            <w:tcW w:w="2405" w:type="dxa"/>
            <w:shd w:val="clear" w:color="auto" w:fill="BFBFBF" w:themeFill="background1" w:themeFillShade="BF"/>
          </w:tcPr>
          <w:p w14:paraId="7B2743DA" w14:textId="77777777" w:rsidR="00357009" w:rsidRDefault="00357009" w:rsidP="0060768A">
            <w:r>
              <w:t>Salary</w:t>
            </w:r>
          </w:p>
        </w:tc>
        <w:tc>
          <w:tcPr>
            <w:tcW w:w="2196" w:type="dxa"/>
            <w:shd w:val="clear" w:color="auto" w:fill="BFBFBF" w:themeFill="background1" w:themeFillShade="BF"/>
          </w:tcPr>
          <w:p w14:paraId="2C6307A5" w14:textId="2A1E5120" w:rsidR="00357009" w:rsidRDefault="00357009" w:rsidP="0060768A">
            <w:pPr>
              <w:jc w:val="center"/>
            </w:pPr>
            <w:r>
              <w:t>£</w:t>
            </w:r>
            <w:r w:rsidR="007C2FBE">
              <w:t>7,570</w:t>
            </w:r>
          </w:p>
        </w:tc>
        <w:tc>
          <w:tcPr>
            <w:tcW w:w="2324" w:type="dxa"/>
            <w:shd w:val="clear" w:color="auto" w:fill="BFBFBF" w:themeFill="background1" w:themeFillShade="BF"/>
          </w:tcPr>
          <w:p w14:paraId="6E290BBF" w14:textId="77777777" w:rsidR="00357009" w:rsidRDefault="00357009" w:rsidP="0060768A">
            <w:pPr>
              <w:jc w:val="center"/>
            </w:pPr>
            <w:r>
              <w:t>0% Personal Allowance</w:t>
            </w:r>
          </w:p>
        </w:tc>
        <w:tc>
          <w:tcPr>
            <w:tcW w:w="2425" w:type="dxa"/>
            <w:shd w:val="clear" w:color="auto" w:fill="BFBFBF" w:themeFill="background1" w:themeFillShade="BF"/>
          </w:tcPr>
          <w:p w14:paraId="37B4912D" w14:textId="77777777" w:rsidR="00357009" w:rsidRDefault="00357009" w:rsidP="0060768A">
            <w:pPr>
              <w:jc w:val="center"/>
            </w:pPr>
            <w:r>
              <w:t>£0</w:t>
            </w:r>
          </w:p>
        </w:tc>
      </w:tr>
      <w:tr w:rsidR="00357009" w14:paraId="0641D959" w14:textId="77777777" w:rsidTr="0060768A">
        <w:tc>
          <w:tcPr>
            <w:tcW w:w="2405" w:type="dxa"/>
            <w:shd w:val="clear" w:color="auto" w:fill="BFBFBF" w:themeFill="background1" w:themeFillShade="BF"/>
          </w:tcPr>
          <w:p w14:paraId="16278202" w14:textId="77777777" w:rsidR="00357009" w:rsidRDefault="00357009" w:rsidP="0060768A"/>
        </w:tc>
        <w:tc>
          <w:tcPr>
            <w:tcW w:w="2196" w:type="dxa"/>
            <w:shd w:val="clear" w:color="auto" w:fill="BFBFBF" w:themeFill="background1" w:themeFillShade="BF"/>
          </w:tcPr>
          <w:p w14:paraId="04B33842" w14:textId="77777777" w:rsidR="00357009" w:rsidRDefault="00357009" w:rsidP="0060768A">
            <w:pPr>
              <w:jc w:val="center"/>
            </w:pPr>
            <w:r>
              <w:t>£</w:t>
            </w:r>
            <w:r w:rsidRPr="004B099E">
              <w:t>3</w:t>
            </w:r>
            <w:r>
              <w:t>7,700</w:t>
            </w:r>
          </w:p>
        </w:tc>
        <w:tc>
          <w:tcPr>
            <w:tcW w:w="2324" w:type="dxa"/>
            <w:shd w:val="clear" w:color="auto" w:fill="BFBFBF" w:themeFill="background1" w:themeFillShade="BF"/>
          </w:tcPr>
          <w:p w14:paraId="6A81F1EC" w14:textId="77777777" w:rsidR="00357009" w:rsidRDefault="00357009" w:rsidP="0060768A">
            <w:pPr>
              <w:jc w:val="center"/>
            </w:pPr>
            <w:r>
              <w:t>20%</w:t>
            </w:r>
          </w:p>
        </w:tc>
        <w:tc>
          <w:tcPr>
            <w:tcW w:w="2425" w:type="dxa"/>
            <w:shd w:val="clear" w:color="auto" w:fill="BFBFBF" w:themeFill="background1" w:themeFillShade="BF"/>
          </w:tcPr>
          <w:p w14:paraId="162AE28C" w14:textId="77777777" w:rsidR="00357009" w:rsidRDefault="00357009" w:rsidP="0060768A">
            <w:pPr>
              <w:jc w:val="center"/>
            </w:pPr>
            <w:r>
              <w:t>£7</w:t>
            </w:r>
            <w:r w:rsidRPr="00E871BE">
              <w:t>,</w:t>
            </w:r>
            <w:r>
              <w:t>5</w:t>
            </w:r>
            <w:r w:rsidRPr="00E871BE">
              <w:t>40</w:t>
            </w:r>
          </w:p>
        </w:tc>
      </w:tr>
      <w:tr w:rsidR="00357009" w14:paraId="2A82E889" w14:textId="77777777" w:rsidTr="0060768A">
        <w:tc>
          <w:tcPr>
            <w:tcW w:w="2405" w:type="dxa"/>
            <w:shd w:val="clear" w:color="auto" w:fill="BFBFBF" w:themeFill="background1" w:themeFillShade="BF"/>
          </w:tcPr>
          <w:p w14:paraId="273BDF8F" w14:textId="77777777" w:rsidR="00357009" w:rsidRDefault="00357009" w:rsidP="0060768A"/>
        </w:tc>
        <w:tc>
          <w:tcPr>
            <w:tcW w:w="2196" w:type="dxa"/>
            <w:shd w:val="clear" w:color="auto" w:fill="BFBFBF" w:themeFill="background1" w:themeFillShade="BF"/>
          </w:tcPr>
          <w:p w14:paraId="3EFC3B94" w14:textId="67ECB245" w:rsidR="00357009" w:rsidRDefault="00357009" w:rsidP="0060768A">
            <w:pPr>
              <w:jc w:val="center"/>
            </w:pPr>
            <w:r>
              <w:t>£</w:t>
            </w:r>
            <w:r w:rsidR="00154A67">
              <w:t>54,230</w:t>
            </w:r>
          </w:p>
        </w:tc>
        <w:tc>
          <w:tcPr>
            <w:tcW w:w="2324" w:type="dxa"/>
            <w:shd w:val="clear" w:color="auto" w:fill="BFBFBF" w:themeFill="background1" w:themeFillShade="BF"/>
          </w:tcPr>
          <w:p w14:paraId="6D86734E" w14:textId="77777777" w:rsidR="00357009" w:rsidRDefault="00357009" w:rsidP="0060768A">
            <w:pPr>
              <w:jc w:val="center"/>
            </w:pPr>
            <w:r>
              <w:t>40%</w:t>
            </w:r>
          </w:p>
        </w:tc>
        <w:tc>
          <w:tcPr>
            <w:tcW w:w="2425" w:type="dxa"/>
            <w:shd w:val="clear" w:color="auto" w:fill="BFBFBF" w:themeFill="background1" w:themeFillShade="BF"/>
          </w:tcPr>
          <w:p w14:paraId="5A026FAB" w14:textId="77777777" w:rsidR="00357009" w:rsidRDefault="00357009" w:rsidP="0060768A">
            <w:pPr>
              <w:jc w:val="center"/>
            </w:pPr>
            <w:r>
              <w:t>£2</w:t>
            </w:r>
            <w:r w:rsidRPr="00DC48F5">
              <w:t>4,720</w:t>
            </w:r>
          </w:p>
        </w:tc>
      </w:tr>
      <w:tr w:rsidR="00357009" w14:paraId="0D72F436" w14:textId="77777777" w:rsidTr="0060768A">
        <w:tc>
          <w:tcPr>
            <w:tcW w:w="2405" w:type="dxa"/>
            <w:shd w:val="clear" w:color="auto" w:fill="BFBFBF" w:themeFill="background1" w:themeFillShade="BF"/>
          </w:tcPr>
          <w:p w14:paraId="7B1F9B72" w14:textId="77777777" w:rsidR="00357009" w:rsidRDefault="00357009" w:rsidP="0060768A"/>
        </w:tc>
        <w:tc>
          <w:tcPr>
            <w:tcW w:w="2196" w:type="dxa"/>
            <w:shd w:val="clear" w:color="auto" w:fill="BFBFBF" w:themeFill="background1" w:themeFillShade="BF"/>
          </w:tcPr>
          <w:p w14:paraId="069B4FCA" w14:textId="77777777" w:rsidR="00357009" w:rsidRDefault="00357009" w:rsidP="0060768A">
            <w:pPr>
              <w:jc w:val="center"/>
            </w:pPr>
            <w:r>
              <w:t>£0</w:t>
            </w:r>
          </w:p>
        </w:tc>
        <w:tc>
          <w:tcPr>
            <w:tcW w:w="2324" w:type="dxa"/>
            <w:shd w:val="clear" w:color="auto" w:fill="BFBFBF" w:themeFill="background1" w:themeFillShade="BF"/>
          </w:tcPr>
          <w:p w14:paraId="0F50B71A" w14:textId="77777777" w:rsidR="00357009" w:rsidRDefault="00357009" w:rsidP="0060768A">
            <w:pPr>
              <w:jc w:val="center"/>
            </w:pPr>
            <w:r>
              <w:t>45%</w:t>
            </w:r>
          </w:p>
        </w:tc>
        <w:tc>
          <w:tcPr>
            <w:tcW w:w="2425" w:type="dxa"/>
            <w:shd w:val="clear" w:color="auto" w:fill="BFBFBF" w:themeFill="background1" w:themeFillShade="BF"/>
          </w:tcPr>
          <w:p w14:paraId="268D1532" w14:textId="77777777" w:rsidR="00357009" w:rsidRDefault="00357009" w:rsidP="0060768A">
            <w:pPr>
              <w:jc w:val="center"/>
            </w:pPr>
            <w:r>
              <w:t>£0</w:t>
            </w:r>
          </w:p>
        </w:tc>
      </w:tr>
      <w:tr w:rsidR="00357009" w14:paraId="25C693EC" w14:textId="77777777" w:rsidTr="0060768A">
        <w:tc>
          <w:tcPr>
            <w:tcW w:w="2405" w:type="dxa"/>
            <w:shd w:val="clear" w:color="auto" w:fill="F2F2F2" w:themeFill="background1" w:themeFillShade="F2"/>
          </w:tcPr>
          <w:p w14:paraId="0E0F7551" w14:textId="77777777" w:rsidR="00357009" w:rsidRDefault="00357009" w:rsidP="0060768A">
            <w:r>
              <w:t>Savings Income</w:t>
            </w:r>
          </w:p>
        </w:tc>
        <w:tc>
          <w:tcPr>
            <w:tcW w:w="2196" w:type="dxa"/>
            <w:shd w:val="clear" w:color="auto" w:fill="F2F2F2" w:themeFill="background1" w:themeFillShade="F2"/>
          </w:tcPr>
          <w:p w14:paraId="021452A9" w14:textId="6C57D023" w:rsidR="00357009" w:rsidRDefault="00357009" w:rsidP="0060768A">
            <w:pPr>
              <w:jc w:val="center"/>
            </w:pPr>
            <w:r>
              <w:t>£</w:t>
            </w:r>
            <w:r w:rsidR="00666CE9">
              <w:t>500</w:t>
            </w:r>
          </w:p>
        </w:tc>
        <w:tc>
          <w:tcPr>
            <w:tcW w:w="2324" w:type="dxa"/>
            <w:shd w:val="clear" w:color="auto" w:fill="F2F2F2" w:themeFill="background1" w:themeFillShade="F2"/>
          </w:tcPr>
          <w:p w14:paraId="60B3D3A4" w14:textId="77777777" w:rsidR="00357009" w:rsidRDefault="00357009" w:rsidP="0060768A">
            <w:pPr>
              <w:jc w:val="center"/>
            </w:pPr>
            <w:r>
              <w:t>0% PSA</w:t>
            </w:r>
          </w:p>
        </w:tc>
        <w:tc>
          <w:tcPr>
            <w:tcW w:w="2425" w:type="dxa"/>
            <w:shd w:val="clear" w:color="auto" w:fill="F2F2F2" w:themeFill="background1" w:themeFillShade="F2"/>
          </w:tcPr>
          <w:p w14:paraId="6DCB27E6" w14:textId="77777777" w:rsidR="00357009" w:rsidRDefault="00357009" w:rsidP="0060768A">
            <w:pPr>
              <w:jc w:val="center"/>
            </w:pPr>
            <w:r>
              <w:t>£0</w:t>
            </w:r>
          </w:p>
        </w:tc>
      </w:tr>
      <w:tr w:rsidR="00357009" w14:paraId="1F2C3281" w14:textId="77777777" w:rsidTr="0060768A">
        <w:tc>
          <w:tcPr>
            <w:tcW w:w="2405" w:type="dxa"/>
            <w:shd w:val="clear" w:color="auto" w:fill="F2F2F2" w:themeFill="background1" w:themeFillShade="F2"/>
          </w:tcPr>
          <w:p w14:paraId="4E2597D4" w14:textId="77777777" w:rsidR="00357009" w:rsidRDefault="00357009" w:rsidP="0060768A"/>
        </w:tc>
        <w:tc>
          <w:tcPr>
            <w:tcW w:w="2196" w:type="dxa"/>
            <w:shd w:val="clear" w:color="auto" w:fill="F2F2F2" w:themeFill="background1" w:themeFillShade="F2"/>
          </w:tcPr>
          <w:p w14:paraId="133E8AB7" w14:textId="77777777" w:rsidR="00357009" w:rsidRDefault="00357009" w:rsidP="0060768A">
            <w:pPr>
              <w:jc w:val="center"/>
            </w:pPr>
            <w:r>
              <w:t>£0</w:t>
            </w:r>
          </w:p>
        </w:tc>
        <w:tc>
          <w:tcPr>
            <w:tcW w:w="2324" w:type="dxa"/>
            <w:shd w:val="clear" w:color="auto" w:fill="F2F2F2" w:themeFill="background1" w:themeFillShade="F2"/>
          </w:tcPr>
          <w:p w14:paraId="615C5B21" w14:textId="77777777" w:rsidR="00357009" w:rsidRDefault="00357009" w:rsidP="0060768A">
            <w:pPr>
              <w:jc w:val="center"/>
            </w:pPr>
            <w:r>
              <w:t>20%</w:t>
            </w:r>
          </w:p>
        </w:tc>
        <w:tc>
          <w:tcPr>
            <w:tcW w:w="2425" w:type="dxa"/>
            <w:shd w:val="clear" w:color="auto" w:fill="F2F2F2" w:themeFill="background1" w:themeFillShade="F2"/>
          </w:tcPr>
          <w:p w14:paraId="2F20FA39" w14:textId="77777777" w:rsidR="00357009" w:rsidRDefault="00357009" w:rsidP="0060768A">
            <w:pPr>
              <w:jc w:val="center"/>
            </w:pPr>
            <w:r>
              <w:t>£0</w:t>
            </w:r>
          </w:p>
        </w:tc>
      </w:tr>
      <w:tr w:rsidR="00357009" w14:paraId="7935918E" w14:textId="77777777" w:rsidTr="0060768A">
        <w:tc>
          <w:tcPr>
            <w:tcW w:w="2405" w:type="dxa"/>
            <w:shd w:val="clear" w:color="auto" w:fill="F2F2F2" w:themeFill="background1" w:themeFillShade="F2"/>
          </w:tcPr>
          <w:p w14:paraId="7D9A3183" w14:textId="77777777" w:rsidR="00357009" w:rsidRDefault="00357009" w:rsidP="0060768A"/>
        </w:tc>
        <w:tc>
          <w:tcPr>
            <w:tcW w:w="2196" w:type="dxa"/>
            <w:shd w:val="clear" w:color="auto" w:fill="F2F2F2" w:themeFill="background1" w:themeFillShade="F2"/>
          </w:tcPr>
          <w:p w14:paraId="1F6A66B4" w14:textId="74844C32" w:rsidR="00357009" w:rsidRDefault="00357009" w:rsidP="0060768A">
            <w:pPr>
              <w:jc w:val="center"/>
            </w:pPr>
            <w:r>
              <w:t>£</w:t>
            </w:r>
            <w:r w:rsidR="00666CE9">
              <w:t>0</w:t>
            </w:r>
          </w:p>
        </w:tc>
        <w:tc>
          <w:tcPr>
            <w:tcW w:w="2324" w:type="dxa"/>
            <w:shd w:val="clear" w:color="auto" w:fill="F2F2F2" w:themeFill="background1" w:themeFillShade="F2"/>
          </w:tcPr>
          <w:p w14:paraId="4FF2C176" w14:textId="77777777" w:rsidR="00357009" w:rsidRDefault="00357009" w:rsidP="0060768A">
            <w:pPr>
              <w:jc w:val="center"/>
            </w:pPr>
            <w:r>
              <w:t>40%</w:t>
            </w:r>
          </w:p>
        </w:tc>
        <w:tc>
          <w:tcPr>
            <w:tcW w:w="2425" w:type="dxa"/>
            <w:shd w:val="clear" w:color="auto" w:fill="F2F2F2" w:themeFill="background1" w:themeFillShade="F2"/>
          </w:tcPr>
          <w:p w14:paraId="2EF49CF1" w14:textId="0B791D09" w:rsidR="00357009" w:rsidRDefault="00357009" w:rsidP="0060768A">
            <w:pPr>
              <w:jc w:val="center"/>
            </w:pPr>
            <w:r>
              <w:t>£</w:t>
            </w:r>
            <w:r w:rsidR="00F12F79">
              <w:t>0</w:t>
            </w:r>
          </w:p>
        </w:tc>
      </w:tr>
      <w:tr w:rsidR="00357009" w14:paraId="1AED3498" w14:textId="77777777" w:rsidTr="0060768A">
        <w:tc>
          <w:tcPr>
            <w:tcW w:w="2405" w:type="dxa"/>
            <w:shd w:val="clear" w:color="auto" w:fill="F2F2F2" w:themeFill="background1" w:themeFillShade="F2"/>
          </w:tcPr>
          <w:p w14:paraId="171DE3C8" w14:textId="77777777" w:rsidR="00357009" w:rsidRDefault="00357009" w:rsidP="0060768A"/>
        </w:tc>
        <w:tc>
          <w:tcPr>
            <w:tcW w:w="2196" w:type="dxa"/>
            <w:shd w:val="clear" w:color="auto" w:fill="F2F2F2" w:themeFill="background1" w:themeFillShade="F2"/>
          </w:tcPr>
          <w:p w14:paraId="70B83869" w14:textId="77777777" w:rsidR="00357009" w:rsidRDefault="00357009" w:rsidP="0060768A">
            <w:pPr>
              <w:jc w:val="center"/>
            </w:pPr>
            <w:r>
              <w:t>£0</w:t>
            </w:r>
          </w:p>
        </w:tc>
        <w:tc>
          <w:tcPr>
            <w:tcW w:w="2324" w:type="dxa"/>
            <w:shd w:val="clear" w:color="auto" w:fill="F2F2F2" w:themeFill="background1" w:themeFillShade="F2"/>
          </w:tcPr>
          <w:p w14:paraId="6658FC4B" w14:textId="77777777" w:rsidR="00357009" w:rsidRDefault="00357009" w:rsidP="0060768A">
            <w:pPr>
              <w:jc w:val="center"/>
            </w:pPr>
            <w:r>
              <w:t>45%</w:t>
            </w:r>
          </w:p>
        </w:tc>
        <w:tc>
          <w:tcPr>
            <w:tcW w:w="2425" w:type="dxa"/>
            <w:shd w:val="clear" w:color="auto" w:fill="F2F2F2" w:themeFill="background1" w:themeFillShade="F2"/>
          </w:tcPr>
          <w:p w14:paraId="7ED3B5AA" w14:textId="77777777" w:rsidR="00357009" w:rsidRDefault="00357009" w:rsidP="0060768A">
            <w:pPr>
              <w:jc w:val="center"/>
            </w:pPr>
            <w:r>
              <w:t>£0</w:t>
            </w:r>
          </w:p>
        </w:tc>
      </w:tr>
      <w:tr w:rsidR="00357009" w14:paraId="0EC9AA71" w14:textId="77777777" w:rsidTr="0060768A">
        <w:tc>
          <w:tcPr>
            <w:tcW w:w="2405" w:type="dxa"/>
            <w:shd w:val="clear" w:color="auto" w:fill="BFBFBF" w:themeFill="background1" w:themeFillShade="BF"/>
          </w:tcPr>
          <w:p w14:paraId="19076C2F" w14:textId="77777777" w:rsidR="00357009" w:rsidRDefault="00357009" w:rsidP="0060768A">
            <w:r>
              <w:t>Offshore Gain</w:t>
            </w:r>
          </w:p>
        </w:tc>
        <w:tc>
          <w:tcPr>
            <w:tcW w:w="2196" w:type="dxa"/>
            <w:shd w:val="clear" w:color="auto" w:fill="BFBFBF" w:themeFill="background1" w:themeFillShade="BF"/>
          </w:tcPr>
          <w:p w14:paraId="4CCE0D0F" w14:textId="77777777" w:rsidR="00357009" w:rsidRDefault="00357009" w:rsidP="0060768A">
            <w:pPr>
              <w:jc w:val="center"/>
            </w:pPr>
            <w:r>
              <w:t>£0</w:t>
            </w:r>
          </w:p>
        </w:tc>
        <w:tc>
          <w:tcPr>
            <w:tcW w:w="2324" w:type="dxa"/>
            <w:shd w:val="clear" w:color="auto" w:fill="BFBFBF" w:themeFill="background1" w:themeFillShade="BF"/>
          </w:tcPr>
          <w:p w14:paraId="17D7C4F4" w14:textId="77777777" w:rsidR="00357009" w:rsidRDefault="00357009" w:rsidP="0060768A">
            <w:pPr>
              <w:jc w:val="center"/>
            </w:pPr>
            <w:r>
              <w:t>0%</w:t>
            </w:r>
          </w:p>
        </w:tc>
        <w:tc>
          <w:tcPr>
            <w:tcW w:w="2425" w:type="dxa"/>
            <w:shd w:val="clear" w:color="auto" w:fill="BFBFBF" w:themeFill="background1" w:themeFillShade="BF"/>
          </w:tcPr>
          <w:p w14:paraId="4BAB8993" w14:textId="77777777" w:rsidR="00357009" w:rsidRDefault="00357009" w:rsidP="0060768A">
            <w:pPr>
              <w:jc w:val="center"/>
            </w:pPr>
            <w:r>
              <w:t>£0</w:t>
            </w:r>
          </w:p>
        </w:tc>
      </w:tr>
      <w:tr w:rsidR="00357009" w14:paraId="36A3072A" w14:textId="77777777" w:rsidTr="0060768A">
        <w:tc>
          <w:tcPr>
            <w:tcW w:w="2405" w:type="dxa"/>
            <w:shd w:val="clear" w:color="auto" w:fill="BFBFBF" w:themeFill="background1" w:themeFillShade="BF"/>
          </w:tcPr>
          <w:p w14:paraId="699C62F3" w14:textId="77777777" w:rsidR="00357009" w:rsidRDefault="00357009" w:rsidP="0060768A"/>
        </w:tc>
        <w:tc>
          <w:tcPr>
            <w:tcW w:w="2196" w:type="dxa"/>
            <w:shd w:val="clear" w:color="auto" w:fill="BFBFBF" w:themeFill="background1" w:themeFillShade="BF"/>
          </w:tcPr>
          <w:p w14:paraId="2F8D036F" w14:textId="77777777" w:rsidR="00357009" w:rsidRDefault="00357009" w:rsidP="0060768A">
            <w:pPr>
              <w:jc w:val="center"/>
            </w:pPr>
            <w:r>
              <w:t>£0</w:t>
            </w:r>
          </w:p>
        </w:tc>
        <w:tc>
          <w:tcPr>
            <w:tcW w:w="2324" w:type="dxa"/>
            <w:shd w:val="clear" w:color="auto" w:fill="BFBFBF" w:themeFill="background1" w:themeFillShade="BF"/>
          </w:tcPr>
          <w:p w14:paraId="4FC9762A" w14:textId="77777777" w:rsidR="00357009" w:rsidRDefault="00357009" w:rsidP="0060768A">
            <w:pPr>
              <w:jc w:val="center"/>
            </w:pPr>
            <w:r>
              <w:t>20%</w:t>
            </w:r>
          </w:p>
        </w:tc>
        <w:tc>
          <w:tcPr>
            <w:tcW w:w="2425" w:type="dxa"/>
            <w:shd w:val="clear" w:color="auto" w:fill="BFBFBF" w:themeFill="background1" w:themeFillShade="BF"/>
          </w:tcPr>
          <w:p w14:paraId="7EC715FA" w14:textId="77777777" w:rsidR="00357009" w:rsidRDefault="00357009" w:rsidP="0060768A">
            <w:pPr>
              <w:jc w:val="center"/>
            </w:pPr>
            <w:r>
              <w:t>£0</w:t>
            </w:r>
          </w:p>
        </w:tc>
      </w:tr>
      <w:tr w:rsidR="00357009" w14:paraId="7D727B58" w14:textId="77777777" w:rsidTr="0060768A">
        <w:tc>
          <w:tcPr>
            <w:tcW w:w="2405" w:type="dxa"/>
            <w:shd w:val="clear" w:color="auto" w:fill="BFBFBF" w:themeFill="background1" w:themeFillShade="BF"/>
          </w:tcPr>
          <w:p w14:paraId="2756AD1A" w14:textId="77777777" w:rsidR="00357009" w:rsidRDefault="00357009" w:rsidP="0060768A"/>
        </w:tc>
        <w:tc>
          <w:tcPr>
            <w:tcW w:w="2196" w:type="dxa"/>
            <w:shd w:val="clear" w:color="auto" w:fill="BFBFBF" w:themeFill="background1" w:themeFillShade="BF"/>
          </w:tcPr>
          <w:p w14:paraId="433B85ED" w14:textId="275C1E7E" w:rsidR="00357009" w:rsidRDefault="00357009" w:rsidP="0060768A">
            <w:pPr>
              <w:jc w:val="center"/>
            </w:pPr>
            <w:r>
              <w:t>£</w:t>
            </w:r>
            <w:r w:rsidR="004071BD">
              <w:t>10</w:t>
            </w:r>
            <w:r>
              <w:t>,000</w:t>
            </w:r>
          </w:p>
        </w:tc>
        <w:tc>
          <w:tcPr>
            <w:tcW w:w="2324" w:type="dxa"/>
            <w:shd w:val="clear" w:color="auto" w:fill="BFBFBF" w:themeFill="background1" w:themeFillShade="BF"/>
          </w:tcPr>
          <w:p w14:paraId="5D8DB9E0" w14:textId="77777777" w:rsidR="00357009" w:rsidRDefault="00357009" w:rsidP="0060768A">
            <w:pPr>
              <w:jc w:val="center"/>
            </w:pPr>
            <w:r>
              <w:t>40%</w:t>
            </w:r>
          </w:p>
        </w:tc>
        <w:tc>
          <w:tcPr>
            <w:tcW w:w="2425" w:type="dxa"/>
            <w:shd w:val="clear" w:color="auto" w:fill="BFBFBF" w:themeFill="background1" w:themeFillShade="BF"/>
          </w:tcPr>
          <w:p w14:paraId="2120ABFB" w14:textId="7E2C2B66" w:rsidR="00357009" w:rsidRDefault="00357009" w:rsidP="0060768A">
            <w:pPr>
              <w:jc w:val="center"/>
            </w:pPr>
            <w:r>
              <w:t>£</w:t>
            </w:r>
            <w:r w:rsidR="00F12F79">
              <w:t>4,000</w:t>
            </w:r>
          </w:p>
        </w:tc>
      </w:tr>
      <w:tr w:rsidR="00357009" w14:paraId="7D14D645" w14:textId="77777777" w:rsidTr="0060768A">
        <w:tc>
          <w:tcPr>
            <w:tcW w:w="2405" w:type="dxa"/>
            <w:shd w:val="clear" w:color="auto" w:fill="BFBFBF" w:themeFill="background1" w:themeFillShade="BF"/>
          </w:tcPr>
          <w:p w14:paraId="2BF2E3E5" w14:textId="77777777" w:rsidR="00357009" w:rsidRDefault="00357009" w:rsidP="0060768A"/>
        </w:tc>
        <w:tc>
          <w:tcPr>
            <w:tcW w:w="2196" w:type="dxa"/>
            <w:shd w:val="clear" w:color="auto" w:fill="BFBFBF" w:themeFill="background1" w:themeFillShade="BF"/>
          </w:tcPr>
          <w:p w14:paraId="201D84A9" w14:textId="7CC126AD" w:rsidR="00357009" w:rsidRDefault="00357009" w:rsidP="0060768A">
            <w:pPr>
              <w:jc w:val="center"/>
            </w:pPr>
            <w:r>
              <w:t>£</w:t>
            </w:r>
            <w:r w:rsidR="00783E90">
              <w:t>0</w:t>
            </w:r>
          </w:p>
        </w:tc>
        <w:tc>
          <w:tcPr>
            <w:tcW w:w="2324" w:type="dxa"/>
            <w:shd w:val="clear" w:color="auto" w:fill="BFBFBF" w:themeFill="background1" w:themeFillShade="BF"/>
          </w:tcPr>
          <w:p w14:paraId="27771147" w14:textId="77777777" w:rsidR="00357009" w:rsidRDefault="00357009" w:rsidP="0060768A">
            <w:pPr>
              <w:jc w:val="center"/>
            </w:pPr>
            <w:r>
              <w:t>45%</w:t>
            </w:r>
          </w:p>
        </w:tc>
        <w:tc>
          <w:tcPr>
            <w:tcW w:w="2425" w:type="dxa"/>
            <w:shd w:val="clear" w:color="auto" w:fill="BFBFBF" w:themeFill="background1" w:themeFillShade="BF"/>
          </w:tcPr>
          <w:p w14:paraId="1DDE8804" w14:textId="7033A377" w:rsidR="00357009" w:rsidRDefault="00357009" w:rsidP="0060768A">
            <w:pPr>
              <w:jc w:val="center"/>
            </w:pPr>
            <w:r>
              <w:t>£</w:t>
            </w:r>
            <w:r w:rsidR="00783E90">
              <w:t>0</w:t>
            </w:r>
          </w:p>
        </w:tc>
      </w:tr>
      <w:tr w:rsidR="00357009" w:rsidRPr="00AF1059" w14:paraId="2338DAFD" w14:textId="77777777" w:rsidTr="0060768A">
        <w:tc>
          <w:tcPr>
            <w:tcW w:w="2405" w:type="dxa"/>
            <w:shd w:val="clear" w:color="auto" w:fill="000000" w:themeFill="text1"/>
          </w:tcPr>
          <w:p w14:paraId="236D0696" w14:textId="77777777" w:rsidR="00357009" w:rsidRPr="00AF1059" w:rsidRDefault="00357009" w:rsidP="0060768A">
            <w:pPr>
              <w:rPr>
                <w:b/>
                <w:bCs/>
              </w:rPr>
            </w:pPr>
            <w:r w:rsidRPr="00AF1059">
              <w:rPr>
                <w:b/>
                <w:bCs/>
              </w:rPr>
              <w:t>Total</w:t>
            </w:r>
          </w:p>
        </w:tc>
        <w:tc>
          <w:tcPr>
            <w:tcW w:w="2196" w:type="dxa"/>
            <w:shd w:val="clear" w:color="auto" w:fill="000000" w:themeFill="text1"/>
          </w:tcPr>
          <w:p w14:paraId="28A2632A" w14:textId="77777777" w:rsidR="00357009" w:rsidRPr="00AF1059" w:rsidRDefault="00357009" w:rsidP="0060768A">
            <w:pPr>
              <w:jc w:val="center"/>
              <w:rPr>
                <w:b/>
                <w:bCs/>
              </w:rPr>
            </w:pPr>
            <w:r w:rsidRPr="00AF1059">
              <w:rPr>
                <w:b/>
                <w:bCs/>
              </w:rPr>
              <w:t>£</w:t>
            </w:r>
            <w:r>
              <w:rPr>
                <w:b/>
                <w:bCs/>
              </w:rPr>
              <w:t>200,000</w:t>
            </w:r>
          </w:p>
        </w:tc>
        <w:tc>
          <w:tcPr>
            <w:tcW w:w="2324" w:type="dxa"/>
            <w:shd w:val="clear" w:color="auto" w:fill="000000" w:themeFill="text1"/>
          </w:tcPr>
          <w:p w14:paraId="78C2FE59" w14:textId="77777777" w:rsidR="00357009" w:rsidRPr="00AF1059" w:rsidRDefault="00357009" w:rsidP="0060768A">
            <w:pPr>
              <w:jc w:val="center"/>
              <w:rPr>
                <w:b/>
                <w:bCs/>
              </w:rPr>
            </w:pPr>
          </w:p>
        </w:tc>
        <w:tc>
          <w:tcPr>
            <w:tcW w:w="2425" w:type="dxa"/>
            <w:shd w:val="clear" w:color="auto" w:fill="000000" w:themeFill="text1"/>
          </w:tcPr>
          <w:p w14:paraId="6BA49018" w14:textId="0D1B2494" w:rsidR="00357009" w:rsidRPr="00AF1059" w:rsidRDefault="00357009" w:rsidP="0060768A">
            <w:pPr>
              <w:jc w:val="center"/>
              <w:rPr>
                <w:b/>
                <w:bCs/>
              </w:rPr>
            </w:pPr>
            <w:r w:rsidRPr="00AF1059">
              <w:rPr>
                <w:b/>
                <w:bCs/>
              </w:rPr>
              <w:t>£</w:t>
            </w:r>
            <w:r w:rsidR="00CC5A1C" w:rsidRPr="00CC5A1C">
              <w:rPr>
                <w:b/>
                <w:bCs/>
              </w:rPr>
              <w:t>36,260</w:t>
            </w:r>
          </w:p>
        </w:tc>
      </w:tr>
      <w:tr w:rsidR="00357009" w:rsidRPr="009A0175" w14:paraId="6CD52242" w14:textId="77777777" w:rsidTr="0060768A">
        <w:tc>
          <w:tcPr>
            <w:tcW w:w="2405" w:type="dxa"/>
            <w:shd w:val="clear" w:color="auto" w:fill="F2F2F2" w:themeFill="background1" w:themeFillShade="F2"/>
          </w:tcPr>
          <w:p w14:paraId="5735CF89" w14:textId="77777777" w:rsidR="00357009" w:rsidRPr="008F0E1D" w:rsidRDefault="00357009" w:rsidP="0060768A">
            <w:r w:rsidRPr="008F0E1D">
              <w:t>Onshore Tax Credit</w:t>
            </w:r>
          </w:p>
        </w:tc>
        <w:tc>
          <w:tcPr>
            <w:tcW w:w="2196" w:type="dxa"/>
            <w:shd w:val="clear" w:color="auto" w:fill="F2F2F2" w:themeFill="background1" w:themeFillShade="F2"/>
          </w:tcPr>
          <w:p w14:paraId="46679A61" w14:textId="77777777" w:rsidR="00357009" w:rsidRPr="009A0175" w:rsidRDefault="00357009" w:rsidP="0060768A">
            <w:pPr>
              <w:jc w:val="center"/>
            </w:pPr>
            <w:r w:rsidRPr="009A0175">
              <w:t>(£</w:t>
            </w:r>
            <w:r>
              <w:t>100,000</w:t>
            </w:r>
            <w:r w:rsidRPr="009A0175">
              <w:t>)</w:t>
            </w:r>
          </w:p>
        </w:tc>
        <w:tc>
          <w:tcPr>
            <w:tcW w:w="2324" w:type="dxa"/>
            <w:shd w:val="clear" w:color="auto" w:fill="F2F2F2" w:themeFill="background1" w:themeFillShade="F2"/>
          </w:tcPr>
          <w:p w14:paraId="0F9A4C64" w14:textId="77777777" w:rsidR="00357009" w:rsidRPr="009A0175" w:rsidRDefault="00357009" w:rsidP="0060768A">
            <w:pPr>
              <w:jc w:val="center"/>
            </w:pPr>
            <w:r>
              <w:t>0</w:t>
            </w:r>
            <w:r w:rsidRPr="009A0175">
              <w:t>%</w:t>
            </w:r>
          </w:p>
        </w:tc>
        <w:tc>
          <w:tcPr>
            <w:tcW w:w="2425" w:type="dxa"/>
            <w:shd w:val="clear" w:color="auto" w:fill="F2F2F2" w:themeFill="background1" w:themeFillShade="F2"/>
          </w:tcPr>
          <w:p w14:paraId="2D7140F1" w14:textId="77777777" w:rsidR="00357009" w:rsidRPr="009A0175" w:rsidRDefault="00357009" w:rsidP="0060768A">
            <w:pPr>
              <w:jc w:val="center"/>
            </w:pPr>
            <w:r w:rsidRPr="009A0175">
              <w:t>(</w:t>
            </w:r>
            <w:r>
              <w:t>£0</w:t>
            </w:r>
            <w:r w:rsidRPr="009A0175">
              <w:t>)</w:t>
            </w:r>
          </w:p>
        </w:tc>
      </w:tr>
      <w:tr w:rsidR="00357009" w:rsidRPr="00746D6D" w14:paraId="7CC0046D" w14:textId="77777777" w:rsidTr="0060768A">
        <w:tc>
          <w:tcPr>
            <w:tcW w:w="2405" w:type="dxa"/>
            <w:shd w:val="clear" w:color="auto" w:fill="F2F2F2" w:themeFill="background1" w:themeFillShade="F2"/>
          </w:tcPr>
          <w:p w14:paraId="47902D78" w14:textId="77777777" w:rsidR="00357009" w:rsidRPr="00644F44" w:rsidRDefault="00357009" w:rsidP="0060768A">
            <w:r w:rsidRPr="00644F44">
              <w:t>Top-Slicing Relief</w:t>
            </w:r>
          </w:p>
        </w:tc>
        <w:tc>
          <w:tcPr>
            <w:tcW w:w="2196" w:type="dxa"/>
            <w:shd w:val="clear" w:color="auto" w:fill="F2F2F2" w:themeFill="background1" w:themeFillShade="F2"/>
          </w:tcPr>
          <w:p w14:paraId="012D393A" w14:textId="77777777" w:rsidR="00357009" w:rsidRPr="00746D6D" w:rsidRDefault="00357009" w:rsidP="0060768A">
            <w:pPr>
              <w:jc w:val="center"/>
            </w:pPr>
          </w:p>
        </w:tc>
        <w:tc>
          <w:tcPr>
            <w:tcW w:w="2324" w:type="dxa"/>
            <w:shd w:val="clear" w:color="auto" w:fill="F2F2F2" w:themeFill="background1" w:themeFillShade="F2"/>
          </w:tcPr>
          <w:p w14:paraId="3EF91760" w14:textId="77777777" w:rsidR="00357009" w:rsidRPr="00746D6D" w:rsidRDefault="00357009" w:rsidP="0060768A">
            <w:pPr>
              <w:jc w:val="center"/>
            </w:pPr>
          </w:p>
        </w:tc>
        <w:tc>
          <w:tcPr>
            <w:tcW w:w="2425" w:type="dxa"/>
            <w:shd w:val="clear" w:color="auto" w:fill="F2F2F2" w:themeFill="background1" w:themeFillShade="F2"/>
          </w:tcPr>
          <w:p w14:paraId="75028548" w14:textId="6556ECD9" w:rsidR="00357009" w:rsidRPr="00746D6D" w:rsidRDefault="00357009" w:rsidP="0060768A">
            <w:pPr>
              <w:jc w:val="center"/>
            </w:pPr>
          </w:p>
        </w:tc>
      </w:tr>
      <w:tr w:rsidR="00357009" w:rsidRPr="00AF1059" w14:paraId="51CC8845" w14:textId="77777777" w:rsidTr="0060768A">
        <w:tc>
          <w:tcPr>
            <w:tcW w:w="2405" w:type="dxa"/>
            <w:shd w:val="clear" w:color="auto" w:fill="000000" w:themeFill="text1"/>
          </w:tcPr>
          <w:p w14:paraId="6D76D1BD" w14:textId="77777777" w:rsidR="00357009" w:rsidRPr="00AF1059" w:rsidRDefault="00357009" w:rsidP="0060768A">
            <w:pPr>
              <w:rPr>
                <w:b/>
                <w:bCs/>
              </w:rPr>
            </w:pPr>
            <w:r>
              <w:rPr>
                <w:b/>
                <w:bCs/>
              </w:rPr>
              <w:t>Actual Tax Due</w:t>
            </w:r>
          </w:p>
        </w:tc>
        <w:tc>
          <w:tcPr>
            <w:tcW w:w="2196" w:type="dxa"/>
            <w:shd w:val="clear" w:color="auto" w:fill="000000" w:themeFill="text1"/>
          </w:tcPr>
          <w:p w14:paraId="02594184" w14:textId="77777777" w:rsidR="00357009" w:rsidRPr="00AF1059" w:rsidRDefault="00357009" w:rsidP="0060768A">
            <w:pPr>
              <w:jc w:val="center"/>
              <w:rPr>
                <w:b/>
                <w:bCs/>
              </w:rPr>
            </w:pPr>
          </w:p>
        </w:tc>
        <w:tc>
          <w:tcPr>
            <w:tcW w:w="2324" w:type="dxa"/>
            <w:shd w:val="clear" w:color="auto" w:fill="000000" w:themeFill="text1"/>
          </w:tcPr>
          <w:p w14:paraId="35331030" w14:textId="77777777" w:rsidR="00357009" w:rsidRPr="00AF1059" w:rsidRDefault="00357009" w:rsidP="0060768A">
            <w:pPr>
              <w:jc w:val="center"/>
              <w:rPr>
                <w:b/>
                <w:bCs/>
              </w:rPr>
            </w:pPr>
          </w:p>
        </w:tc>
        <w:tc>
          <w:tcPr>
            <w:tcW w:w="2425" w:type="dxa"/>
            <w:shd w:val="clear" w:color="auto" w:fill="000000" w:themeFill="text1"/>
          </w:tcPr>
          <w:p w14:paraId="0300D3DD" w14:textId="5CFCFD31" w:rsidR="00357009" w:rsidRPr="00AF1059" w:rsidRDefault="00357009" w:rsidP="0060768A">
            <w:pPr>
              <w:jc w:val="center"/>
              <w:rPr>
                <w:b/>
                <w:bCs/>
              </w:rPr>
            </w:pPr>
          </w:p>
        </w:tc>
      </w:tr>
    </w:tbl>
    <w:p w14:paraId="271DBB0F" w14:textId="77777777" w:rsidR="00357009" w:rsidRDefault="00357009" w:rsidP="002E0C5D"/>
    <w:p w14:paraId="0E36BB28" w14:textId="79DE4D97" w:rsidR="00F526FF" w:rsidRDefault="00222F84" w:rsidP="002E0C5D">
      <w:r>
        <w:t xml:space="preserve">Next, we take the tax on the slice of £4,000 and deduct our theoretical </w:t>
      </w:r>
      <w:r w:rsidR="00263783">
        <w:t xml:space="preserve">tax </w:t>
      </w:r>
      <w:r>
        <w:t>credit</w:t>
      </w:r>
      <w:r w:rsidR="00263783">
        <w:t xml:space="preserve"> of 20% on the slice (20% of £10,000, which is £2,000). This gives us £2,000.</w:t>
      </w:r>
    </w:p>
    <w:p w14:paraId="605381EE" w14:textId="7EAC6CD6" w:rsidR="00031D1C" w:rsidRDefault="00031D1C" w:rsidP="002E0C5D"/>
    <w:p w14:paraId="37D844BB" w14:textId="252698A3" w:rsidR="00031D1C" w:rsidRDefault="00031D1C" w:rsidP="002E0C5D">
      <w:r>
        <w:t>£2,000 x 10 years = £20,000</w:t>
      </w:r>
      <w:r w:rsidR="00B915ED">
        <w:t>, which is ‘B’.</w:t>
      </w:r>
    </w:p>
    <w:p w14:paraId="4D73D996" w14:textId="54BA71DE" w:rsidR="00F526FF" w:rsidRDefault="00F526FF" w:rsidP="002E0C5D"/>
    <w:p w14:paraId="7FE09A2E" w14:textId="5AFA6C0E" w:rsidR="00B915ED" w:rsidRPr="00E83684" w:rsidRDefault="00B915ED" w:rsidP="00B915ED">
      <w:pPr>
        <w:pBdr>
          <w:top w:val="single" w:sz="4" w:space="1" w:color="auto"/>
          <w:left w:val="single" w:sz="4" w:space="4" w:color="auto"/>
          <w:bottom w:val="single" w:sz="4" w:space="1" w:color="auto"/>
          <w:right w:val="single" w:sz="4" w:space="4" w:color="auto"/>
        </w:pBdr>
        <w:jc w:val="center"/>
        <w:rPr>
          <w:b/>
          <w:bCs/>
        </w:rPr>
      </w:pPr>
      <w:r w:rsidRPr="00E83684">
        <w:rPr>
          <w:b/>
          <w:bCs/>
        </w:rPr>
        <w:t xml:space="preserve">TSR = </w:t>
      </w:r>
      <w:r>
        <w:rPr>
          <w:b/>
          <w:bCs/>
        </w:rPr>
        <w:t>£22,500</w:t>
      </w:r>
      <w:r w:rsidRPr="00E83684">
        <w:rPr>
          <w:b/>
          <w:bCs/>
        </w:rPr>
        <w:t xml:space="preserve"> – </w:t>
      </w:r>
      <w:r>
        <w:rPr>
          <w:b/>
          <w:bCs/>
        </w:rPr>
        <w:t>£20,000 = £</w:t>
      </w:r>
      <w:r w:rsidR="00F60D0B">
        <w:rPr>
          <w:b/>
          <w:bCs/>
        </w:rPr>
        <w:t>2,500</w:t>
      </w:r>
    </w:p>
    <w:p w14:paraId="0FAF2486" w14:textId="223E2AB1" w:rsidR="00B915ED" w:rsidRDefault="00B915ED" w:rsidP="002E0C5D"/>
    <w:p w14:paraId="2F2F86F0" w14:textId="77777777" w:rsidR="00FA5439" w:rsidRDefault="00FA5439" w:rsidP="002E0C5D"/>
    <w:p w14:paraId="102637CF" w14:textId="77777777" w:rsidR="00BD5EF9" w:rsidRDefault="00BD5EF9" w:rsidP="002E0C5D"/>
    <w:p w14:paraId="681101B2" w14:textId="77777777" w:rsidR="00BD5EF9" w:rsidRDefault="00BD5EF9" w:rsidP="002E0C5D"/>
    <w:p w14:paraId="59CCAE25" w14:textId="77777777" w:rsidR="00BD5EF9" w:rsidRDefault="00BD5EF9" w:rsidP="002E0C5D"/>
    <w:p w14:paraId="1D1F9D1F" w14:textId="77777777" w:rsidR="00BD5EF9" w:rsidRDefault="00BD5EF9" w:rsidP="002E0C5D"/>
    <w:p w14:paraId="5EB6B980" w14:textId="77777777" w:rsidR="00BD5EF9" w:rsidRDefault="00BD5EF9" w:rsidP="002E0C5D"/>
    <w:p w14:paraId="01694ABF" w14:textId="77777777" w:rsidR="00BD5EF9" w:rsidRDefault="00BD5EF9" w:rsidP="002E0C5D"/>
    <w:p w14:paraId="2ABABC2A" w14:textId="77777777" w:rsidR="00BD5EF9" w:rsidRDefault="00BD5EF9" w:rsidP="002E0C5D"/>
    <w:p w14:paraId="732C5D70" w14:textId="77777777" w:rsidR="00BD5EF9" w:rsidRDefault="00BD5EF9" w:rsidP="002E0C5D"/>
    <w:p w14:paraId="6E323768" w14:textId="77777777" w:rsidR="00BD5EF9" w:rsidRDefault="00BD5EF9" w:rsidP="002E0C5D"/>
    <w:p w14:paraId="546FFD38" w14:textId="77777777" w:rsidR="00BD5EF9" w:rsidRDefault="00BD5EF9" w:rsidP="002E0C5D"/>
    <w:p w14:paraId="59118114" w14:textId="77777777" w:rsidR="00BD5EF9" w:rsidRDefault="00BD5EF9" w:rsidP="002E0C5D"/>
    <w:p w14:paraId="0546B595" w14:textId="75F1F9F2" w:rsidR="00B915ED" w:rsidRDefault="00F60D0B" w:rsidP="002E0C5D">
      <w:r>
        <w:lastRenderedPageBreak/>
        <w:t>This allows us to complete our original table as follows:</w:t>
      </w:r>
    </w:p>
    <w:p w14:paraId="5F0EA39C" w14:textId="4FA78AB0" w:rsidR="00F60D0B" w:rsidRDefault="00F60D0B" w:rsidP="002E0C5D"/>
    <w:tbl>
      <w:tblPr>
        <w:tblStyle w:val="TableGrid"/>
        <w:tblW w:w="0" w:type="auto"/>
        <w:tblLook w:val="04A0" w:firstRow="1" w:lastRow="0" w:firstColumn="1" w:lastColumn="0" w:noHBand="0" w:noVBand="1"/>
      </w:tblPr>
      <w:tblGrid>
        <w:gridCol w:w="2405"/>
        <w:gridCol w:w="2196"/>
        <w:gridCol w:w="2324"/>
        <w:gridCol w:w="2425"/>
      </w:tblGrid>
      <w:tr w:rsidR="00F60D0B" w:rsidRPr="00E871BE" w14:paraId="04F08CA8" w14:textId="77777777" w:rsidTr="0060768A">
        <w:tc>
          <w:tcPr>
            <w:tcW w:w="2405" w:type="dxa"/>
          </w:tcPr>
          <w:p w14:paraId="289D00FD" w14:textId="77777777" w:rsidR="00F60D0B" w:rsidRPr="00E871BE" w:rsidRDefault="00F60D0B" w:rsidP="0060768A">
            <w:pPr>
              <w:rPr>
                <w:b/>
                <w:bCs/>
              </w:rPr>
            </w:pPr>
            <w:r w:rsidRPr="00E871BE">
              <w:rPr>
                <w:b/>
                <w:bCs/>
              </w:rPr>
              <w:t>Income Source</w:t>
            </w:r>
          </w:p>
        </w:tc>
        <w:tc>
          <w:tcPr>
            <w:tcW w:w="2196" w:type="dxa"/>
          </w:tcPr>
          <w:p w14:paraId="2A3BAB79" w14:textId="77777777" w:rsidR="00F60D0B" w:rsidRPr="00E871BE" w:rsidRDefault="00F60D0B" w:rsidP="0060768A">
            <w:pPr>
              <w:jc w:val="center"/>
              <w:rPr>
                <w:b/>
                <w:bCs/>
              </w:rPr>
            </w:pPr>
            <w:r w:rsidRPr="00E871BE">
              <w:rPr>
                <w:b/>
                <w:bCs/>
              </w:rPr>
              <w:t>Amount</w:t>
            </w:r>
          </w:p>
        </w:tc>
        <w:tc>
          <w:tcPr>
            <w:tcW w:w="2324" w:type="dxa"/>
          </w:tcPr>
          <w:p w14:paraId="4E2E1853" w14:textId="77777777" w:rsidR="00F60D0B" w:rsidRPr="00E871BE" w:rsidRDefault="00F60D0B" w:rsidP="0060768A">
            <w:pPr>
              <w:jc w:val="center"/>
              <w:rPr>
                <w:b/>
                <w:bCs/>
              </w:rPr>
            </w:pPr>
            <w:r w:rsidRPr="00E871BE">
              <w:rPr>
                <w:b/>
                <w:bCs/>
              </w:rPr>
              <w:t>Tax Rate</w:t>
            </w:r>
          </w:p>
        </w:tc>
        <w:tc>
          <w:tcPr>
            <w:tcW w:w="2425" w:type="dxa"/>
          </w:tcPr>
          <w:p w14:paraId="5967FA0C" w14:textId="77777777" w:rsidR="00F60D0B" w:rsidRPr="00E871BE" w:rsidRDefault="00F60D0B" w:rsidP="0060768A">
            <w:pPr>
              <w:jc w:val="center"/>
              <w:rPr>
                <w:b/>
                <w:bCs/>
              </w:rPr>
            </w:pPr>
            <w:r w:rsidRPr="00E871BE">
              <w:rPr>
                <w:b/>
                <w:bCs/>
              </w:rPr>
              <w:t>Amount of Tax</w:t>
            </w:r>
          </w:p>
        </w:tc>
      </w:tr>
      <w:tr w:rsidR="00F60D0B" w14:paraId="62F809AD" w14:textId="77777777" w:rsidTr="0060768A">
        <w:tc>
          <w:tcPr>
            <w:tcW w:w="2405" w:type="dxa"/>
            <w:shd w:val="clear" w:color="auto" w:fill="BFBFBF" w:themeFill="background1" w:themeFillShade="BF"/>
          </w:tcPr>
          <w:p w14:paraId="1B50CAE5" w14:textId="77777777" w:rsidR="00F60D0B" w:rsidRDefault="00F60D0B" w:rsidP="0060768A">
            <w:r>
              <w:t>Salary</w:t>
            </w:r>
          </w:p>
        </w:tc>
        <w:tc>
          <w:tcPr>
            <w:tcW w:w="2196" w:type="dxa"/>
            <w:shd w:val="clear" w:color="auto" w:fill="BFBFBF" w:themeFill="background1" w:themeFillShade="BF"/>
          </w:tcPr>
          <w:p w14:paraId="05848012" w14:textId="77777777" w:rsidR="00F60D0B" w:rsidRDefault="00F60D0B" w:rsidP="0060768A">
            <w:pPr>
              <w:jc w:val="center"/>
            </w:pPr>
            <w:r>
              <w:t>£0</w:t>
            </w:r>
          </w:p>
        </w:tc>
        <w:tc>
          <w:tcPr>
            <w:tcW w:w="2324" w:type="dxa"/>
            <w:shd w:val="clear" w:color="auto" w:fill="BFBFBF" w:themeFill="background1" w:themeFillShade="BF"/>
          </w:tcPr>
          <w:p w14:paraId="4731F3F4" w14:textId="77777777" w:rsidR="00F60D0B" w:rsidRDefault="00F60D0B" w:rsidP="0060768A">
            <w:pPr>
              <w:jc w:val="center"/>
            </w:pPr>
            <w:r>
              <w:t>0% Personal Allowance</w:t>
            </w:r>
          </w:p>
        </w:tc>
        <w:tc>
          <w:tcPr>
            <w:tcW w:w="2425" w:type="dxa"/>
            <w:shd w:val="clear" w:color="auto" w:fill="BFBFBF" w:themeFill="background1" w:themeFillShade="BF"/>
          </w:tcPr>
          <w:p w14:paraId="6268A112" w14:textId="77777777" w:rsidR="00F60D0B" w:rsidRDefault="00F60D0B" w:rsidP="0060768A">
            <w:pPr>
              <w:jc w:val="center"/>
            </w:pPr>
            <w:r>
              <w:t>£0</w:t>
            </w:r>
          </w:p>
        </w:tc>
      </w:tr>
      <w:tr w:rsidR="00F60D0B" w14:paraId="4666EB6E" w14:textId="77777777" w:rsidTr="0060768A">
        <w:tc>
          <w:tcPr>
            <w:tcW w:w="2405" w:type="dxa"/>
            <w:shd w:val="clear" w:color="auto" w:fill="BFBFBF" w:themeFill="background1" w:themeFillShade="BF"/>
          </w:tcPr>
          <w:p w14:paraId="60981F64" w14:textId="77777777" w:rsidR="00F60D0B" w:rsidRDefault="00F60D0B" w:rsidP="0060768A"/>
        </w:tc>
        <w:tc>
          <w:tcPr>
            <w:tcW w:w="2196" w:type="dxa"/>
            <w:shd w:val="clear" w:color="auto" w:fill="BFBFBF" w:themeFill="background1" w:themeFillShade="BF"/>
          </w:tcPr>
          <w:p w14:paraId="46F92E99" w14:textId="77777777" w:rsidR="00F60D0B" w:rsidRDefault="00F60D0B" w:rsidP="0060768A">
            <w:pPr>
              <w:jc w:val="center"/>
            </w:pPr>
            <w:r>
              <w:t>£</w:t>
            </w:r>
            <w:r w:rsidRPr="004B099E">
              <w:t>3</w:t>
            </w:r>
            <w:r>
              <w:t>7,700</w:t>
            </w:r>
          </w:p>
        </w:tc>
        <w:tc>
          <w:tcPr>
            <w:tcW w:w="2324" w:type="dxa"/>
            <w:shd w:val="clear" w:color="auto" w:fill="BFBFBF" w:themeFill="background1" w:themeFillShade="BF"/>
          </w:tcPr>
          <w:p w14:paraId="607D734E" w14:textId="77777777" w:rsidR="00F60D0B" w:rsidRDefault="00F60D0B" w:rsidP="0060768A">
            <w:pPr>
              <w:jc w:val="center"/>
            </w:pPr>
            <w:r>
              <w:t>20%</w:t>
            </w:r>
          </w:p>
        </w:tc>
        <w:tc>
          <w:tcPr>
            <w:tcW w:w="2425" w:type="dxa"/>
            <w:shd w:val="clear" w:color="auto" w:fill="BFBFBF" w:themeFill="background1" w:themeFillShade="BF"/>
          </w:tcPr>
          <w:p w14:paraId="47BD5B5D" w14:textId="77777777" w:rsidR="00F60D0B" w:rsidRDefault="00F60D0B" w:rsidP="0060768A">
            <w:pPr>
              <w:jc w:val="center"/>
            </w:pPr>
            <w:r>
              <w:t>£7</w:t>
            </w:r>
            <w:r w:rsidRPr="00E871BE">
              <w:t>,</w:t>
            </w:r>
            <w:r>
              <w:t>5</w:t>
            </w:r>
            <w:r w:rsidRPr="00E871BE">
              <w:t>40</w:t>
            </w:r>
          </w:p>
        </w:tc>
      </w:tr>
      <w:tr w:rsidR="00F60D0B" w14:paraId="6AAB9AA5" w14:textId="77777777" w:rsidTr="0060768A">
        <w:tc>
          <w:tcPr>
            <w:tcW w:w="2405" w:type="dxa"/>
            <w:shd w:val="clear" w:color="auto" w:fill="BFBFBF" w:themeFill="background1" w:themeFillShade="BF"/>
          </w:tcPr>
          <w:p w14:paraId="7562C355" w14:textId="77777777" w:rsidR="00F60D0B" w:rsidRDefault="00F60D0B" w:rsidP="0060768A"/>
        </w:tc>
        <w:tc>
          <w:tcPr>
            <w:tcW w:w="2196" w:type="dxa"/>
            <w:shd w:val="clear" w:color="auto" w:fill="BFBFBF" w:themeFill="background1" w:themeFillShade="BF"/>
          </w:tcPr>
          <w:p w14:paraId="68EC950E" w14:textId="77777777" w:rsidR="00F60D0B" w:rsidRDefault="00F60D0B" w:rsidP="0060768A">
            <w:pPr>
              <w:jc w:val="center"/>
            </w:pPr>
            <w:r>
              <w:t>£</w:t>
            </w:r>
            <w:r w:rsidRPr="00756FEB">
              <w:t>61,800</w:t>
            </w:r>
          </w:p>
        </w:tc>
        <w:tc>
          <w:tcPr>
            <w:tcW w:w="2324" w:type="dxa"/>
            <w:shd w:val="clear" w:color="auto" w:fill="BFBFBF" w:themeFill="background1" w:themeFillShade="BF"/>
          </w:tcPr>
          <w:p w14:paraId="571F199E" w14:textId="77777777" w:rsidR="00F60D0B" w:rsidRDefault="00F60D0B" w:rsidP="0060768A">
            <w:pPr>
              <w:jc w:val="center"/>
            </w:pPr>
            <w:r>
              <w:t>40%</w:t>
            </w:r>
          </w:p>
        </w:tc>
        <w:tc>
          <w:tcPr>
            <w:tcW w:w="2425" w:type="dxa"/>
            <w:shd w:val="clear" w:color="auto" w:fill="BFBFBF" w:themeFill="background1" w:themeFillShade="BF"/>
          </w:tcPr>
          <w:p w14:paraId="5F26B2F0" w14:textId="77777777" w:rsidR="00F60D0B" w:rsidRDefault="00F60D0B" w:rsidP="0060768A">
            <w:pPr>
              <w:jc w:val="center"/>
            </w:pPr>
            <w:r>
              <w:t>£2</w:t>
            </w:r>
            <w:r w:rsidRPr="00DC48F5">
              <w:t>4,720</w:t>
            </w:r>
          </w:p>
        </w:tc>
      </w:tr>
      <w:tr w:rsidR="00F60D0B" w14:paraId="4ACA4901" w14:textId="77777777" w:rsidTr="0060768A">
        <w:tc>
          <w:tcPr>
            <w:tcW w:w="2405" w:type="dxa"/>
            <w:shd w:val="clear" w:color="auto" w:fill="BFBFBF" w:themeFill="background1" w:themeFillShade="BF"/>
          </w:tcPr>
          <w:p w14:paraId="545896A3" w14:textId="77777777" w:rsidR="00F60D0B" w:rsidRDefault="00F60D0B" w:rsidP="0060768A"/>
        </w:tc>
        <w:tc>
          <w:tcPr>
            <w:tcW w:w="2196" w:type="dxa"/>
            <w:shd w:val="clear" w:color="auto" w:fill="BFBFBF" w:themeFill="background1" w:themeFillShade="BF"/>
          </w:tcPr>
          <w:p w14:paraId="6597DE3A" w14:textId="77777777" w:rsidR="00F60D0B" w:rsidRDefault="00F60D0B" w:rsidP="0060768A">
            <w:pPr>
              <w:jc w:val="center"/>
            </w:pPr>
            <w:r>
              <w:t>£0</w:t>
            </w:r>
          </w:p>
        </w:tc>
        <w:tc>
          <w:tcPr>
            <w:tcW w:w="2324" w:type="dxa"/>
            <w:shd w:val="clear" w:color="auto" w:fill="BFBFBF" w:themeFill="background1" w:themeFillShade="BF"/>
          </w:tcPr>
          <w:p w14:paraId="0E35504F" w14:textId="77777777" w:rsidR="00F60D0B" w:rsidRDefault="00F60D0B" w:rsidP="0060768A">
            <w:pPr>
              <w:jc w:val="center"/>
            </w:pPr>
            <w:r>
              <w:t>45%</w:t>
            </w:r>
          </w:p>
        </w:tc>
        <w:tc>
          <w:tcPr>
            <w:tcW w:w="2425" w:type="dxa"/>
            <w:shd w:val="clear" w:color="auto" w:fill="BFBFBF" w:themeFill="background1" w:themeFillShade="BF"/>
          </w:tcPr>
          <w:p w14:paraId="2E569621" w14:textId="77777777" w:rsidR="00F60D0B" w:rsidRDefault="00F60D0B" w:rsidP="0060768A">
            <w:pPr>
              <w:jc w:val="center"/>
            </w:pPr>
            <w:r>
              <w:t>£0</w:t>
            </w:r>
          </w:p>
        </w:tc>
      </w:tr>
      <w:tr w:rsidR="00F60D0B" w14:paraId="0E8D1E4E" w14:textId="77777777" w:rsidTr="0060768A">
        <w:tc>
          <w:tcPr>
            <w:tcW w:w="2405" w:type="dxa"/>
            <w:shd w:val="clear" w:color="auto" w:fill="F2F2F2" w:themeFill="background1" w:themeFillShade="F2"/>
          </w:tcPr>
          <w:p w14:paraId="4D5F7D1C" w14:textId="77777777" w:rsidR="00F60D0B" w:rsidRDefault="00F60D0B" w:rsidP="0060768A">
            <w:r>
              <w:t>Savings Income</w:t>
            </w:r>
          </w:p>
        </w:tc>
        <w:tc>
          <w:tcPr>
            <w:tcW w:w="2196" w:type="dxa"/>
            <w:shd w:val="clear" w:color="auto" w:fill="F2F2F2" w:themeFill="background1" w:themeFillShade="F2"/>
          </w:tcPr>
          <w:p w14:paraId="634F7B87" w14:textId="77777777" w:rsidR="00F60D0B" w:rsidRDefault="00F60D0B" w:rsidP="0060768A">
            <w:pPr>
              <w:jc w:val="center"/>
            </w:pPr>
            <w:r>
              <w:t>£0</w:t>
            </w:r>
          </w:p>
        </w:tc>
        <w:tc>
          <w:tcPr>
            <w:tcW w:w="2324" w:type="dxa"/>
            <w:shd w:val="clear" w:color="auto" w:fill="F2F2F2" w:themeFill="background1" w:themeFillShade="F2"/>
          </w:tcPr>
          <w:p w14:paraId="7B42DA82" w14:textId="77777777" w:rsidR="00F60D0B" w:rsidRDefault="00F60D0B" w:rsidP="0060768A">
            <w:pPr>
              <w:jc w:val="center"/>
            </w:pPr>
            <w:r>
              <w:t>0% PSA</w:t>
            </w:r>
          </w:p>
        </w:tc>
        <w:tc>
          <w:tcPr>
            <w:tcW w:w="2425" w:type="dxa"/>
            <w:shd w:val="clear" w:color="auto" w:fill="F2F2F2" w:themeFill="background1" w:themeFillShade="F2"/>
          </w:tcPr>
          <w:p w14:paraId="4EC59FB7" w14:textId="77777777" w:rsidR="00F60D0B" w:rsidRDefault="00F60D0B" w:rsidP="0060768A">
            <w:pPr>
              <w:jc w:val="center"/>
            </w:pPr>
            <w:r>
              <w:t>£0</w:t>
            </w:r>
          </w:p>
        </w:tc>
      </w:tr>
      <w:tr w:rsidR="00F60D0B" w14:paraId="405AFBCC" w14:textId="77777777" w:rsidTr="0060768A">
        <w:tc>
          <w:tcPr>
            <w:tcW w:w="2405" w:type="dxa"/>
            <w:shd w:val="clear" w:color="auto" w:fill="F2F2F2" w:themeFill="background1" w:themeFillShade="F2"/>
          </w:tcPr>
          <w:p w14:paraId="56D03C40" w14:textId="77777777" w:rsidR="00F60D0B" w:rsidRDefault="00F60D0B" w:rsidP="0060768A"/>
        </w:tc>
        <w:tc>
          <w:tcPr>
            <w:tcW w:w="2196" w:type="dxa"/>
            <w:shd w:val="clear" w:color="auto" w:fill="F2F2F2" w:themeFill="background1" w:themeFillShade="F2"/>
          </w:tcPr>
          <w:p w14:paraId="0DA439A5" w14:textId="77777777" w:rsidR="00F60D0B" w:rsidRDefault="00F60D0B" w:rsidP="0060768A">
            <w:pPr>
              <w:jc w:val="center"/>
            </w:pPr>
            <w:r>
              <w:t>£0</w:t>
            </w:r>
          </w:p>
        </w:tc>
        <w:tc>
          <w:tcPr>
            <w:tcW w:w="2324" w:type="dxa"/>
            <w:shd w:val="clear" w:color="auto" w:fill="F2F2F2" w:themeFill="background1" w:themeFillShade="F2"/>
          </w:tcPr>
          <w:p w14:paraId="704432F9" w14:textId="77777777" w:rsidR="00F60D0B" w:rsidRDefault="00F60D0B" w:rsidP="0060768A">
            <w:pPr>
              <w:jc w:val="center"/>
            </w:pPr>
            <w:r>
              <w:t>20%</w:t>
            </w:r>
          </w:p>
        </w:tc>
        <w:tc>
          <w:tcPr>
            <w:tcW w:w="2425" w:type="dxa"/>
            <w:shd w:val="clear" w:color="auto" w:fill="F2F2F2" w:themeFill="background1" w:themeFillShade="F2"/>
          </w:tcPr>
          <w:p w14:paraId="036477F7" w14:textId="77777777" w:rsidR="00F60D0B" w:rsidRDefault="00F60D0B" w:rsidP="0060768A">
            <w:pPr>
              <w:jc w:val="center"/>
            </w:pPr>
            <w:r>
              <w:t>£0</w:t>
            </w:r>
          </w:p>
        </w:tc>
      </w:tr>
      <w:tr w:rsidR="00F60D0B" w14:paraId="71DAF9FC" w14:textId="77777777" w:rsidTr="0060768A">
        <w:tc>
          <w:tcPr>
            <w:tcW w:w="2405" w:type="dxa"/>
            <w:shd w:val="clear" w:color="auto" w:fill="F2F2F2" w:themeFill="background1" w:themeFillShade="F2"/>
          </w:tcPr>
          <w:p w14:paraId="7D7A9C5E" w14:textId="77777777" w:rsidR="00F60D0B" w:rsidRDefault="00F60D0B" w:rsidP="0060768A"/>
        </w:tc>
        <w:tc>
          <w:tcPr>
            <w:tcW w:w="2196" w:type="dxa"/>
            <w:shd w:val="clear" w:color="auto" w:fill="F2F2F2" w:themeFill="background1" w:themeFillShade="F2"/>
          </w:tcPr>
          <w:p w14:paraId="63CDCB7D" w14:textId="77777777" w:rsidR="00F60D0B" w:rsidRDefault="00F60D0B" w:rsidP="0060768A">
            <w:pPr>
              <w:jc w:val="center"/>
            </w:pPr>
            <w:r>
              <w:t>£500</w:t>
            </w:r>
          </w:p>
        </w:tc>
        <w:tc>
          <w:tcPr>
            <w:tcW w:w="2324" w:type="dxa"/>
            <w:shd w:val="clear" w:color="auto" w:fill="F2F2F2" w:themeFill="background1" w:themeFillShade="F2"/>
          </w:tcPr>
          <w:p w14:paraId="690478AA" w14:textId="77777777" w:rsidR="00F60D0B" w:rsidRDefault="00F60D0B" w:rsidP="0060768A">
            <w:pPr>
              <w:jc w:val="center"/>
            </w:pPr>
            <w:r>
              <w:t>40%</w:t>
            </w:r>
          </w:p>
        </w:tc>
        <w:tc>
          <w:tcPr>
            <w:tcW w:w="2425" w:type="dxa"/>
            <w:shd w:val="clear" w:color="auto" w:fill="F2F2F2" w:themeFill="background1" w:themeFillShade="F2"/>
          </w:tcPr>
          <w:p w14:paraId="6B95EE11" w14:textId="77777777" w:rsidR="00F60D0B" w:rsidRDefault="00F60D0B" w:rsidP="0060768A">
            <w:pPr>
              <w:jc w:val="center"/>
            </w:pPr>
            <w:r>
              <w:t>£200</w:t>
            </w:r>
          </w:p>
        </w:tc>
      </w:tr>
      <w:tr w:rsidR="00F60D0B" w14:paraId="2540B0C0" w14:textId="77777777" w:rsidTr="0060768A">
        <w:tc>
          <w:tcPr>
            <w:tcW w:w="2405" w:type="dxa"/>
            <w:shd w:val="clear" w:color="auto" w:fill="F2F2F2" w:themeFill="background1" w:themeFillShade="F2"/>
          </w:tcPr>
          <w:p w14:paraId="78B52377" w14:textId="77777777" w:rsidR="00F60D0B" w:rsidRDefault="00F60D0B" w:rsidP="0060768A"/>
        </w:tc>
        <w:tc>
          <w:tcPr>
            <w:tcW w:w="2196" w:type="dxa"/>
            <w:shd w:val="clear" w:color="auto" w:fill="F2F2F2" w:themeFill="background1" w:themeFillShade="F2"/>
          </w:tcPr>
          <w:p w14:paraId="581E9439" w14:textId="77777777" w:rsidR="00F60D0B" w:rsidRDefault="00F60D0B" w:rsidP="0060768A">
            <w:pPr>
              <w:jc w:val="center"/>
            </w:pPr>
            <w:r>
              <w:t>£0</w:t>
            </w:r>
          </w:p>
        </w:tc>
        <w:tc>
          <w:tcPr>
            <w:tcW w:w="2324" w:type="dxa"/>
            <w:shd w:val="clear" w:color="auto" w:fill="F2F2F2" w:themeFill="background1" w:themeFillShade="F2"/>
          </w:tcPr>
          <w:p w14:paraId="2829429F" w14:textId="77777777" w:rsidR="00F60D0B" w:rsidRDefault="00F60D0B" w:rsidP="0060768A">
            <w:pPr>
              <w:jc w:val="center"/>
            </w:pPr>
            <w:r>
              <w:t>45%</w:t>
            </w:r>
          </w:p>
        </w:tc>
        <w:tc>
          <w:tcPr>
            <w:tcW w:w="2425" w:type="dxa"/>
            <w:shd w:val="clear" w:color="auto" w:fill="F2F2F2" w:themeFill="background1" w:themeFillShade="F2"/>
          </w:tcPr>
          <w:p w14:paraId="51EDA786" w14:textId="77777777" w:rsidR="00F60D0B" w:rsidRDefault="00F60D0B" w:rsidP="0060768A">
            <w:pPr>
              <w:jc w:val="center"/>
            </w:pPr>
            <w:r>
              <w:t>£0</w:t>
            </w:r>
          </w:p>
        </w:tc>
      </w:tr>
      <w:tr w:rsidR="00F60D0B" w14:paraId="142885E0" w14:textId="77777777" w:rsidTr="0060768A">
        <w:tc>
          <w:tcPr>
            <w:tcW w:w="2405" w:type="dxa"/>
            <w:shd w:val="clear" w:color="auto" w:fill="BFBFBF" w:themeFill="background1" w:themeFillShade="BF"/>
          </w:tcPr>
          <w:p w14:paraId="3DC96CE6" w14:textId="77777777" w:rsidR="00F60D0B" w:rsidRDefault="00F60D0B" w:rsidP="0060768A">
            <w:r>
              <w:t>Offshore Gain</w:t>
            </w:r>
          </w:p>
        </w:tc>
        <w:tc>
          <w:tcPr>
            <w:tcW w:w="2196" w:type="dxa"/>
            <w:shd w:val="clear" w:color="auto" w:fill="BFBFBF" w:themeFill="background1" w:themeFillShade="BF"/>
          </w:tcPr>
          <w:p w14:paraId="73638167" w14:textId="77777777" w:rsidR="00F60D0B" w:rsidRDefault="00F60D0B" w:rsidP="0060768A">
            <w:pPr>
              <w:jc w:val="center"/>
            </w:pPr>
            <w:r>
              <w:t>£0</w:t>
            </w:r>
          </w:p>
        </w:tc>
        <w:tc>
          <w:tcPr>
            <w:tcW w:w="2324" w:type="dxa"/>
            <w:shd w:val="clear" w:color="auto" w:fill="BFBFBF" w:themeFill="background1" w:themeFillShade="BF"/>
          </w:tcPr>
          <w:p w14:paraId="4B68420E" w14:textId="77777777" w:rsidR="00F60D0B" w:rsidRDefault="00F60D0B" w:rsidP="0060768A">
            <w:pPr>
              <w:jc w:val="center"/>
            </w:pPr>
            <w:r>
              <w:t>0%</w:t>
            </w:r>
          </w:p>
        </w:tc>
        <w:tc>
          <w:tcPr>
            <w:tcW w:w="2425" w:type="dxa"/>
            <w:shd w:val="clear" w:color="auto" w:fill="BFBFBF" w:themeFill="background1" w:themeFillShade="BF"/>
          </w:tcPr>
          <w:p w14:paraId="79BAF3D1" w14:textId="77777777" w:rsidR="00F60D0B" w:rsidRDefault="00F60D0B" w:rsidP="0060768A">
            <w:pPr>
              <w:jc w:val="center"/>
            </w:pPr>
            <w:r>
              <w:t>£0</w:t>
            </w:r>
          </w:p>
        </w:tc>
      </w:tr>
      <w:tr w:rsidR="00F60D0B" w14:paraId="07F94C20" w14:textId="77777777" w:rsidTr="0060768A">
        <w:tc>
          <w:tcPr>
            <w:tcW w:w="2405" w:type="dxa"/>
            <w:shd w:val="clear" w:color="auto" w:fill="BFBFBF" w:themeFill="background1" w:themeFillShade="BF"/>
          </w:tcPr>
          <w:p w14:paraId="71A49A0B" w14:textId="77777777" w:rsidR="00F60D0B" w:rsidRDefault="00F60D0B" w:rsidP="0060768A"/>
        </w:tc>
        <w:tc>
          <w:tcPr>
            <w:tcW w:w="2196" w:type="dxa"/>
            <w:shd w:val="clear" w:color="auto" w:fill="BFBFBF" w:themeFill="background1" w:themeFillShade="BF"/>
          </w:tcPr>
          <w:p w14:paraId="52B696A0" w14:textId="77777777" w:rsidR="00F60D0B" w:rsidRDefault="00F60D0B" w:rsidP="0060768A">
            <w:pPr>
              <w:jc w:val="center"/>
            </w:pPr>
            <w:r>
              <w:t>£0</w:t>
            </w:r>
          </w:p>
        </w:tc>
        <w:tc>
          <w:tcPr>
            <w:tcW w:w="2324" w:type="dxa"/>
            <w:shd w:val="clear" w:color="auto" w:fill="BFBFBF" w:themeFill="background1" w:themeFillShade="BF"/>
          </w:tcPr>
          <w:p w14:paraId="41BD5111" w14:textId="77777777" w:rsidR="00F60D0B" w:rsidRDefault="00F60D0B" w:rsidP="0060768A">
            <w:pPr>
              <w:jc w:val="center"/>
            </w:pPr>
            <w:r>
              <w:t>20%</w:t>
            </w:r>
          </w:p>
        </w:tc>
        <w:tc>
          <w:tcPr>
            <w:tcW w:w="2425" w:type="dxa"/>
            <w:shd w:val="clear" w:color="auto" w:fill="BFBFBF" w:themeFill="background1" w:themeFillShade="BF"/>
          </w:tcPr>
          <w:p w14:paraId="16DBC3F5" w14:textId="77777777" w:rsidR="00F60D0B" w:rsidRDefault="00F60D0B" w:rsidP="0060768A">
            <w:pPr>
              <w:jc w:val="center"/>
            </w:pPr>
            <w:r>
              <w:t>£0</w:t>
            </w:r>
          </w:p>
        </w:tc>
      </w:tr>
      <w:tr w:rsidR="00F60D0B" w14:paraId="33F920E0" w14:textId="77777777" w:rsidTr="0060768A">
        <w:tc>
          <w:tcPr>
            <w:tcW w:w="2405" w:type="dxa"/>
            <w:shd w:val="clear" w:color="auto" w:fill="BFBFBF" w:themeFill="background1" w:themeFillShade="BF"/>
          </w:tcPr>
          <w:p w14:paraId="01EA0AFF" w14:textId="77777777" w:rsidR="00F60D0B" w:rsidRDefault="00F60D0B" w:rsidP="0060768A"/>
        </w:tc>
        <w:tc>
          <w:tcPr>
            <w:tcW w:w="2196" w:type="dxa"/>
            <w:shd w:val="clear" w:color="auto" w:fill="BFBFBF" w:themeFill="background1" w:themeFillShade="BF"/>
          </w:tcPr>
          <w:p w14:paraId="0AB481ED" w14:textId="77777777" w:rsidR="00F60D0B" w:rsidRDefault="00F60D0B" w:rsidP="0060768A">
            <w:pPr>
              <w:jc w:val="center"/>
            </w:pPr>
            <w:r>
              <w:t>£50,000</w:t>
            </w:r>
          </w:p>
        </w:tc>
        <w:tc>
          <w:tcPr>
            <w:tcW w:w="2324" w:type="dxa"/>
            <w:shd w:val="clear" w:color="auto" w:fill="BFBFBF" w:themeFill="background1" w:themeFillShade="BF"/>
          </w:tcPr>
          <w:p w14:paraId="49E917CC" w14:textId="77777777" w:rsidR="00F60D0B" w:rsidRDefault="00F60D0B" w:rsidP="0060768A">
            <w:pPr>
              <w:jc w:val="center"/>
            </w:pPr>
            <w:r>
              <w:t>40%</w:t>
            </w:r>
          </w:p>
        </w:tc>
        <w:tc>
          <w:tcPr>
            <w:tcW w:w="2425" w:type="dxa"/>
            <w:shd w:val="clear" w:color="auto" w:fill="BFBFBF" w:themeFill="background1" w:themeFillShade="BF"/>
          </w:tcPr>
          <w:p w14:paraId="0E42CE83" w14:textId="77777777" w:rsidR="00F60D0B" w:rsidRDefault="00F60D0B" w:rsidP="0060768A">
            <w:pPr>
              <w:jc w:val="center"/>
            </w:pPr>
            <w:r>
              <w:t>£20,000</w:t>
            </w:r>
          </w:p>
        </w:tc>
      </w:tr>
      <w:tr w:rsidR="00F60D0B" w14:paraId="052D0E3B" w14:textId="77777777" w:rsidTr="0060768A">
        <w:tc>
          <w:tcPr>
            <w:tcW w:w="2405" w:type="dxa"/>
            <w:shd w:val="clear" w:color="auto" w:fill="BFBFBF" w:themeFill="background1" w:themeFillShade="BF"/>
          </w:tcPr>
          <w:p w14:paraId="776F0E6F" w14:textId="77777777" w:rsidR="00F60D0B" w:rsidRDefault="00F60D0B" w:rsidP="0060768A"/>
        </w:tc>
        <w:tc>
          <w:tcPr>
            <w:tcW w:w="2196" w:type="dxa"/>
            <w:shd w:val="clear" w:color="auto" w:fill="BFBFBF" w:themeFill="background1" w:themeFillShade="BF"/>
          </w:tcPr>
          <w:p w14:paraId="7A89A917" w14:textId="77777777" w:rsidR="00F60D0B" w:rsidRDefault="00F60D0B" w:rsidP="0060768A">
            <w:pPr>
              <w:jc w:val="center"/>
            </w:pPr>
            <w:r>
              <w:t>£50,000</w:t>
            </w:r>
          </w:p>
        </w:tc>
        <w:tc>
          <w:tcPr>
            <w:tcW w:w="2324" w:type="dxa"/>
            <w:shd w:val="clear" w:color="auto" w:fill="BFBFBF" w:themeFill="background1" w:themeFillShade="BF"/>
          </w:tcPr>
          <w:p w14:paraId="0E28BF6F" w14:textId="77777777" w:rsidR="00F60D0B" w:rsidRDefault="00F60D0B" w:rsidP="0060768A">
            <w:pPr>
              <w:jc w:val="center"/>
            </w:pPr>
            <w:r>
              <w:t>45%</w:t>
            </w:r>
          </w:p>
        </w:tc>
        <w:tc>
          <w:tcPr>
            <w:tcW w:w="2425" w:type="dxa"/>
            <w:shd w:val="clear" w:color="auto" w:fill="BFBFBF" w:themeFill="background1" w:themeFillShade="BF"/>
          </w:tcPr>
          <w:p w14:paraId="4C44C457" w14:textId="77777777" w:rsidR="00F60D0B" w:rsidRDefault="00F60D0B" w:rsidP="0060768A">
            <w:pPr>
              <w:jc w:val="center"/>
            </w:pPr>
            <w:r>
              <w:t>£22,500</w:t>
            </w:r>
          </w:p>
        </w:tc>
      </w:tr>
      <w:tr w:rsidR="00F60D0B" w:rsidRPr="00AF1059" w14:paraId="5DAF1BEC" w14:textId="77777777" w:rsidTr="0060768A">
        <w:tc>
          <w:tcPr>
            <w:tcW w:w="2405" w:type="dxa"/>
            <w:shd w:val="clear" w:color="auto" w:fill="000000" w:themeFill="text1"/>
          </w:tcPr>
          <w:p w14:paraId="2C87B1FF" w14:textId="77777777" w:rsidR="00F60D0B" w:rsidRPr="00AF1059" w:rsidRDefault="00F60D0B" w:rsidP="0060768A">
            <w:pPr>
              <w:rPr>
                <w:b/>
                <w:bCs/>
              </w:rPr>
            </w:pPr>
            <w:r w:rsidRPr="00AF1059">
              <w:rPr>
                <w:b/>
                <w:bCs/>
              </w:rPr>
              <w:t>Total</w:t>
            </w:r>
          </w:p>
        </w:tc>
        <w:tc>
          <w:tcPr>
            <w:tcW w:w="2196" w:type="dxa"/>
            <w:shd w:val="clear" w:color="auto" w:fill="000000" w:themeFill="text1"/>
          </w:tcPr>
          <w:p w14:paraId="6CC43ED4" w14:textId="77777777" w:rsidR="00F60D0B" w:rsidRPr="00AF1059" w:rsidRDefault="00F60D0B" w:rsidP="0060768A">
            <w:pPr>
              <w:jc w:val="center"/>
              <w:rPr>
                <w:b/>
                <w:bCs/>
              </w:rPr>
            </w:pPr>
            <w:r w:rsidRPr="00AF1059">
              <w:rPr>
                <w:b/>
                <w:bCs/>
              </w:rPr>
              <w:t>£</w:t>
            </w:r>
            <w:r>
              <w:rPr>
                <w:b/>
                <w:bCs/>
              </w:rPr>
              <w:t>200,000</w:t>
            </w:r>
          </w:p>
        </w:tc>
        <w:tc>
          <w:tcPr>
            <w:tcW w:w="2324" w:type="dxa"/>
            <w:shd w:val="clear" w:color="auto" w:fill="000000" w:themeFill="text1"/>
          </w:tcPr>
          <w:p w14:paraId="3FAB37E3" w14:textId="12DB2349" w:rsidR="00F60D0B" w:rsidRPr="00AF1059" w:rsidRDefault="00F60D0B" w:rsidP="0060768A">
            <w:pPr>
              <w:jc w:val="center"/>
              <w:rPr>
                <w:b/>
                <w:bCs/>
              </w:rPr>
            </w:pPr>
          </w:p>
        </w:tc>
        <w:tc>
          <w:tcPr>
            <w:tcW w:w="2425" w:type="dxa"/>
            <w:shd w:val="clear" w:color="auto" w:fill="000000" w:themeFill="text1"/>
          </w:tcPr>
          <w:p w14:paraId="268BD675" w14:textId="2DDA42BC" w:rsidR="00F60D0B" w:rsidRPr="00AF1059" w:rsidRDefault="00F60D0B" w:rsidP="0060768A">
            <w:pPr>
              <w:jc w:val="center"/>
              <w:rPr>
                <w:b/>
                <w:bCs/>
              </w:rPr>
            </w:pPr>
            <w:r w:rsidRPr="00AF1059">
              <w:rPr>
                <w:b/>
                <w:bCs/>
              </w:rPr>
              <w:t>£</w:t>
            </w:r>
            <w:r w:rsidR="00BB3A85" w:rsidRPr="00BB3A85">
              <w:rPr>
                <w:b/>
                <w:bCs/>
              </w:rPr>
              <w:t>74,</w:t>
            </w:r>
            <w:r w:rsidR="00CD554D">
              <w:rPr>
                <w:b/>
                <w:bCs/>
              </w:rPr>
              <w:t>9</w:t>
            </w:r>
            <w:r w:rsidR="00BB3A85" w:rsidRPr="00BB3A85">
              <w:rPr>
                <w:b/>
                <w:bCs/>
              </w:rPr>
              <w:t>60</w:t>
            </w:r>
          </w:p>
        </w:tc>
      </w:tr>
      <w:tr w:rsidR="00F60D0B" w:rsidRPr="009A0175" w14:paraId="587C1AFF" w14:textId="77777777" w:rsidTr="0060768A">
        <w:tc>
          <w:tcPr>
            <w:tcW w:w="2405" w:type="dxa"/>
            <w:shd w:val="clear" w:color="auto" w:fill="F2F2F2" w:themeFill="background1" w:themeFillShade="F2"/>
          </w:tcPr>
          <w:p w14:paraId="21CF0946" w14:textId="77777777" w:rsidR="00F60D0B" w:rsidRPr="008F0E1D" w:rsidRDefault="00F60D0B" w:rsidP="0060768A">
            <w:r w:rsidRPr="008F0E1D">
              <w:t>Onshore Tax Credit</w:t>
            </w:r>
          </w:p>
        </w:tc>
        <w:tc>
          <w:tcPr>
            <w:tcW w:w="2196" w:type="dxa"/>
            <w:shd w:val="clear" w:color="auto" w:fill="F2F2F2" w:themeFill="background1" w:themeFillShade="F2"/>
          </w:tcPr>
          <w:p w14:paraId="1EA3826C" w14:textId="77777777" w:rsidR="00F60D0B" w:rsidRPr="009A0175" w:rsidRDefault="00F60D0B" w:rsidP="0060768A">
            <w:pPr>
              <w:jc w:val="center"/>
            </w:pPr>
            <w:r w:rsidRPr="009A0175">
              <w:t>(£</w:t>
            </w:r>
            <w:r>
              <w:t>100,000</w:t>
            </w:r>
            <w:r w:rsidRPr="009A0175">
              <w:t>)</w:t>
            </w:r>
          </w:p>
        </w:tc>
        <w:tc>
          <w:tcPr>
            <w:tcW w:w="2324" w:type="dxa"/>
            <w:shd w:val="clear" w:color="auto" w:fill="F2F2F2" w:themeFill="background1" w:themeFillShade="F2"/>
          </w:tcPr>
          <w:p w14:paraId="01CF215C" w14:textId="77777777" w:rsidR="00F60D0B" w:rsidRPr="009A0175" w:rsidRDefault="00F60D0B" w:rsidP="0060768A">
            <w:pPr>
              <w:jc w:val="center"/>
            </w:pPr>
            <w:r>
              <w:t>0</w:t>
            </w:r>
            <w:r w:rsidRPr="009A0175">
              <w:t>%</w:t>
            </w:r>
          </w:p>
        </w:tc>
        <w:tc>
          <w:tcPr>
            <w:tcW w:w="2425" w:type="dxa"/>
            <w:shd w:val="clear" w:color="auto" w:fill="F2F2F2" w:themeFill="background1" w:themeFillShade="F2"/>
          </w:tcPr>
          <w:p w14:paraId="023F7BC6" w14:textId="77777777" w:rsidR="00F60D0B" w:rsidRPr="009A0175" w:rsidRDefault="00F60D0B" w:rsidP="0060768A">
            <w:pPr>
              <w:jc w:val="center"/>
            </w:pPr>
            <w:r w:rsidRPr="009A0175">
              <w:t>(</w:t>
            </w:r>
            <w:r>
              <w:t>£0</w:t>
            </w:r>
            <w:r w:rsidRPr="009A0175">
              <w:t>)</w:t>
            </w:r>
          </w:p>
        </w:tc>
      </w:tr>
      <w:tr w:rsidR="00F60D0B" w:rsidRPr="00746D6D" w14:paraId="226F7D5A" w14:textId="77777777" w:rsidTr="0060768A">
        <w:tc>
          <w:tcPr>
            <w:tcW w:w="2405" w:type="dxa"/>
            <w:shd w:val="clear" w:color="auto" w:fill="F2F2F2" w:themeFill="background1" w:themeFillShade="F2"/>
          </w:tcPr>
          <w:p w14:paraId="2C247EBA" w14:textId="77777777" w:rsidR="00F60D0B" w:rsidRPr="00644F44" w:rsidRDefault="00F60D0B" w:rsidP="0060768A">
            <w:r w:rsidRPr="00644F44">
              <w:t>Top-Slicing Relief</w:t>
            </w:r>
          </w:p>
        </w:tc>
        <w:tc>
          <w:tcPr>
            <w:tcW w:w="2196" w:type="dxa"/>
            <w:shd w:val="clear" w:color="auto" w:fill="F2F2F2" w:themeFill="background1" w:themeFillShade="F2"/>
          </w:tcPr>
          <w:p w14:paraId="0F1E6C75" w14:textId="77777777" w:rsidR="00F60D0B" w:rsidRPr="00746D6D" w:rsidRDefault="00F60D0B" w:rsidP="0060768A">
            <w:pPr>
              <w:jc w:val="center"/>
            </w:pPr>
          </w:p>
        </w:tc>
        <w:tc>
          <w:tcPr>
            <w:tcW w:w="2324" w:type="dxa"/>
            <w:shd w:val="clear" w:color="auto" w:fill="F2F2F2" w:themeFill="background1" w:themeFillShade="F2"/>
          </w:tcPr>
          <w:p w14:paraId="1D33718A" w14:textId="77777777" w:rsidR="00F60D0B" w:rsidRPr="00746D6D" w:rsidRDefault="00F60D0B" w:rsidP="0060768A">
            <w:pPr>
              <w:jc w:val="center"/>
            </w:pPr>
          </w:p>
        </w:tc>
        <w:tc>
          <w:tcPr>
            <w:tcW w:w="2425" w:type="dxa"/>
            <w:shd w:val="clear" w:color="auto" w:fill="F2F2F2" w:themeFill="background1" w:themeFillShade="F2"/>
          </w:tcPr>
          <w:p w14:paraId="599774FA" w14:textId="59D61050" w:rsidR="00F60D0B" w:rsidRPr="00746D6D" w:rsidRDefault="00215222" w:rsidP="0060768A">
            <w:pPr>
              <w:jc w:val="center"/>
            </w:pPr>
            <w:r>
              <w:t>(</w:t>
            </w:r>
            <w:r w:rsidR="00F60D0B">
              <w:t>£2,500</w:t>
            </w:r>
            <w:r>
              <w:t>)</w:t>
            </w:r>
          </w:p>
        </w:tc>
      </w:tr>
      <w:tr w:rsidR="00F60D0B" w:rsidRPr="00AF1059" w14:paraId="1A6B629D" w14:textId="77777777" w:rsidTr="0060768A">
        <w:tc>
          <w:tcPr>
            <w:tcW w:w="2405" w:type="dxa"/>
            <w:shd w:val="clear" w:color="auto" w:fill="000000" w:themeFill="text1"/>
          </w:tcPr>
          <w:p w14:paraId="2A28BA11" w14:textId="77777777" w:rsidR="00F60D0B" w:rsidRPr="00AF1059" w:rsidRDefault="00F60D0B" w:rsidP="0060768A">
            <w:pPr>
              <w:rPr>
                <w:b/>
                <w:bCs/>
              </w:rPr>
            </w:pPr>
            <w:r>
              <w:rPr>
                <w:b/>
                <w:bCs/>
              </w:rPr>
              <w:t>Actual Tax Due</w:t>
            </w:r>
          </w:p>
        </w:tc>
        <w:tc>
          <w:tcPr>
            <w:tcW w:w="2196" w:type="dxa"/>
            <w:shd w:val="clear" w:color="auto" w:fill="000000" w:themeFill="text1"/>
          </w:tcPr>
          <w:p w14:paraId="7776E5E1" w14:textId="77777777" w:rsidR="00F60D0B" w:rsidRPr="00AF1059" w:rsidRDefault="00F60D0B" w:rsidP="0060768A">
            <w:pPr>
              <w:jc w:val="center"/>
              <w:rPr>
                <w:b/>
                <w:bCs/>
              </w:rPr>
            </w:pPr>
          </w:p>
        </w:tc>
        <w:tc>
          <w:tcPr>
            <w:tcW w:w="2324" w:type="dxa"/>
            <w:shd w:val="clear" w:color="auto" w:fill="000000" w:themeFill="text1"/>
          </w:tcPr>
          <w:p w14:paraId="275DE26C" w14:textId="77777777" w:rsidR="00F60D0B" w:rsidRPr="00AF1059" w:rsidRDefault="00F60D0B" w:rsidP="0060768A">
            <w:pPr>
              <w:jc w:val="center"/>
              <w:rPr>
                <w:b/>
                <w:bCs/>
              </w:rPr>
            </w:pPr>
          </w:p>
        </w:tc>
        <w:tc>
          <w:tcPr>
            <w:tcW w:w="2425" w:type="dxa"/>
            <w:shd w:val="clear" w:color="auto" w:fill="000000" w:themeFill="text1"/>
          </w:tcPr>
          <w:p w14:paraId="57C42279" w14:textId="4ECE057C" w:rsidR="00F60D0B" w:rsidRPr="00AF1059" w:rsidRDefault="00F60D0B" w:rsidP="0060768A">
            <w:pPr>
              <w:jc w:val="center"/>
              <w:rPr>
                <w:b/>
                <w:bCs/>
              </w:rPr>
            </w:pPr>
            <w:r>
              <w:rPr>
                <w:b/>
                <w:bCs/>
              </w:rPr>
              <w:t>£</w:t>
            </w:r>
            <w:r w:rsidR="00215222" w:rsidRPr="00215222">
              <w:rPr>
                <w:b/>
                <w:bCs/>
              </w:rPr>
              <w:t>72,</w:t>
            </w:r>
            <w:r w:rsidR="0040707F">
              <w:rPr>
                <w:b/>
                <w:bCs/>
              </w:rPr>
              <w:t>4</w:t>
            </w:r>
            <w:r w:rsidR="00215222" w:rsidRPr="00215222">
              <w:rPr>
                <w:b/>
                <w:bCs/>
              </w:rPr>
              <w:t>60</w:t>
            </w:r>
          </w:p>
        </w:tc>
      </w:tr>
    </w:tbl>
    <w:p w14:paraId="698054CE" w14:textId="4725E13A" w:rsidR="00F60D0B" w:rsidRDefault="00F60D0B" w:rsidP="002E0C5D"/>
    <w:p w14:paraId="0D155399" w14:textId="2D123EBA" w:rsidR="00B915ED" w:rsidRDefault="00215222" w:rsidP="002E0C5D">
      <w:r>
        <w:t xml:space="preserve">If </w:t>
      </w:r>
      <w:r w:rsidR="005F3E40">
        <w:t>he</w:t>
      </w:r>
      <w:r>
        <w:t xml:space="preserve">’d had the onshore tax credit, </w:t>
      </w:r>
      <w:r w:rsidR="00087049">
        <w:t xml:space="preserve">this would have been £20,000 </w:t>
      </w:r>
      <w:r w:rsidR="005F3E40">
        <w:t>Marcus</w:t>
      </w:r>
      <w:r w:rsidR="00087049">
        <w:t xml:space="preserve"> could have shaved off the tax bill. But this is the price Marcus has paid for going offshore and benefiting from gross roll-up</w:t>
      </w:r>
      <w:r w:rsidR="00FB00A8">
        <w:t xml:space="preserve"> within the life fund.</w:t>
      </w:r>
      <w:r w:rsidR="005F3E40">
        <w:t xml:space="preserve"> This is explored in the next section.</w:t>
      </w:r>
    </w:p>
    <w:p w14:paraId="365E79F6" w14:textId="2FFD21AA" w:rsidR="00FB00A8" w:rsidRDefault="00FB00A8" w:rsidP="002E0C5D"/>
    <w:p w14:paraId="1D014429" w14:textId="3AD7BC7F" w:rsidR="005F3E40" w:rsidRDefault="005F3E40" w:rsidP="002E0C5D">
      <w:r>
        <w:t xml:space="preserve">Note that the amount of top-slicing </w:t>
      </w:r>
      <w:r w:rsidR="00916C34">
        <w:t xml:space="preserve">awarded of £2,200 means that Marcus has effectively paid 40% higher-rate tax on the entire </w:t>
      </w:r>
      <w:r w:rsidR="001F4F33">
        <w:t>chargeable gain. It’s a £100,000 chargeable gain and he’s paid £40,000</w:t>
      </w:r>
      <w:r w:rsidR="00D571EE">
        <w:t xml:space="preserve"> in Income Tax on it. This is the same principle as discussed earlier: </w:t>
      </w:r>
      <w:r w:rsidR="00D571EE" w:rsidRPr="00432173">
        <w:rPr>
          <w:b/>
          <w:bCs/>
        </w:rPr>
        <w:t>i</w:t>
      </w:r>
      <w:r w:rsidR="0096115F" w:rsidRPr="00432173">
        <w:rPr>
          <w:b/>
          <w:bCs/>
        </w:rPr>
        <w:t>n most cases</w:t>
      </w:r>
      <w:r w:rsidR="0096115F">
        <w:t xml:space="preserve">, if the sliced gain does not take the </w:t>
      </w:r>
      <w:r w:rsidR="00034D5B">
        <w:t xml:space="preserve">higher-rate taxpaying </w:t>
      </w:r>
      <w:r w:rsidR="0096115F">
        <w:t xml:space="preserve">policyholder into the </w:t>
      </w:r>
      <w:r w:rsidR="00034D5B">
        <w:t>additional-rate</w:t>
      </w:r>
      <w:r w:rsidR="00432173">
        <w:t xml:space="preserve"> tax bracket, </w:t>
      </w:r>
      <w:r w:rsidR="00C3258A">
        <w:t>they’ll pay higher-rate tax on the whole gain.</w:t>
      </w:r>
    </w:p>
    <w:p w14:paraId="01671DA5" w14:textId="6BE8FDAF" w:rsidR="00C3258A" w:rsidRDefault="00C3258A" w:rsidP="002E0C5D"/>
    <w:p w14:paraId="64590BFF" w14:textId="0F8FBA61" w:rsidR="00C3258A" w:rsidRDefault="00C3258A" w:rsidP="002E0C5D">
      <w:r>
        <w:t xml:space="preserve">Another important point is that, while </w:t>
      </w:r>
      <w:r w:rsidR="00D34917">
        <w:t xml:space="preserve">we have been able to use the slice for the purpose of determining Marcus’s Personal Allowance and the availability of the PSA to calculate ‘B’, </w:t>
      </w:r>
      <w:r w:rsidR="00B04765">
        <w:t>it is only for the purpose of calculating ‘B’ within the top-slicing calculation and does not apply to the actual Income Tax calculation.</w:t>
      </w:r>
    </w:p>
    <w:p w14:paraId="381C0480" w14:textId="25E583E9" w:rsidR="00963548" w:rsidRDefault="00963548" w:rsidP="002E0C5D"/>
    <w:p w14:paraId="71023A36" w14:textId="7D802F23" w:rsidR="00963548" w:rsidRDefault="00963548" w:rsidP="002E0C5D"/>
    <w:p w14:paraId="399D45EE" w14:textId="69EEDFA5" w:rsidR="00963548" w:rsidRDefault="00963548" w:rsidP="00963548">
      <w:pPr>
        <w:pStyle w:val="Heading2"/>
      </w:pPr>
      <w:bookmarkStart w:id="18" w:name="_Toc187422042"/>
      <w:r>
        <w:t>Onshore V Offshore</w:t>
      </w:r>
      <w:bookmarkEnd w:id="18"/>
    </w:p>
    <w:p w14:paraId="012A0EC1" w14:textId="77777777" w:rsidR="00963548" w:rsidRDefault="00963548" w:rsidP="002E0C5D"/>
    <w:p w14:paraId="122C91CF" w14:textId="7887F81A" w:rsidR="00FB00A8" w:rsidRDefault="00FB00A8" w:rsidP="002E0C5D">
      <w:r>
        <w:t xml:space="preserve">Statistically, if you’re a </w:t>
      </w:r>
      <w:r w:rsidR="000D438E">
        <w:t xml:space="preserve">basic-, </w:t>
      </w:r>
      <w:r>
        <w:t xml:space="preserve">higher-, or additional-rate taxpayer in the tax year of encashment, you’re almost always </w:t>
      </w:r>
      <w:r w:rsidR="005C4B31">
        <w:t xml:space="preserve">more tax-efficient with a UK bond compared to offshore. </w:t>
      </w:r>
      <w:r w:rsidR="00155CCB">
        <w:t xml:space="preserve">However, for non-taxpayers, </w:t>
      </w:r>
      <w:r w:rsidR="0011510B">
        <w:t xml:space="preserve">offshore bonds win. </w:t>
      </w:r>
      <w:r w:rsidR="005C4B31">
        <w:t>This is purely mathematical, as follows:</w:t>
      </w:r>
    </w:p>
    <w:p w14:paraId="2A11F38F" w14:textId="4D585ECF" w:rsidR="0011510B" w:rsidRDefault="0011510B" w:rsidP="002E0C5D"/>
    <w:p w14:paraId="5239F8D3" w14:textId="77777777" w:rsidR="00FA5439" w:rsidRDefault="00FA5439" w:rsidP="002E0C5D"/>
    <w:p w14:paraId="191DDF67" w14:textId="6CD63263" w:rsidR="008F50AC" w:rsidRDefault="008F50AC" w:rsidP="008F50AC">
      <w:pPr>
        <w:pStyle w:val="Heading3"/>
      </w:pPr>
      <w:bookmarkStart w:id="19" w:name="_Toc187422043"/>
      <w:r>
        <w:lastRenderedPageBreak/>
        <w:t>Non-Taxpayers</w:t>
      </w:r>
      <w:bookmarkEnd w:id="19"/>
    </w:p>
    <w:p w14:paraId="7057E5CA" w14:textId="771770E3" w:rsidR="008F50AC" w:rsidRDefault="008F50AC" w:rsidP="008F50AC"/>
    <w:p w14:paraId="5952B411" w14:textId="54D2D6E7" w:rsidR="008F50AC" w:rsidRPr="008F50AC" w:rsidRDefault="008F50AC" w:rsidP="008F50AC">
      <w:r>
        <w:rPr>
          <w:noProof/>
        </w:rPr>
        <w:drawing>
          <wp:inline distT="0" distB="0" distL="0" distR="0" wp14:anchorId="378B36E2" wp14:editId="1C8E4251">
            <wp:extent cx="5486400" cy="2460423"/>
            <wp:effectExtent l="19050" t="0" r="19050" b="165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CC3633C" w14:textId="39CC12C4" w:rsidR="008F50AC" w:rsidRDefault="008F50AC" w:rsidP="002E0C5D"/>
    <w:p w14:paraId="64F8B567" w14:textId="1187638F" w:rsidR="00A7346B" w:rsidRDefault="00C91CFB" w:rsidP="002E0C5D">
      <w:r>
        <w:t xml:space="preserve">As per the flowcharts, </w:t>
      </w:r>
      <w:r w:rsidR="00127D2A">
        <w:t xml:space="preserve">offshore bonds are winning out because we’ve had gross rollup and no personal Income Tax to pay on the chargeable gain. However, with an onshore bond, we’ve </w:t>
      </w:r>
      <w:r w:rsidR="007E757E">
        <w:t>paid tax within the life fund at a deemed rate of 20% and we can’t claim this back!</w:t>
      </w:r>
    </w:p>
    <w:p w14:paraId="1B4A876A" w14:textId="77777777" w:rsidR="00A7346B" w:rsidRDefault="00A7346B" w:rsidP="002E0C5D"/>
    <w:p w14:paraId="66FB7AD4" w14:textId="5419457A" w:rsidR="008F50AC" w:rsidRDefault="00C13C2B" w:rsidP="00C13C2B">
      <w:pPr>
        <w:pStyle w:val="Heading3"/>
      </w:pPr>
      <w:bookmarkStart w:id="20" w:name="_Toc187422044"/>
      <w:r>
        <w:t>Basic-Rate Taxpayers</w:t>
      </w:r>
      <w:bookmarkEnd w:id="20"/>
    </w:p>
    <w:p w14:paraId="41D15F90" w14:textId="77777777" w:rsidR="00C13C2B" w:rsidRDefault="00C13C2B" w:rsidP="002E0C5D"/>
    <w:p w14:paraId="21012011" w14:textId="6238EE47" w:rsidR="0011510B" w:rsidRDefault="0011510B" w:rsidP="002E0C5D">
      <w:r>
        <w:rPr>
          <w:noProof/>
        </w:rPr>
        <w:drawing>
          <wp:inline distT="0" distB="0" distL="0" distR="0" wp14:anchorId="3D1A0D2F" wp14:editId="40C953CA">
            <wp:extent cx="5486400" cy="3200400"/>
            <wp:effectExtent l="0" t="0" r="571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C0F3675" w14:textId="67AA6D3A" w:rsidR="00A7346B" w:rsidRDefault="00A7346B" w:rsidP="002E0C5D"/>
    <w:p w14:paraId="46E9D008" w14:textId="0D7A2CB9" w:rsidR="00BF6E20" w:rsidRDefault="00380D31" w:rsidP="002E0C5D">
      <w:r>
        <w:t xml:space="preserve">Here, it’s a zero-sum game. In both cases, we’re paying 20% tax. </w:t>
      </w:r>
      <w:r w:rsidR="001F709D">
        <w:t xml:space="preserve">Theoretically, it’s better to opt for an onshore bond because even though the tax within the life fund is </w:t>
      </w:r>
      <w:r w:rsidR="001F709D" w:rsidRPr="00505AAD">
        <w:rPr>
          <w:b/>
          <w:bCs/>
        </w:rPr>
        <w:t>deemed</w:t>
      </w:r>
      <w:r w:rsidR="001F709D">
        <w:t xml:space="preserve"> paid at 20%, because life funds pay not tax on dividends, </w:t>
      </w:r>
      <w:r w:rsidR="00505AAD">
        <w:t>we’ve probably not paid that much tax in practice.</w:t>
      </w:r>
      <w:r w:rsidR="000D438E">
        <w:t xml:space="preserve"> This is especially the </w:t>
      </w:r>
      <w:r w:rsidR="000D438E">
        <w:lastRenderedPageBreak/>
        <w:t xml:space="preserve">case if </w:t>
      </w:r>
      <w:r w:rsidR="00C6117E">
        <w:t>the life fund is investing in high</w:t>
      </w:r>
      <w:r w:rsidR="00AE31C3">
        <w:t xml:space="preserve"> </w:t>
      </w:r>
      <w:r w:rsidR="00C6117E">
        <w:t>dividend paying equities.</w:t>
      </w:r>
      <w:r w:rsidR="00505AAD">
        <w:t xml:space="preserve"> Furthermore, there’s no need to </w:t>
      </w:r>
      <w:r w:rsidR="00237B51">
        <w:t>make a manual Income Tax payment to HMRC</w:t>
      </w:r>
      <w:r w:rsidR="000D438E">
        <w:t xml:space="preserve"> or adjust our tax code for next year, so it’s the simpler solution.</w:t>
      </w:r>
    </w:p>
    <w:p w14:paraId="2312713A" w14:textId="158E8481" w:rsidR="00BF6E20" w:rsidRDefault="00BF6E20" w:rsidP="002E0C5D"/>
    <w:p w14:paraId="177E18D1" w14:textId="09C5F0CA" w:rsidR="00BF6E20" w:rsidRPr="007C4040" w:rsidRDefault="00BF6E20" w:rsidP="002E0C5D">
      <w:pPr>
        <w:rPr>
          <w:b/>
          <w:bCs/>
        </w:rPr>
      </w:pPr>
      <w:r w:rsidRPr="007C4040">
        <w:rPr>
          <w:b/>
          <w:bCs/>
        </w:rPr>
        <w:t>However, it’s worth pointing out that basic-rate taxpayers, depending on their personal circumstances, may be able to make use of their 0% Starting Savings Rate and</w:t>
      </w:r>
      <w:r w:rsidR="007C4040" w:rsidRPr="007C4040">
        <w:rPr>
          <w:b/>
          <w:bCs/>
        </w:rPr>
        <w:t>/or</w:t>
      </w:r>
      <w:r w:rsidRPr="007C4040">
        <w:rPr>
          <w:b/>
          <w:bCs/>
        </w:rPr>
        <w:t xml:space="preserve"> £1,000 PSA </w:t>
      </w:r>
      <w:r w:rsidR="007C4040" w:rsidRPr="007C4040">
        <w:rPr>
          <w:b/>
          <w:bCs/>
        </w:rPr>
        <w:t>to offset chargeable gains on offshore bonds, so this needs to be considered!</w:t>
      </w:r>
    </w:p>
    <w:p w14:paraId="1B9512C5" w14:textId="77777777" w:rsidR="0011510B" w:rsidRDefault="0011510B" w:rsidP="002E0C5D"/>
    <w:p w14:paraId="7E8C9731" w14:textId="45219E74" w:rsidR="00155CCB" w:rsidRDefault="00A7346B" w:rsidP="00A7346B">
      <w:pPr>
        <w:pStyle w:val="Heading3"/>
      </w:pPr>
      <w:bookmarkStart w:id="21" w:name="_Toc187422045"/>
      <w:r>
        <w:t>Higher-Rate Taxpayers</w:t>
      </w:r>
      <w:bookmarkEnd w:id="21"/>
    </w:p>
    <w:p w14:paraId="46C06626" w14:textId="25EDCDFA" w:rsidR="00155CCB" w:rsidRDefault="00155CCB" w:rsidP="002E0C5D"/>
    <w:p w14:paraId="634CA756" w14:textId="22262E53" w:rsidR="00155CCB" w:rsidRDefault="00AE31C3" w:rsidP="002E0C5D">
      <w:r>
        <w:rPr>
          <w:noProof/>
        </w:rPr>
        <w:drawing>
          <wp:inline distT="0" distB="0" distL="0" distR="0" wp14:anchorId="2DCBDEBA" wp14:editId="57260C45">
            <wp:extent cx="5486400" cy="3200400"/>
            <wp:effectExtent l="0" t="0" r="5715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03ED947" w14:textId="4F105C07" w:rsidR="00155CCB" w:rsidRDefault="00155CCB" w:rsidP="002E0C5D"/>
    <w:p w14:paraId="601EC7B2" w14:textId="1B5B02EF" w:rsidR="00155CCB" w:rsidRDefault="00BC2C32" w:rsidP="002E0C5D">
      <w:r>
        <w:t>For higher-</w:t>
      </w:r>
      <w:r w:rsidR="00DB6CFE">
        <w:t xml:space="preserve"> and additional-</w:t>
      </w:r>
      <w:r>
        <w:t xml:space="preserve">rate taxpayers, the </w:t>
      </w:r>
      <w:r w:rsidR="000F3A84">
        <w:t xml:space="preserve">difference </w:t>
      </w:r>
      <w:r>
        <w:t xml:space="preserve">is in understanding that the personal Income Tax liability for UK bonds is based on the net </w:t>
      </w:r>
      <w:r w:rsidR="00EA1467">
        <w:t xml:space="preserve">£8,000 figure. </w:t>
      </w:r>
      <w:r w:rsidR="00DB6CFE">
        <w:t>It is the £8,000</w:t>
      </w:r>
      <w:r w:rsidR="00EA1467">
        <w:t xml:space="preserve"> figure that we see </w:t>
      </w:r>
      <w:r w:rsidR="00DB6CFE">
        <w:t>on our chargeable event certificate</w:t>
      </w:r>
      <w:r w:rsidR="000F3A84">
        <w:t xml:space="preserve"> and that we need to put on our tax return.</w:t>
      </w:r>
      <w:r w:rsidR="00C00568">
        <w:t xml:space="preserve"> The 20% tax is based on this £8,000 figure, not the £10,000 gross gain. But it is with the offshore bond. </w:t>
      </w:r>
      <w:r w:rsidR="007D3D45">
        <w:t>4</w:t>
      </w:r>
      <w:r w:rsidR="00C00568">
        <w:t xml:space="preserve">0% of £8,000 </w:t>
      </w:r>
      <w:r w:rsidR="007D3D45">
        <w:t xml:space="preserve">(£3,200) </w:t>
      </w:r>
      <w:r w:rsidR="00C00568">
        <w:t xml:space="preserve">is clearly less than </w:t>
      </w:r>
      <w:r w:rsidR="007D3D45">
        <w:t>4</w:t>
      </w:r>
      <w:r w:rsidR="00C00568">
        <w:t xml:space="preserve">0% of </w:t>
      </w:r>
      <w:r w:rsidR="007D3D45">
        <w:t>£10,000 (£4,000).</w:t>
      </w:r>
    </w:p>
    <w:p w14:paraId="0534FCD6" w14:textId="5922196A" w:rsidR="00155CCB" w:rsidRDefault="00155CCB" w:rsidP="002E0C5D"/>
    <w:p w14:paraId="6BB57921" w14:textId="77777777" w:rsidR="00DA2CAD" w:rsidRDefault="00203F56" w:rsidP="002E0C5D">
      <w:r>
        <w:t xml:space="preserve">Higher-rate taxpayers </w:t>
      </w:r>
      <w:r w:rsidR="00865375">
        <w:t xml:space="preserve">are unlikely to have any 0% Starting Savings Rate to offset offshore chargeable gains, but they may do if their high income is due to </w:t>
      </w:r>
      <w:r w:rsidR="009512BE">
        <w:t>dividends rather than non-savings income (such as salary, self-employed profits, and pension income).</w:t>
      </w:r>
    </w:p>
    <w:p w14:paraId="6C7E7E2B" w14:textId="77777777" w:rsidR="00DA2CAD" w:rsidRDefault="00DA2CAD" w:rsidP="002E0C5D"/>
    <w:p w14:paraId="55A4A0E4" w14:textId="56643B33" w:rsidR="00155CCB" w:rsidRDefault="00DA2CAD" w:rsidP="002E0C5D">
      <w:r>
        <w:t>Higher-rate taxpayers may have their £500 PSA available, and this can be used to offset chargeable gains on both UK and offshore bonds.</w:t>
      </w:r>
    </w:p>
    <w:p w14:paraId="5189A01E" w14:textId="39E0F430" w:rsidR="00865375" w:rsidRDefault="00865375" w:rsidP="002E0C5D"/>
    <w:p w14:paraId="0604A6AA" w14:textId="5791E309" w:rsidR="009512BE" w:rsidRDefault="009512BE" w:rsidP="002E0C5D"/>
    <w:p w14:paraId="12BFC5FC" w14:textId="77777777" w:rsidR="00FA5439" w:rsidRDefault="00FA5439" w:rsidP="002E0C5D"/>
    <w:p w14:paraId="1D1232DB" w14:textId="761F922E" w:rsidR="00155CCB" w:rsidRDefault="007D3D45" w:rsidP="007D3D45">
      <w:pPr>
        <w:pStyle w:val="Heading3"/>
      </w:pPr>
      <w:bookmarkStart w:id="22" w:name="_Toc187422046"/>
      <w:r>
        <w:lastRenderedPageBreak/>
        <w:t>Additional-Rate Taxpayers</w:t>
      </w:r>
      <w:bookmarkEnd w:id="22"/>
    </w:p>
    <w:p w14:paraId="5159E676" w14:textId="704EC032" w:rsidR="00155CCB" w:rsidRDefault="00155CCB" w:rsidP="002E0C5D"/>
    <w:p w14:paraId="0C7CDDA1" w14:textId="280DADE5" w:rsidR="005C4B31" w:rsidRDefault="007D3D45" w:rsidP="002E0C5D">
      <w:r>
        <w:rPr>
          <w:noProof/>
        </w:rPr>
        <w:drawing>
          <wp:inline distT="0" distB="0" distL="0" distR="0" wp14:anchorId="2E3D0E12" wp14:editId="4BC8ABFA">
            <wp:extent cx="5486400" cy="3200400"/>
            <wp:effectExtent l="0" t="0" r="5715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E258C44" w14:textId="7D6156FA" w:rsidR="005C4B31" w:rsidRDefault="005C4B31" w:rsidP="002E0C5D"/>
    <w:p w14:paraId="4B62B227" w14:textId="298AA672" w:rsidR="005C1128" w:rsidRDefault="00E67BAE" w:rsidP="002E0C5D">
      <w:r>
        <w:t xml:space="preserve">For additional-rate taxpayers, the gap between UK and offshore </w:t>
      </w:r>
      <w:r w:rsidR="00203F56">
        <w:t>after-tax gains has widened.</w:t>
      </w:r>
    </w:p>
    <w:p w14:paraId="472036CF" w14:textId="39E38368" w:rsidR="0070557A" w:rsidRDefault="0070557A" w:rsidP="002E0C5D"/>
    <w:p w14:paraId="369FE794" w14:textId="6809FA06" w:rsidR="0070557A" w:rsidRDefault="0070557A" w:rsidP="0070557A">
      <w:r>
        <w:t>As with higher-rate taxpayers, additional-rate taxpayers are unlikely to have any 0% Starting Savings Rate to offset offshore chargeable gains, but they may do if their high income is due to dividends rather than non-savings income (such as salary, self-employed profits, and pension income).</w:t>
      </w:r>
    </w:p>
    <w:p w14:paraId="2F83EBA3" w14:textId="77777777" w:rsidR="0070557A" w:rsidRDefault="0070557A" w:rsidP="0070557A"/>
    <w:p w14:paraId="72F3A201" w14:textId="3FDC80DC" w:rsidR="0070557A" w:rsidRDefault="00963548" w:rsidP="0070557A">
      <w:r>
        <w:t>Additional</w:t>
      </w:r>
      <w:r w:rsidR="0070557A">
        <w:t xml:space="preserve">-rate taxpayers </w:t>
      </w:r>
      <w:r>
        <w:t>have no PSA</w:t>
      </w:r>
      <w:r w:rsidR="0070557A">
        <w:t xml:space="preserve"> to offset chargeable gains on </w:t>
      </w:r>
      <w:r>
        <w:t>either</w:t>
      </w:r>
      <w:r w:rsidR="0070557A">
        <w:t xml:space="preserve"> UK </w:t>
      </w:r>
      <w:r>
        <w:t>or</w:t>
      </w:r>
      <w:r w:rsidR="0070557A">
        <w:t xml:space="preserve"> offshore bonds.</w:t>
      </w:r>
    </w:p>
    <w:p w14:paraId="68350F4F" w14:textId="079AFFBF" w:rsidR="0070557A" w:rsidRDefault="0070557A" w:rsidP="002E0C5D"/>
    <w:p w14:paraId="15C38C87" w14:textId="09F2D131" w:rsidR="005C1128" w:rsidRDefault="005C1128" w:rsidP="002E0C5D"/>
    <w:p w14:paraId="434FF67A" w14:textId="7A433F9D" w:rsidR="005C1128" w:rsidRDefault="00643D82" w:rsidP="00643D82">
      <w:pPr>
        <w:pStyle w:val="Heading2"/>
      </w:pPr>
      <w:bookmarkStart w:id="23" w:name="_Toc187422047"/>
      <w:r>
        <w:t>Pension Contributions</w:t>
      </w:r>
      <w:bookmarkEnd w:id="23"/>
    </w:p>
    <w:p w14:paraId="0A8622F6" w14:textId="77777777" w:rsidR="00643D82" w:rsidRDefault="00643D82" w:rsidP="00643D82"/>
    <w:p w14:paraId="7EA32D07" w14:textId="305733E2" w:rsidR="00643D82" w:rsidRDefault="00BB21D8" w:rsidP="00643D82">
      <w:r>
        <w:t xml:space="preserve">Returning to our earlier examples of </w:t>
      </w:r>
      <w:r w:rsidR="00182BB1">
        <w:t>Lucious and Marcus, let’s now consider how each of them could have saved tax by making personal pension contributions.</w:t>
      </w:r>
    </w:p>
    <w:p w14:paraId="4C09F9E1" w14:textId="77777777" w:rsidR="00B14772" w:rsidRDefault="00B14772" w:rsidP="00643D82"/>
    <w:p w14:paraId="6BB2C2ED" w14:textId="1202C5D6" w:rsidR="0006765B" w:rsidRDefault="0006765B" w:rsidP="0006765B">
      <w:pPr>
        <w:pStyle w:val="Heading3"/>
      </w:pPr>
      <w:bookmarkStart w:id="24" w:name="_Toc187422048"/>
      <w:r>
        <w:t>Lucious’s UK Bond</w:t>
      </w:r>
      <w:bookmarkEnd w:id="24"/>
    </w:p>
    <w:p w14:paraId="733B6071" w14:textId="77777777" w:rsidR="0006765B" w:rsidRDefault="0006765B" w:rsidP="00643D82"/>
    <w:p w14:paraId="3B687702" w14:textId="29AF8ED8" w:rsidR="00B14772" w:rsidRDefault="00B14772" w:rsidP="00643D82">
      <w:r>
        <w:t>Lucious will make a £4,000 net (£5,000 gross) personal pension contribution</w:t>
      </w:r>
      <w:r w:rsidR="005C5C33">
        <w:t xml:space="preserve">. He has the </w:t>
      </w:r>
      <w:r w:rsidR="00634B45">
        <w:t>UK Relevant Earnings for full tax relief due to his salary.</w:t>
      </w:r>
    </w:p>
    <w:p w14:paraId="45BB04E0" w14:textId="77777777" w:rsidR="00634B45" w:rsidRDefault="00634B45" w:rsidP="00643D82"/>
    <w:p w14:paraId="2F02571B" w14:textId="77777777" w:rsidR="00634B45" w:rsidRPr="00643D82" w:rsidRDefault="00634B45" w:rsidP="00643D82"/>
    <w:p w14:paraId="76802107" w14:textId="77777777" w:rsidR="00634B45" w:rsidRDefault="00634B45">
      <w:pPr>
        <w:spacing w:after="160"/>
      </w:pPr>
    </w:p>
    <w:p w14:paraId="22AD22D6" w14:textId="77777777" w:rsidR="00634B45" w:rsidRDefault="00634B45">
      <w:pPr>
        <w:spacing w:after="160"/>
      </w:pPr>
    </w:p>
    <w:tbl>
      <w:tblPr>
        <w:tblStyle w:val="TableGrid"/>
        <w:tblW w:w="0" w:type="auto"/>
        <w:tblLook w:val="04A0" w:firstRow="1" w:lastRow="0" w:firstColumn="1" w:lastColumn="0" w:noHBand="0" w:noVBand="1"/>
      </w:tblPr>
      <w:tblGrid>
        <w:gridCol w:w="2405"/>
        <w:gridCol w:w="2196"/>
        <w:gridCol w:w="2324"/>
        <w:gridCol w:w="2425"/>
      </w:tblGrid>
      <w:tr w:rsidR="00634B45" w:rsidRPr="00E871BE" w14:paraId="324D6BBB" w14:textId="77777777" w:rsidTr="0060768A">
        <w:tc>
          <w:tcPr>
            <w:tcW w:w="2405" w:type="dxa"/>
          </w:tcPr>
          <w:p w14:paraId="1B4B098E" w14:textId="77777777" w:rsidR="00634B45" w:rsidRPr="00E871BE" w:rsidRDefault="00634B45" w:rsidP="0060768A">
            <w:pPr>
              <w:rPr>
                <w:b/>
                <w:bCs/>
              </w:rPr>
            </w:pPr>
            <w:r w:rsidRPr="00E871BE">
              <w:rPr>
                <w:b/>
                <w:bCs/>
              </w:rPr>
              <w:lastRenderedPageBreak/>
              <w:t>Income Source</w:t>
            </w:r>
          </w:p>
        </w:tc>
        <w:tc>
          <w:tcPr>
            <w:tcW w:w="2196" w:type="dxa"/>
          </w:tcPr>
          <w:p w14:paraId="28BA45E8" w14:textId="77777777" w:rsidR="00634B45" w:rsidRPr="00E871BE" w:rsidRDefault="00634B45" w:rsidP="0060768A">
            <w:pPr>
              <w:jc w:val="center"/>
              <w:rPr>
                <w:b/>
                <w:bCs/>
              </w:rPr>
            </w:pPr>
            <w:r w:rsidRPr="00E871BE">
              <w:rPr>
                <w:b/>
                <w:bCs/>
              </w:rPr>
              <w:t>Amount</w:t>
            </w:r>
          </w:p>
        </w:tc>
        <w:tc>
          <w:tcPr>
            <w:tcW w:w="2324" w:type="dxa"/>
          </w:tcPr>
          <w:p w14:paraId="0D18AD66" w14:textId="77777777" w:rsidR="00634B45" w:rsidRPr="00E871BE" w:rsidRDefault="00634B45" w:rsidP="0060768A">
            <w:pPr>
              <w:jc w:val="center"/>
              <w:rPr>
                <w:b/>
                <w:bCs/>
              </w:rPr>
            </w:pPr>
            <w:r w:rsidRPr="00E871BE">
              <w:rPr>
                <w:b/>
                <w:bCs/>
              </w:rPr>
              <w:t>Tax Rate</w:t>
            </w:r>
          </w:p>
        </w:tc>
        <w:tc>
          <w:tcPr>
            <w:tcW w:w="2425" w:type="dxa"/>
          </w:tcPr>
          <w:p w14:paraId="06C0ECE9" w14:textId="77777777" w:rsidR="00634B45" w:rsidRPr="00E871BE" w:rsidRDefault="00634B45" w:rsidP="0060768A">
            <w:pPr>
              <w:jc w:val="center"/>
              <w:rPr>
                <w:b/>
                <w:bCs/>
              </w:rPr>
            </w:pPr>
            <w:r w:rsidRPr="00E871BE">
              <w:rPr>
                <w:b/>
                <w:bCs/>
              </w:rPr>
              <w:t>Amount of Tax</w:t>
            </w:r>
          </w:p>
        </w:tc>
      </w:tr>
      <w:tr w:rsidR="00634B45" w14:paraId="5318A9B7" w14:textId="77777777" w:rsidTr="0060768A">
        <w:tc>
          <w:tcPr>
            <w:tcW w:w="2405" w:type="dxa"/>
            <w:shd w:val="clear" w:color="auto" w:fill="BFBFBF" w:themeFill="background1" w:themeFillShade="BF"/>
          </w:tcPr>
          <w:p w14:paraId="5F2AAA8A" w14:textId="77777777" w:rsidR="00634B45" w:rsidRDefault="00634B45" w:rsidP="0060768A">
            <w:r>
              <w:t>Salary</w:t>
            </w:r>
          </w:p>
        </w:tc>
        <w:tc>
          <w:tcPr>
            <w:tcW w:w="2196" w:type="dxa"/>
            <w:shd w:val="clear" w:color="auto" w:fill="BFBFBF" w:themeFill="background1" w:themeFillShade="BF"/>
          </w:tcPr>
          <w:p w14:paraId="02DD6686" w14:textId="77777777" w:rsidR="00634B45" w:rsidRDefault="00634B45" w:rsidP="0060768A">
            <w:pPr>
              <w:jc w:val="center"/>
            </w:pPr>
            <w:r>
              <w:t>£12,570</w:t>
            </w:r>
          </w:p>
        </w:tc>
        <w:tc>
          <w:tcPr>
            <w:tcW w:w="2324" w:type="dxa"/>
            <w:shd w:val="clear" w:color="auto" w:fill="BFBFBF" w:themeFill="background1" w:themeFillShade="BF"/>
          </w:tcPr>
          <w:p w14:paraId="02B2D5DC" w14:textId="77777777" w:rsidR="00634B45" w:rsidRDefault="00634B45" w:rsidP="0060768A">
            <w:pPr>
              <w:jc w:val="center"/>
            </w:pPr>
            <w:r>
              <w:t>0% Personal Allowance</w:t>
            </w:r>
          </w:p>
        </w:tc>
        <w:tc>
          <w:tcPr>
            <w:tcW w:w="2425" w:type="dxa"/>
            <w:shd w:val="clear" w:color="auto" w:fill="BFBFBF" w:themeFill="background1" w:themeFillShade="BF"/>
          </w:tcPr>
          <w:p w14:paraId="21C30EBA" w14:textId="77777777" w:rsidR="00634B45" w:rsidRDefault="00634B45" w:rsidP="0060768A">
            <w:pPr>
              <w:jc w:val="center"/>
            </w:pPr>
            <w:r>
              <w:t>£0</w:t>
            </w:r>
          </w:p>
        </w:tc>
      </w:tr>
      <w:tr w:rsidR="00634B45" w14:paraId="7F53F293" w14:textId="77777777" w:rsidTr="0060768A">
        <w:tc>
          <w:tcPr>
            <w:tcW w:w="2405" w:type="dxa"/>
            <w:shd w:val="clear" w:color="auto" w:fill="BFBFBF" w:themeFill="background1" w:themeFillShade="BF"/>
          </w:tcPr>
          <w:p w14:paraId="7433B3DC" w14:textId="77777777" w:rsidR="00634B45" w:rsidRDefault="00634B45" w:rsidP="0060768A"/>
        </w:tc>
        <w:tc>
          <w:tcPr>
            <w:tcW w:w="2196" w:type="dxa"/>
            <w:shd w:val="clear" w:color="auto" w:fill="BFBFBF" w:themeFill="background1" w:themeFillShade="BF"/>
          </w:tcPr>
          <w:p w14:paraId="7E87EBB7" w14:textId="77777777" w:rsidR="00634B45" w:rsidRDefault="00634B45" w:rsidP="0060768A">
            <w:pPr>
              <w:jc w:val="center"/>
            </w:pPr>
            <w:r>
              <w:t>£</w:t>
            </w:r>
            <w:r w:rsidRPr="004B099E">
              <w:t>32,200</w:t>
            </w:r>
          </w:p>
        </w:tc>
        <w:tc>
          <w:tcPr>
            <w:tcW w:w="2324" w:type="dxa"/>
            <w:shd w:val="clear" w:color="auto" w:fill="BFBFBF" w:themeFill="background1" w:themeFillShade="BF"/>
          </w:tcPr>
          <w:p w14:paraId="3F6AC1CB" w14:textId="77777777" w:rsidR="00634B45" w:rsidRDefault="00634B45" w:rsidP="0060768A">
            <w:pPr>
              <w:jc w:val="center"/>
            </w:pPr>
            <w:r>
              <w:t>20%</w:t>
            </w:r>
          </w:p>
        </w:tc>
        <w:tc>
          <w:tcPr>
            <w:tcW w:w="2425" w:type="dxa"/>
            <w:shd w:val="clear" w:color="auto" w:fill="BFBFBF" w:themeFill="background1" w:themeFillShade="BF"/>
          </w:tcPr>
          <w:p w14:paraId="7D995B63" w14:textId="77777777" w:rsidR="00634B45" w:rsidRDefault="00634B45" w:rsidP="0060768A">
            <w:pPr>
              <w:jc w:val="center"/>
            </w:pPr>
            <w:r>
              <w:t>£</w:t>
            </w:r>
            <w:r w:rsidRPr="00E871BE">
              <w:t>6,440</w:t>
            </w:r>
          </w:p>
        </w:tc>
      </w:tr>
      <w:tr w:rsidR="00634B45" w14:paraId="389B7915" w14:textId="77777777" w:rsidTr="0060768A">
        <w:tc>
          <w:tcPr>
            <w:tcW w:w="2405" w:type="dxa"/>
            <w:shd w:val="clear" w:color="auto" w:fill="BFBFBF" w:themeFill="background1" w:themeFillShade="BF"/>
          </w:tcPr>
          <w:p w14:paraId="528DFD4B" w14:textId="77777777" w:rsidR="00634B45" w:rsidRDefault="00634B45" w:rsidP="0060768A"/>
        </w:tc>
        <w:tc>
          <w:tcPr>
            <w:tcW w:w="2196" w:type="dxa"/>
            <w:shd w:val="clear" w:color="auto" w:fill="BFBFBF" w:themeFill="background1" w:themeFillShade="BF"/>
          </w:tcPr>
          <w:p w14:paraId="2C3B04E2" w14:textId="77777777" w:rsidR="00634B45" w:rsidRDefault="00634B45" w:rsidP="0060768A">
            <w:pPr>
              <w:jc w:val="center"/>
            </w:pPr>
            <w:r>
              <w:t>£0</w:t>
            </w:r>
          </w:p>
        </w:tc>
        <w:tc>
          <w:tcPr>
            <w:tcW w:w="2324" w:type="dxa"/>
            <w:shd w:val="clear" w:color="auto" w:fill="BFBFBF" w:themeFill="background1" w:themeFillShade="BF"/>
          </w:tcPr>
          <w:p w14:paraId="6F371562" w14:textId="77777777" w:rsidR="00634B45" w:rsidRDefault="00634B45" w:rsidP="0060768A">
            <w:pPr>
              <w:jc w:val="center"/>
            </w:pPr>
            <w:r>
              <w:t>40%</w:t>
            </w:r>
          </w:p>
        </w:tc>
        <w:tc>
          <w:tcPr>
            <w:tcW w:w="2425" w:type="dxa"/>
            <w:shd w:val="clear" w:color="auto" w:fill="BFBFBF" w:themeFill="background1" w:themeFillShade="BF"/>
          </w:tcPr>
          <w:p w14:paraId="2F3C5527" w14:textId="77777777" w:rsidR="00634B45" w:rsidRDefault="00634B45" w:rsidP="0060768A">
            <w:pPr>
              <w:jc w:val="center"/>
            </w:pPr>
            <w:r>
              <w:t>£0</w:t>
            </w:r>
          </w:p>
        </w:tc>
      </w:tr>
      <w:tr w:rsidR="00634B45" w14:paraId="187E183B" w14:textId="77777777" w:rsidTr="0060768A">
        <w:tc>
          <w:tcPr>
            <w:tcW w:w="2405" w:type="dxa"/>
            <w:shd w:val="clear" w:color="auto" w:fill="BFBFBF" w:themeFill="background1" w:themeFillShade="BF"/>
          </w:tcPr>
          <w:p w14:paraId="3F80F225" w14:textId="77777777" w:rsidR="00634B45" w:rsidRDefault="00634B45" w:rsidP="0060768A"/>
        </w:tc>
        <w:tc>
          <w:tcPr>
            <w:tcW w:w="2196" w:type="dxa"/>
            <w:shd w:val="clear" w:color="auto" w:fill="BFBFBF" w:themeFill="background1" w:themeFillShade="BF"/>
          </w:tcPr>
          <w:p w14:paraId="50D65546" w14:textId="77777777" w:rsidR="00634B45" w:rsidRDefault="00634B45" w:rsidP="0060768A">
            <w:pPr>
              <w:jc w:val="center"/>
            </w:pPr>
            <w:r>
              <w:t>£0</w:t>
            </w:r>
          </w:p>
        </w:tc>
        <w:tc>
          <w:tcPr>
            <w:tcW w:w="2324" w:type="dxa"/>
            <w:shd w:val="clear" w:color="auto" w:fill="BFBFBF" w:themeFill="background1" w:themeFillShade="BF"/>
          </w:tcPr>
          <w:p w14:paraId="4992447B" w14:textId="77777777" w:rsidR="00634B45" w:rsidRDefault="00634B45" w:rsidP="0060768A">
            <w:pPr>
              <w:jc w:val="center"/>
            </w:pPr>
            <w:r>
              <w:t>45%</w:t>
            </w:r>
          </w:p>
        </w:tc>
        <w:tc>
          <w:tcPr>
            <w:tcW w:w="2425" w:type="dxa"/>
            <w:shd w:val="clear" w:color="auto" w:fill="BFBFBF" w:themeFill="background1" w:themeFillShade="BF"/>
          </w:tcPr>
          <w:p w14:paraId="0B5A0BA9" w14:textId="77777777" w:rsidR="00634B45" w:rsidRDefault="00634B45" w:rsidP="0060768A">
            <w:pPr>
              <w:jc w:val="center"/>
            </w:pPr>
            <w:r>
              <w:t>£0</w:t>
            </w:r>
          </w:p>
        </w:tc>
      </w:tr>
      <w:tr w:rsidR="00634B45" w14:paraId="7CC73087" w14:textId="77777777" w:rsidTr="0060768A">
        <w:tc>
          <w:tcPr>
            <w:tcW w:w="2405" w:type="dxa"/>
            <w:shd w:val="clear" w:color="auto" w:fill="F2F2F2" w:themeFill="background1" w:themeFillShade="F2"/>
          </w:tcPr>
          <w:p w14:paraId="38744E00" w14:textId="77777777" w:rsidR="00634B45" w:rsidRDefault="00634B45" w:rsidP="0060768A">
            <w:r>
              <w:t>Savings Income</w:t>
            </w:r>
          </w:p>
        </w:tc>
        <w:tc>
          <w:tcPr>
            <w:tcW w:w="2196" w:type="dxa"/>
            <w:shd w:val="clear" w:color="auto" w:fill="F2F2F2" w:themeFill="background1" w:themeFillShade="F2"/>
          </w:tcPr>
          <w:p w14:paraId="60E1232D" w14:textId="77777777" w:rsidR="00634B45" w:rsidRDefault="00634B45" w:rsidP="0060768A">
            <w:pPr>
              <w:jc w:val="center"/>
            </w:pPr>
            <w:r>
              <w:t>£500</w:t>
            </w:r>
          </w:p>
        </w:tc>
        <w:tc>
          <w:tcPr>
            <w:tcW w:w="2324" w:type="dxa"/>
            <w:shd w:val="clear" w:color="auto" w:fill="F2F2F2" w:themeFill="background1" w:themeFillShade="F2"/>
          </w:tcPr>
          <w:p w14:paraId="380F52A2" w14:textId="77777777" w:rsidR="00634B45" w:rsidRDefault="00634B45" w:rsidP="0060768A">
            <w:pPr>
              <w:jc w:val="center"/>
            </w:pPr>
            <w:r>
              <w:t>0% PSA</w:t>
            </w:r>
          </w:p>
        </w:tc>
        <w:tc>
          <w:tcPr>
            <w:tcW w:w="2425" w:type="dxa"/>
            <w:shd w:val="clear" w:color="auto" w:fill="F2F2F2" w:themeFill="background1" w:themeFillShade="F2"/>
          </w:tcPr>
          <w:p w14:paraId="3EE1F029" w14:textId="77777777" w:rsidR="00634B45" w:rsidRDefault="00634B45" w:rsidP="0060768A">
            <w:pPr>
              <w:jc w:val="center"/>
            </w:pPr>
            <w:r>
              <w:t>£0</w:t>
            </w:r>
          </w:p>
        </w:tc>
      </w:tr>
      <w:tr w:rsidR="00634B45" w14:paraId="79C2FB6C" w14:textId="77777777" w:rsidTr="0060768A">
        <w:tc>
          <w:tcPr>
            <w:tcW w:w="2405" w:type="dxa"/>
            <w:shd w:val="clear" w:color="auto" w:fill="F2F2F2" w:themeFill="background1" w:themeFillShade="F2"/>
          </w:tcPr>
          <w:p w14:paraId="009DB0DE" w14:textId="77777777" w:rsidR="00634B45" w:rsidRDefault="00634B45" w:rsidP="0060768A"/>
        </w:tc>
        <w:tc>
          <w:tcPr>
            <w:tcW w:w="2196" w:type="dxa"/>
            <w:shd w:val="clear" w:color="auto" w:fill="F2F2F2" w:themeFill="background1" w:themeFillShade="F2"/>
          </w:tcPr>
          <w:p w14:paraId="3C96F802" w14:textId="77777777" w:rsidR="00634B45" w:rsidRDefault="00634B45" w:rsidP="0060768A">
            <w:pPr>
              <w:jc w:val="center"/>
            </w:pPr>
            <w:r>
              <w:t>£0</w:t>
            </w:r>
          </w:p>
        </w:tc>
        <w:tc>
          <w:tcPr>
            <w:tcW w:w="2324" w:type="dxa"/>
            <w:shd w:val="clear" w:color="auto" w:fill="F2F2F2" w:themeFill="background1" w:themeFillShade="F2"/>
          </w:tcPr>
          <w:p w14:paraId="06B549E2" w14:textId="77777777" w:rsidR="00634B45" w:rsidRDefault="00634B45" w:rsidP="0060768A">
            <w:pPr>
              <w:jc w:val="center"/>
            </w:pPr>
            <w:r>
              <w:t>20%</w:t>
            </w:r>
          </w:p>
        </w:tc>
        <w:tc>
          <w:tcPr>
            <w:tcW w:w="2425" w:type="dxa"/>
            <w:shd w:val="clear" w:color="auto" w:fill="F2F2F2" w:themeFill="background1" w:themeFillShade="F2"/>
          </w:tcPr>
          <w:p w14:paraId="73E02A48" w14:textId="77777777" w:rsidR="00634B45" w:rsidRDefault="00634B45" w:rsidP="0060768A">
            <w:pPr>
              <w:jc w:val="center"/>
            </w:pPr>
            <w:r>
              <w:t>£0</w:t>
            </w:r>
          </w:p>
        </w:tc>
      </w:tr>
      <w:tr w:rsidR="00634B45" w14:paraId="36300CE5" w14:textId="77777777" w:rsidTr="0060768A">
        <w:tc>
          <w:tcPr>
            <w:tcW w:w="2405" w:type="dxa"/>
            <w:shd w:val="clear" w:color="auto" w:fill="F2F2F2" w:themeFill="background1" w:themeFillShade="F2"/>
          </w:tcPr>
          <w:p w14:paraId="48345465" w14:textId="77777777" w:rsidR="00634B45" w:rsidRDefault="00634B45" w:rsidP="0060768A"/>
        </w:tc>
        <w:tc>
          <w:tcPr>
            <w:tcW w:w="2196" w:type="dxa"/>
            <w:shd w:val="clear" w:color="auto" w:fill="F2F2F2" w:themeFill="background1" w:themeFillShade="F2"/>
          </w:tcPr>
          <w:p w14:paraId="1A9691C4" w14:textId="77777777" w:rsidR="00634B45" w:rsidRDefault="00634B45" w:rsidP="0060768A">
            <w:pPr>
              <w:jc w:val="center"/>
            </w:pPr>
            <w:r>
              <w:t>£0</w:t>
            </w:r>
          </w:p>
        </w:tc>
        <w:tc>
          <w:tcPr>
            <w:tcW w:w="2324" w:type="dxa"/>
            <w:shd w:val="clear" w:color="auto" w:fill="F2F2F2" w:themeFill="background1" w:themeFillShade="F2"/>
          </w:tcPr>
          <w:p w14:paraId="1D62D556" w14:textId="77777777" w:rsidR="00634B45" w:rsidRDefault="00634B45" w:rsidP="0060768A">
            <w:pPr>
              <w:jc w:val="center"/>
            </w:pPr>
            <w:r>
              <w:t>40%</w:t>
            </w:r>
          </w:p>
        </w:tc>
        <w:tc>
          <w:tcPr>
            <w:tcW w:w="2425" w:type="dxa"/>
            <w:shd w:val="clear" w:color="auto" w:fill="F2F2F2" w:themeFill="background1" w:themeFillShade="F2"/>
          </w:tcPr>
          <w:p w14:paraId="739F0281" w14:textId="77777777" w:rsidR="00634B45" w:rsidRDefault="00634B45" w:rsidP="0060768A">
            <w:pPr>
              <w:jc w:val="center"/>
            </w:pPr>
            <w:r>
              <w:t>£0</w:t>
            </w:r>
          </w:p>
        </w:tc>
      </w:tr>
      <w:tr w:rsidR="00634B45" w14:paraId="17B431D9" w14:textId="77777777" w:rsidTr="0060768A">
        <w:tc>
          <w:tcPr>
            <w:tcW w:w="2405" w:type="dxa"/>
            <w:shd w:val="clear" w:color="auto" w:fill="F2F2F2" w:themeFill="background1" w:themeFillShade="F2"/>
          </w:tcPr>
          <w:p w14:paraId="6C6B74BF" w14:textId="77777777" w:rsidR="00634B45" w:rsidRDefault="00634B45" w:rsidP="0060768A"/>
        </w:tc>
        <w:tc>
          <w:tcPr>
            <w:tcW w:w="2196" w:type="dxa"/>
            <w:shd w:val="clear" w:color="auto" w:fill="F2F2F2" w:themeFill="background1" w:themeFillShade="F2"/>
          </w:tcPr>
          <w:p w14:paraId="716AAF22" w14:textId="77777777" w:rsidR="00634B45" w:rsidRDefault="00634B45" w:rsidP="0060768A">
            <w:pPr>
              <w:jc w:val="center"/>
            </w:pPr>
            <w:r>
              <w:t>£0</w:t>
            </w:r>
          </w:p>
        </w:tc>
        <w:tc>
          <w:tcPr>
            <w:tcW w:w="2324" w:type="dxa"/>
            <w:shd w:val="clear" w:color="auto" w:fill="F2F2F2" w:themeFill="background1" w:themeFillShade="F2"/>
          </w:tcPr>
          <w:p w14:paraId="24CD8CFC" w14:textId="77777777" w:rsidR="00634B45" w:rsidRDefault="00634B45" w:rsidP="0060768A">
            <w:pPr>
              <w:jc w:val="center"/>
            </w:pPr>
            <w:r>
              <w:t>45%</w:t>
            </w:r>
          </w:p>
        </w:tc>
        <w:tc>
          <w:tcPr>
            <w:tcW w:w="2425" w:type="dxa"/>
            <w:shd w:val="clear" w:color="auto" w:fill="F2F2F2" w:themeFill="background1" w:themeFillShade="F2"/>
          </w:tcPr>
          <w:p w14:paraId="7CA66D18" w14:textId="77777777" w:rsidR="00634B45" w:rsidRDefault="00634B45" w:rsidP="0060768A">
            <w:pPr>
              <w:jc w:val="center"/>
            </w:pPr>
            <w:r>
              <w:t>£0</w:t>
            </w:r>
          </w:p>
        </w:tc>
      </w:tr>
      <w:tr w:rsidR="00634B45" w14:paraId="1FA7BC1B" w14:textId="77777777" w:rsidTr="0060768A">
        <w:tc>
          <w:tcPr>
            <w:tcW w:w="2405" w:type="dxa"/>
            <w:shd w:val="clear" w:color="auto" w:fill="BFBFBF" w:themeFill="background1" w:themeFillShade="BF"/>
          </w:tcPr>
          <w:p w14:paraId="76E91CAF" w14:textId="77777777" w:rsidR="00634B45" w:rsidRDefault="00634B45" w:rsidP="0060768A">
            <w:r>
              <w:t>UK Chargeable Gain</w:t>
            </w:r>
          </w:p>
        </w:tc>
        <w:tc>
          <w:tcPr>
            <w:tcW w:w="2196" w:type="dxa"/>
            <w:shd w:val="clear" w:color="auto" w:fill="BFBFBF" w:themeFill="background1" w:themeFillShade="BF"/>
          </w:tcPr>
          <w:p w14:paraId="67FE5105" w14:textId="77777777" w:rsidR="00634B45" w:rsidRDefault="00634B45" w:rsidP="0060768A">
            <w:pPr>
              <w:jc w:val="center"/>
            </w:pPr>
            <w:r>
              <w:t>£0</w:t>
            </w:r>
          </w:p>
        </w:tc>
        <w:tc>
          <w:tcPr>
            <w:tcW w:w="2324" w:type="dxa"/>
            <w:shd w:val="clear" w:color="auto" w:fill="BFBFBF" w:themeFill="background1" w:themeFillShade="BF"/>
          </w:tcPr>
          <w:p w14:paraId="227718F1" w14:textId="77777777" w:rsidR="00634B45" w:rsidRDefault="00634B45" w:rsidP="0060768A">
            <w:pPr>
              <w:jc w:val="center"/>
            </w:pPr>
            <w:r>
              <w:t>0%</w:t>
            </w:r>
          </w:p>
        </w:tc>
        <w:tc>
          <w:tcPr>
            <w:tcW w:w="2425" w:type="dxa"/>
            <w:shd w:val="clear" w:color="auto" w:fill="BFBFBF" w:themeFill="background1" w:themeFillShade="BF"/>
          </w:tcPr>
          <w:p w14:paraId="4E048D26" w14:textId="77777777" w:rsidR="00634B45" w:rsidRDefault="00634B45" w:rsidP="0060768A">
            <w:pPr>
              <w:jc w:val="center"/>
            </w:pPr>
            <w:r>
              <w:t>£0</w:t>
            </w:r>
          </w:p>
        </w:tc>
      </w:tr>
      <w:tr w:rsidR="00634B45" w14:paraId="316A2EA3" w14:textId="77777777" w:rsidTr="00BC2705">
        <w:tc>
          <w:tcPr>
            <w:tcW w:w="2405" w:type="dxa"/>
            <w:shd w:val="clear" w:color="auto" w:fill="BFBFBF" w:themeFill="background1" w:themeFillShade="BF"/>
          </w:tcPr>
          <w:p w14:paraId="00E80E5C" w14:textId="77777777" w:rsidR="00634B45" w:rsidRDefault="00634B45" w:rsidP="0060768A"/>
        </w:tc>
        <w:tc>
          <w:tcPr>
            <w:tcW w:w="2196" w:type="dxa"/>
            <w:shd w:val="clear" w:color="auto" w:fill="FFFF00"/>
          </w:tcPr>
          <w:p w14:paraId="617B9BE3" w14:textId="31161785" w:rsidR="00634B45" w:rsidRDefault="00634B45" w:rsidP="0060768A">
            <w:pPr>
              <w:jc w:val="center"/>
            </w:pPr>
            <w:r>
              <w:t>£</w:t>
            </w:r>
            <w:r w:rsidR="00FF283D">
              <w:t>10</w:t>
            </w:r>
            <w:r>
              <w:t>,000</w:t>
            </w:r>
          </w:p>
        </w:tc>
        <w:tc>
          <w:tcPr>
            <w:tcW w:w="2324" w:type="dxa"/>
            <w:shd w:val="clear" w:color="auto" w:fill="BFBFBF" w:themeFill="background1" w:themeFillShade="BF"/>
          </w:tcPr>
          <w:p w14:paraId="5E1843B5" w14:textId="77777777" w:rsidR="00634B45" w:rsidRDefault="00634B45" w:rsidP="0060768A">
            <w:pPr>
              <w:jc w:val="center"/>
            </w:pPr>
            <w:r>
              <w:t>20%</w:t>
            </w:r>
          </w:p>
        </w:tc>
        <w:tc>
          <w:tcPr>
            <w:tcW w:w="2425" w:type="dxa"/>
            <w:shd w:val="clear" w:color="auto" w:fill="FFFF00"/>
          </w:tcPr>
          <w:p w14:paraId="63EA5FCD" w14:textId="4050C9E3" w:rsidR="00634B45" w:rsidRDefault="00634B45" w:rsidP="0060768A">
            <w:pPr>
              <w:jc w:val="center"/>
            </w:pPr>
            <w:r>
              <w:t>£</w:t>
            </w:r>
            <w:r w:rsidR="00731B9A">
              <w:t>2</w:t>
            </w:r>
            <w:r>
              <w:t>,000</w:t>
            </w:r>
          </w:p>
        </w:tc>
      </w:tr>
      <w:tr w:rsidR="00634B45" w14:paraId="679CC671" w14:textId="77777777" w:rsidTr="00BC2705">
        <w:tc>
          <w:tcPr>
            <w:tcW w:w="2405" w:type="dxa"/>
            <w:shd w:val="clear" w:color="auto" w:fill="BFBFBF" w:themeFill="background1" w:themeFillShade="BF"/>
          </w:tcPr>
          <w:p w14:paraId="518C0405" w14:textId="77777777" w:rsidR="00634B45" w:rsidRDefault="00634B45" w:rsidP="0060768A"/>
        </w:tc>
        <w:tc>
          <w:tcPr>
            <w:tcW w:w="2196" w:type="dxa"/>
            <w:shd w:val="clear" w:color="auto" w:fill="FFFF00"/>
          </w:tcPr>
          <w:p w14:paraId="038327BC" w14:textId="09D4E54C" w:rsidR="00634B45" w:rsidRDefault="00634B45" w:rsidP="0060768A">
            <w:pPr>
              <w:jc w:val="center"/>
            </w:pPr>
            <w:r>
              <w:t>£4</w:t>
            </w:r>
            <w:r w:rsidR="00731B9A">
              <w:t>0</w:t>
            </w:r>
            <w:r>
              <w:t>,000</w:t>
            </w:r>
          </w:p>
        </w:tc>
        <w:tc>
          <w:tcPr>
            <w:tcW w:w="2324" w:type="dxa"/>
            <w:shd w:val="clear" w:color="auto" w:fill="BFBFBF" w:themeFill="background1" w:themeFillShade="BF"/>
          </w:tcPr>
          <w:p w14:paraId="59980AB2" w14:textId="77777777" w:rsidR="00634B45" w:rsidRDefault="00634B45" w:rsidP="0060768A">
            <w:pPr>
              <w:jc w:val="center"/>
            </w:pPr>
            <w:r>
              <w:t>40%</w:t>
            </w:r>
          </w:p>
        </w:tc>
        <w:tc>
          <w:tcPr>
            <w:tcW w:w="2425" w:type="dxa"/>
            <w:shd w:val="clear" w:color="auto" w:fill="FFFF00"/>
          </w:tcPr>
          <w:p w14:paraId="38DF3FBB" w14:textId="4792B8BB" w:rsidR="00634B45" w:rsidRDefault="00634B45" w:rsidP="0060768A">
            <w:pPr>
              <w:jc w:val="center"/>
            </w:pPr>
            <w:r>
              <w:t>£1</w:t>
            </w:r>
            <w:r w:rsidR="00731B9A">
              <w:t>6</w:t>
            </w:r>
            <w:r>
              <w:t>,000</w:t>
            </w:r>
          </w:p>
        </w:tc>
      </w:tr>
      <w:tr w:rsidR="00634B45" w14:paraId="6CAC7CB9" w14:textId="77777777" w:rsidTr="0060768A">
        <w:tc>
          <w:tcPr>
            <w:tcW w:w="2405" w:type="dxa"/>
            <w:shd w:val="clear" w:color="auto" w:fill="BFBFBF" w:themeFill="background1" w:themeFillShade="BF"/>
          </w:tcPr>
          <w:p w14:paraId="0475D145" w14:textId="77777777" w:rsidR="00634B45" w:rsidRDefault="00634B45" w:rsidP="0060768A"/>
        </w:tc>
        <w:tc>
          <w:tcPr>
            <w:tcW w:w="2196" w:type="dxa"/>
            <w:shd w:val="clear" w:color="auto" w:fill="BFBFBF" w:themeFill="background1" w:themeFillShade="BF"/>
          </w:tcPr>
          <w:p w14:paraId="36E9ECFA" w14:textId="77777777" w:rsidR="00634B45" w:rsidRDefault="00634B45" w:rsidP="0060768A">
            <w:pPr>
              <w:jc w:val="center"/>
            </w:pPr>
            <w:r>
              <w:t>£0</w:t>
            </w:r>
          </w:p>
        </w:tc>
        <w:tc>
          <w:tcPr>
            <w:tcW w:w="2324" w:type="dxa"/>
            <w:shd w:val="clear" w:color="auto" w:fill="BFBFBF" w:themeFill="background1" w:themeFillShade="BF"/>
          </w:tcPr>
          <w:p w14:paraId="47351367" w14:textId="77777777" w:rsidR="00634B45" w:rsidRDefault="00634B45" w:rsidP="0060768A">
            <w:pPr>
              <w:jc w:val="center"/>
            </w:pPr>
            <w:r>
              <w:t>45%</w:t>
            </w:r>
          </w:p>
        </w:tc>
        <w:tc>
          <w:tcPr>
            <w:tcW w:w="2425" w:type="dxa"/>
            <w:shd w:val="clear" w:color="auto" w:fill="BFBFBF" w:themeFill="background1" w:themeFillShade="BF"/>
          </w:tcPr>
          <w:p w14:paraId="5A36356D" w14:textId="77777777" w:rsidR="00634B45" w:rsidRDefault="00634B45" w:rsidP="0060768A">
            <w:pPr>
              <w:jc w:val="center"/>
            </w:pPr>
            <w:r>
              <w:t>£0</w:t>
            </w:r>
          </w:p>
        </w:tc>
      </w:tr>
      <w:tr w:rsidR="00634B45" w:rsidRPr="00AF1059" w14:paraId="5FCDC9C1" w14:textId="77777777" w:rsidTr="0060768A">
        <w:tc>
          <w:tcPr>
            <w:tcW w:w="2405" w:type="dxa"/>
            <w:shd w:val="clear" w:color="auto" w:fill="000000" w:themeFill="text1"/>
          </w:tcPr>
          <w:p w14:paraId="3039B527" w14:textId="77777777" w:rsidR="00634B45" w:rsidRPr="00AF1059" w:rsidRDefault="00634B45" w:rsidP="0060768A">
            <w:pPr>
              <w:rPr>
                <w:b/>
                <w:bCs/>
              </w:rPr>
            </w:pPr>
            <w:r w:rsidRPr="00AF1059">
              <w:rPr>
                <w:b/>
                <w:bCs/>
              </w:rPr>
              <w:t>Total</w:t>
            </w:r>
          </w:p>
        </w:tc>
        <w:tc>
          <w:tcPr>
            <w:tcW w:w="2196" w:type="dxa"/>
            <w:shd w:val="clear" w:color="auto" w:fill="000000" w:themeFill="text1"/>
          </w:tcPr>
          <w:p w14:paraId="0E04F0B2" w14:textId="77777777" w:rsidR="00634B45" w:rsidRDefault="00634B45" w:rsidP="0060768A">
            <w:pPr>
              <w:jc w:val="center"/>
              <w:rPr>
                <w:b/>
                <w:bCs/>
              </w:rPr>
            </w:pPr>
            <w:r w:rsidRPr="00AF1059">
              <w:rPr>
                <w:b/>
                <w:bCs/>
              </w:rPr>
              <w:t>£95,270</w:t>
            </w:r>
          </w:p>
          <w:p w14:paraId="3A907092" w14:textId="77777777" w:rsidR="00C83B73" w:rsidRDefault="00C83B73" w:rsidP="0060768A">
            <w:pPr>
              <w:jc w:val="center"/>
              <w:rPr>
                <w:b/>
                <w:bCs/>
              </w:rPr>
            </w:pPr>
            <w:r>
              <w:rPr>
                <w:b/>
                <w:bCs/>
              </w:rPr>
              <w:t>(£5,000 pension)</w:t>
            </w:r>
          </w:p>
          <w:p w14:paraId="30E75B08" w14:textId="0C7DFF89" w:rsidR="00C83B73" w:rsidRPr="00AF1059" w:rsidRDefault="00C83B73" w:rsidP="0060768A">
            <w:pPr>
              <w:jc w:val="center"/>
              <w:rPr>
                <w:b/>
                <w:bCs/>
              </w:rPr>
            </w:pPr>
            <w:r>
              <w:rPr>
                <w:b/>
                <w:bCs/>
              </w:rPr>
              <w:t>£90,270 ANI</w:t>
            </w:r>
          </w:p>
        </w:tc>
        <w:tc>
          <w:tcPr>
            <w:tcW w:w="2324" w:type="dxa"/>
            <w:shd w:val="clear" w:color="auto" w:fill="000000" w:themeFill="text1"/>
          </w:tcPr>
          <w:p w14:paraId="369C0EC9" w14:textId="77777777" w:rsidR="00634B45" w:rsidRPr="00AF1059" w:rsidRDefault="00634B45" w:rsidP="0060768A">
            <w:pPr>
              <w:jc w:val="center"/>
              <w:rPr>
                <w:b/>
                <w:bCs/>
              </w:rPr>
            </w:pPr>
          </w:p>
        </w:tc>
        <w:tc>
          <w:tcPr>
            <w:tcW w:w="2425" w:type="dxa"/>
            <w:shd w:val="clear" w:color="auto" w:fill="000000" w:themeFill="text1"/>
          </w:tcPr>
          <w:p w14:paraId="1BEFF66F" w14:textId="18704B00" w:rsidR="00634B45" w:rsidRPr="00AF1059" w:rsidRDefault="00634B45" w:rsidP="0060768A">
            <w:pPr>
              <w:jc w:val="center"/>
              <w:rPr>
                <w:b/>
                <w:bCs/>
              </w:rPr>
            </w:pPr>
            <w:r w:rsidRPr="00AF1059">
              <w:rPr>
                <w:b/>
                <w:bCs/>
              </w:rPr>
              <w:t>£2</w:t>
            </w:r>
            <w:r w:rsidR="00114EAD">
              <w:rPr>
                <w:b/>
                <w:bCs/>
              </w:rPr>
              <w:t>4</w:t>
            </w:r>
            <w:r w:rsidRPr="00AF1059">
              <w:rPr>
                <w:b/>
                <w:bCs/>
              </w:rPr>
              <w:t>,440</w:t>
            </w:r>
          </w:p>
        </w:tc>
      </w:tr>
      <w:tr w:rsidR="00634B45" w:rsidRPr="009A0175" w14:paraId="1AC35D50" w14:textId="77777777" w:rsidTr="0060768A">
        <w:tc>
          <w:tcPr>
            <w:tcW w:w="2405" w:type="dxa"/>
            <w:shd w:val="clear" w:color="auto" w:fill="F2F2F2" w:themeFill="background1" w:themeFillShade="F2"/>
          </w:tcPr>
          <w:p w14:paraId="74C1CB40" w14:textId="77777777" w:rsidR="00634B45" w:rsidRPr="008F0E1D" w:rsidRDefault="00634B45" w:rsidP="0060768A">
            <w:r w:rsidRPr="008F0E1D">
              <w:t>Onshore Tax Credit</w:t>
            </w:r>
          </w:p>
        </w:tc>
        <w:tc>
          <w:tcPr>
            <w:tcW w:w="2196" w:type="dxa"/>
            <w:shd w:val="clear" w:color="auto" w:fill="F2F2F2" w:themeFill="background1" w:themeFillShade="F2"/>
          </w:tcPr>
          <w:p w14:paraId="499F43CB" w14:textId="77777777" w:rsidR="00634B45" w:rsidRPr="009A0175" w:rsidRDefault="00634B45" w:rsidP="0060768A">
            <w:pPr>
              <w:jc w:val="center"/>
            </w:pPr>
            <w:r w:rsidRPr="009A0175">
              <w:t>(£50,000)</w:t>
            </w:r>
          </w:p>
        </w:tc>
        <w:tc>
          <w:tcPr>
            <w:tcW w:w="2324" w:type="dxa"/>
            <w:shd w:val="clear" w:color="auto" w:fill="F2F2F2" w:themeFill="background1" w:themeFillShade="F2"/>
          </w:tcPr>
          <w:p w14:paraId="7DF8B229" w14:textId="77777777" w:rsidR="00634B45" w:rsidRPr="009A0175" w:rsidRDefault="00634B45" w:rsidP="0060768A">
            <w:pPr>
              <w:jc w:val="center"/>
            </w:pPr>
            <w:r w:rsidRPr="009A0175">
              <w:t>20%</w:t>
            </w:r>
          </w:p>
        </w:tc>
        <w:tc>
          <w:tcPr>
            <w:tcW w:w="2425" w:type="dxa"/>
            <w:shd w:val="clear" w:color="auto" w:fill="F2F2F2" w:themeFill="background1" w:themeFillShade="F2"/>
          </w:tcPr>
          <w:p w14:paraId="48D7D2EB" w14:textId="77777777" w:rsidR="00634B45" w:rsidRPr="009A0175" w:rsidRDefault="00634B45" w:rsidP="0060768A">
            <w:pPr>
              <w:jc w:val="center"/>
            </w:pPr>
            <w:r w:rsidRPr="009A0175">
              <w:t>(£10,000)</w:t>
            </w:r>
          </w:p>
        </w:tc>
      </w:tr>
      <w:tr w:rsidR="00634B45" w:rsidRPr="00746D6D" w14:paraId="3B165F61" w14:textId="77777777" w:rsidTr="0060768A">
        <w:tc>
          <w:tcPr>
            <w:tcW w:w="2405" w:type="dxa"/>
            <w:shd w:val="clear" w:color="auto" w:fill="F2F2F2" w:themeFill="background1" w:themeFillShade="F2"/>
          </w:tcPr>
          <w:p w14:paraId="53DF74AB" w14:textId="77777777" w:rsidR="00634B45" w:rsidRPr="00644F44" w:rsidRDefault="00634B45" w:rsidP="0060768A">
            <w:r w:rsidRPr="00644F44">
              <w:t>Top-Slicing Relief</w:t>
            </w:r>
          </w:p>
        </w:tc>
        <w:tc>
          <w:tcPr>
            <w:tcW w:w="2196" w:type="dxa"/>
            <w:shd w:val="clear" w:color="auto" w:fill="F2F2F2" w:themeFill="background1" w:themeFillShade="F2"/>
          </w:tcPr>
          <w:p w14:paraId="3E8B9D36" w14:textId="77777777" w:rsidR="00634B45" w:rsidRPr="00746D6D" w:rsidRDefault="00634B45" w:rsidP="0060768A">
            <w:pPr>
              <w:jc w:val="center"/>
            </w:pPr>
          </w:p>
        </w:tc>
        <w:tc>
          <w:tcPr>
            <w:tcW w:w="2324" w:type="dxa"/>
            <w:shd w:val="clear" w:color="auto" w:fill="F2F2F2" w:themeFill="background1" w:themeFillShade="F2"/>
          </w:tcPr>
          <w:p w14:paraId="0D1AF956" w14:textId="77777777" w:rsidR="00634B45" w:rsidRPr="00746D6D" w:rsidRDefault="00634B45" w:rsidP="0060768A">
            <w:pPr>
              <w:jc w:val="center"/>
            </w:pPr>
          </w:p>
        </w:tc>
        <w:tc>
          <w:tcPr>
            <w:tcW w:w="2425" w:type="dxa"/>
            <w:shd w:val="clear" w:color="auto" w:fill="F2F2F2" w:themeFill="background1" w:themeFillShade="F2"/>
          </w:tcPr>
          <w:p w14:paraId="5EDC0E1D" w14:textId="1BC04D06" w:rsidR="00634B45" w:rsidRPr="00746D6D" w:rsidRDefault="00634B45" w:rsidP="0060768A">
            <w:pPr>
              <w:jc w:val="center"/>
            </w:pPr>
            <w:r>
              <w:t>(£</w:t>
            </w:r>
            <w:r w:rsidR="00F75BBD">
              <w:t>8</w:t>
            </w:r>
            <w:r>
              <w:t>,000)</w:t>
            </w:r>
          </w:p>
        </w:tc>
      </w:tr>
      <w:tr w:rsidR="00634B45" w:rsidRPr="00AF1059" w14:paraId="5205B229" w14:textId="77777777" w:rsidTr="0060768A">
        <w:tc>
          <w:tcPr>
            <w:tcW w:w="2405" w:type="dxa"/>
            <w:shd w:val="clear" w:color="auto" w:fill="000000" w:themeFill="text1"/>
          </w:tcPr>
          <w:p w14:paraId="6455D4D8" w14:textId="77777777" w:rsidR="00634B45" w:rsidRPr="00AF1059" w:rsidRDefault="00634B45" w:rsidP="0060768A">
            <w:pPr>
              <w:rPr>
                <w:b/>
                <w:bCs/>
              </w:rPr>
            </w:pPr>
            <w:r>
              <w:rPr>
                <w:b/>
                <w:bCs/>
              </w:rPr>
              <w:t>Actual Tax Due</w:t>
            </w:r>
          </w:p>
        </w:tc>
        <w:tc>
          <w:tcPr>
            <w:tcW w:w="2196" w:type="dxa"/>
            <w:shd w:val="clear" w:color="auto" w:fill="000000" w:themeFill="text1"/>
          </w:tcPr>
          <w:p w14:paraId="4BD33CAF" w14:textId="77777777" w:rsidR="00634B45" w:rsidRPr="00AF1059" w:rsidRDefault="00634B45" w:rsidP="0060768A">
            <w:pPr>
              <w:jc w:val="center"/>
              <w:rPr>
                <w:b/>
                <w:bCs/>
              </w:rPr>
            </w:pPr>
          </w:p>
        </w:tc>
        <w:tc>
          <w:tcPr>
            <w:tcW w:w="2324" w:type="dxa"/>
            <w:shd w:val="clear" w:color="auto" w:fill="000000" w:themeFill="text1"/>
          </w:tcPr>
          <w:p w14:paraId="01CBD3BB" w14:textId="77777777" w:rsidR="00634B45" w:rsidRPr="00AF1059" w:rsidRDefault="00634B45" w:rsidP="0060768A">
            <w:pPr>
              <w:jc w:val="center"/>
              <w:rPr>
                <w:b/>
                <w:bCs/>
              </w:rPr>
            </w:pPr>
          </w:p>
        </w:tc>
        <w:tc>
          <w:tcPr>
            <w:tcW w:w="2425" w:type="dxa"/>
            <w:shd w:val="clear" w:color="auto" w:fill="000000" w:themeFill="text1"/>
          </w:tcPr>
          <w:p w14:paraId="03864B5C" w14:textId="6EB7408F" w:rsidR="00634B45" w:rsidRPr="00AF1059" w:rsidRDefault="00634B45" w:rsidP="0060768A">
            <w:pPr>
              <w:jc w:val="center"/>
              <w:rPr>
                <w:b/>
                <w:bCs/>
              </w:rPr>
            </w:pPr>
            <w:r>
              <w:rPr>
                <w:b/>
                <w:bCs/>
              </w:rPr>
              <w:t>£</w:t>
            </w:r>
            <w:r w:rsidR="00114EAD">
              <w:rPr>
                <w:b/>
                <w:bCs/>
              </w:rPr>
              <w:t>6</w:t>
            </w:r>
            <w:r>
              <w:rPr>
                <w:b/>
                <w:bCs/>
              </w:rPr>
              <w:t>,440</w:t>
            </w:r>
          </w:p>
        </w:tc>
      </w:tr>
    </w:tbl>
    <w:p w14:paraId="54A775E3" w14:textId="77777777" w:rsidR="009F6C45" w:rsidRDefault="009F6C45" w:rsidP="009F6C45"/>
    <w:p w14:paraId="12BDA0D7" w14:textId="376275A2" w:rsidR="009F6C45" w:rsidRDefault="009F6C45" w:rsidP="009F6C45">
      <w:pPr>
        <w:pBdr>
          <w:top w:val="single" w:sz="4" w:space="1" w:color="auto"/>
          <w:left w:val="single" w:sz="4" w:space="4" w:color="auto"/>
          <w:bottom w:val="single" w:sz="4" w:space="1" w:color="auto"/>
          <w:right w:val="single" w:sz="4" w:space="4" w:color="auto"/>
        </w:pBdr>
      </w:pPr>
      <w:r>
        <w:t>Top-slicing relief was calculated as follows:</w:t>
      </w:r>
    </w:p>
    <w:p w14:paraId="0FD00AC3" w14:textId="77777777" w:rsidR="009F6C45" w:rsidRDefault="009F6C45" w:rsidP="009F6C45">
      <w:pPr>
        <w:pBdr>
          <w:top w:val="single" w:sz="4" w:space="1" w:color="auto"/>
          <w:left w:val="single" w:sz="4" w:space="4" w:color="auto"/>
          <w:bottom w:val="single" w:sz="4" w:space="1" w:color="auto"/>
          <w:right w:val="single" w:sz="4" w:space="4" w:color="auto"/>
        </w:pBdr>
      </w:pPr>
      <w:r>
        <w:t>A = £18,000 - £10,000 = £8,000</w:t>
      </w:r>
    </w:p>
    <w:p w14:paraId="3B398639" w14:textId="77777777" w:rsidR="009F6C45" w:rsidRDefault="009F6C45" w:rsidP="009F6C45">
      <w:pPr>
        <w:pBdr>
          <w:top w:val="single" w:sz="4" w:space="1" w:color="auto"/>
          <w:left w:val="single" w:sz="4" w:space="4" w:color="auto"/>
          <w:bottom w:val="single" w:sz="4" w:space="1" w:color="auto"/>
          <w:right w:val="single" w:sz="4" w:space="4" w:color="auto"/>
        </w:pBdr>
      </w:pPr>
      <w:r>
        <w:t>B = £50,000 / 5 = £10,000. The full £10,000 falls into the basic rate band and is taxed at 20% which is £2,000. The onshore credit on the slice is also £2,000. £2,000 - £2,000 = £0. £0 x 5 years = £0. B = £0.</w:t>
      </w:r>
    </w:p>
    <w:p w14:paraId="28DF1911" w14:textId="77777777" w:rsidR="009F6C45" w:rsidRDefault="009F6C45" w:rsidP="009F6C45">
      <w:pPr>
        <w:pBdr>
          <w:top w:val="single" w:sz="4" w:space="1" w:color="auto"/>
          <w:left w:val="single" w:sz="4" w:space="4" w:color="auto"/>
          <w:bottom w:val="single" w:sz="4" w:space="1" w:color="auto"/>
          <w:right w:val="single" w:sz="4" w:space="4" w:color="auto"/>
        </w:pBdr>
      </w:pPr>
      <w:r>
        <w:t>A – B = £8,000 - £0 = £8,000</w:t>
      </w:r>
    </w:p>
    <w:p w14:paraId="5792284E" w14:textId="77777777" w:rsidR="00731B9A" w:rsidRDefault="00731B9A" w:rsidP="00731B9A"/>
    <w:p w14:paraId="478337F9" w14:textId="054F2E84" w:rsidR="00731B9A" w:rsidRDefault="00731B9A" w:rsidP="00731B9A">
      <w:r>
        <w:t xml:space="preserve">The pension contribution has extended the basic-rate band by the gross contribution of £5,000. </w:t>
      </w:r>
      <w:r w:rsidR="002A1285">
        <w:t>Now, £10,000 of the chargeable gain is assessed at basic-rate, with just £40,000 at higher-rate.</w:t>
      </w:r>
    </w:p>
    <w:p w14:paraId="3A8F37A9" w14:textId="77777777" w:rsidR="002A1285" w:rsidRDefault="002A1285" w:rsidP="00731B9A"/>
    <w:p w14:paraId="04EBF9FF" w14:textId="375E5BF9" w:rsidR="00C83B73" w:rsidRDefault="00C83B73" w:rsidP="00731B9A">
      <w:r>
        <w:t xml:space="preserve">The result is that </w:t>
      </w:r>
      <w:r w:rsidR="000627B6">
        <w:t>we’ve had, from paying in £4,000 into our pension:</w:t>
      </w:r>
    </w:p>
    <w:p w14:paraId="740BBEB6" w14:textId="4258A98A" w:rsidR="000627B6" w:rsidRDefault="000627B6" w:rsidP="000627B6">
      <w:pPr>
        <w:pStyle w:val="ListParagraph"/>
        <w:numPr>
          <w:ilvl w:val="0"/>
          <w:numId w:val="10"/>
        </w:numPr>
      </w:pPr>
      <w:r>
        <w:t>£1,000 relief at source within the pension</w:t>
      </w:r>
      <w:r w:rsidR="00E165DB">
        <w:t>.</w:t>
      </w:r>
    </w:p>
    <w:p w14:paraId="0A60A417" w14:textId="382FB84F" w:rsidR="00253CEF" w:rsidRDefault="00253CEF" w:rsidP="000627B6">
      <w:pPr>
        <w:pStyle w:val="ListParagraph"/>
        <w:numPr>
          <w:ilvl w:val="0"/>
          <w:numId w:val="10"/>
        </w:numPr>
      </w:pPr>
      <w:r>
        <w:t xml:space="preserve">We’ve extended our basic-rate band, </w:t>
      </w:r>
      <w:r w:rsidR="00BD4956">
        <w:t>saving us an additional £1,000 of Income Tax. This is known as “higher-rate tax relief” for pension contributions and reinforces the idea that pension contributions receive tax relief at the member’s highest marginal rate.</w:t>
      </w:r>
    </w:p>
    <w:p w14:paraId="4CCDD871" w14:textId="21898D85" w:rsidR="000627B6" w:rsidRDefault="00E165DB" w:rsidP="000627B6">
      <w:pPr>
        <w:pStyle w:val="ListParagraph"/>
        <w:numPr>
          <w:ilvl w:val="0"/>
          <w:numId w:val="10"/>
        </w:numPr>
      </w:pPr>
      <w:r>
        <w:t>We’</w:t>
      </w:r>
      <w:r w:rsidR="00BD4956">
        <w:t xml:space="preserve">ve increased our top-slicing relief by </w:t>
      </w:r>
      <w:r w:rsidR="00EC5102">
        <w:t>£</w:t>
      </w:r>
      <w:r w:rsidR="00BD4956">
        <w:t>4</w:t>
      </w:r>
      <w:r w:rsidR="00EC5102">
        <w:t>,000</w:t>
      </w:r>
      <w:r w:rsidR="00BD4956">
        <w:t xml:space="preserve"> to £8,000.</w:t>
      </w:r>
      <w:r w:rsidR="009F6C45">
        <w:t xml:space="preserve"> This is the maximum amount of </w:t>
      </w:r>
      <w:r w:rsidR="00746259">
        <w:t xml:space="preserve">top-slicing relief we can get (because ‘B’ is £0) and </w:t>
      </w:r>
      <w:r w:rsidR="00B50ECA">
        <w:t>means we’re paying no higher-rate Income Tax on the bond – everything has been covered by the onshore tax credit.</w:t>
      </w:r>
    </w:p>
    <w:p w14:paraId="6522DBD2" w14:textId="77777777" w:rsidR="00C83B73" w:rsidRDefault="00C83B73" w:rsidP="00731B9A"/>
    <w:p w14:paraId="75477E50" w14:textId="41FC7C9B" w:rsidR="009F6C45" w:rsidRPr="0083620D" w:rsidRDefault="00826C83" w:rsidP="0083620D">
      <w:pPr>
        <w:pBdr>
          <w:top w:val="single" w:sz="4" w:space="1" w:color="auto"/>
          <w:left w:val="single" w:sz="4" w:space="4" w:color="auto"/>
          <w:bottom w:val="single" w:sz="4" w:space="1" w:color="auto"/>
          <w:right w:val="single" w:sz="4" w:space="4" w:color="auto"/>
        </w:pBdr>
        <w:rPr>
          <w:b/>
          <w:bCs/>
        </w:rPr>
      </w:pPr>
      <w:r w:rsidRPr="0083620D">
        <w:rPr>
          <w:b/>
          <w:bCs/>
        </w:rPr>
        <w:t>For our £4,000 pension contribution, we have received £6,000 in tax relief</w:t>
      </w:r>
      <w:r w:rsidR="00EB1A08" w:rsidRPr="0083620D">
        <w:rPr>
          <w:b/>
          <w:bCs/>
        </w:rPr>
        <w:t>, of which £1,000 is in the pension (via relief at source) and £5,000</w:t>
      </w:r>
      <w:r w:rsidR="00FC1551" w:rsidRPr="0083620D">
        <w:rPr>
          <w:b/>
          <w:bCs/>
        </w:rPr>
        <w:t xml:space="preserve"> in our pocket. This is</w:t>
      </w:r>
      <w:r w:rsidR="0083620D" w:rsidRPr="0083620D">
        <w:rPr>
          <w:b/>
          <w:bCs/>
        </w:rPr>
        <w:t xml:space="preserve"> effective</w:t>
      </w:r>
      <w:r w:rsidR="00FC1551" w:rsidRPr="0083620D">
        <w:rPr>
          <w:b/>
          <w:bCs/>
        </w:rPr>
        <w:t xml:space="preserve"> </w:t>
      </w:r>
      <w:r w:rsidR="0083620D" w:rsidRPr="0083620D">
        <w:rPr>
          <w:b/>
          <w:bCs/>
        </w:rPr>
        <w:t>tax relief of 1</w:t>
      </w:r>
      <w:r w:rsidR="00F11379">
        <w:rPr>
          <w:b/>
          <w:bCs/>
        </w:rPr>
        <w:t>2</w:t>
      </w:r>
      <w:r w:rsidR="0083620D" w:rsidRPr="0083620D">
        <w:rPr>
          <w:b/>
          <w:bCs/>
        </w:rPr>
        <w:t>0%!</w:t>
      </w:r>
    </w:p>
    <w:p w14:paraId="04A21EE7" w14:textId="77777777" w:rsidR="009F6C45" w:rsidRDefault="009F6C45" w:rsidP="00731B9A"/>
    <w:p w14:paraId="7BFC19C5" w14:textId="77777777" w:rsidR="007340FF" w:rsidRDefault="007340FF" w:rsidP="00731B9A"/>
    <w:p w14:paraId="68C7BD6A" w14:textId="77777777" w:rsidR="007340FF" w:rsidRDefault="007340FF" w:rsidP="00731B9A"/>
    <w:p w14:paraId="5E738A44" w14:textId="4AD6A2AE" w:rsidR="007340FF" w:rsidRDefault="007340FF" w:rsidP="00731B9A">
      <w:r>
        <w:t>The scenario can be compared side-by-side as follows:</w:t>
      </w:r>
    </w:p>
    <w:p w14:paraId="4DA0739C" w14:textId="77777777" w:rsidR="007340FF" w:rsidRDefault="007340FF" w:rsidP="00731B9A"/>
    <w:tbl>
      <w:tblPr>
        <w:tblStyle w:val="TableGrid"/>
        <w:tblW w:w="0" w:type="auto"/>
        <w:tblLook w:val="04A0" w:firstRow="1" w:lastRow="0" w:firstColumn="1" w:lastColumn="0" w:noHBand="0" w:noVBand="1"/>
      </w:tblPr>
      <w:tblGrid>
        <w:gridCol w:w="3116"/>
        <w:gridCol w:w="3117"/>
        <w:gridCol w:w="3117"/>
      </w:tblGrid>
      <w:tr w:rsidR="003C4E9C" w14:paraId="28F6C2AE" w14:textId="77777777" w:rsidTr="003C4E9C">
        <w:tc>
          <w:tcPr>
            <w:tcW w:w="3116" w:type="dxa"/>
          </w:tcPr>
          <w:p w14:paraId="3F53E3F3" w14:textId="77777777" w:rsidR="003C4E9C" w:rsidRDefault="003C4E9C" w:rsidP="00731B9A"/>
        </w:tc>
        <w:tc>
          <w:tcPr>
            <w:tcW w:w="3117" w:type="dxa"/>
          </w:tcPr>
          <w:p w14:paraId="105CB786" w14:textId="0E2A5D05" w:rsidR="003C4E9C" w:rsidRPr="007340FF" w:rsidRDefault="003C4E9C" w:rsidP="00A60C1A">
            <w:pPr>
              <w:jc w:val="center"/>
              <w:rPr>
                <w:b/>
                <w:bCs/>
              </w:rPr>
            </w:pPr>
            <w:r w:rsidRPr="007340FF">
              <w:rPr>
                <w:b/>
                <w:bCs/>
              </w:rPr>
              <w:t>Before Pension Contribution</w:t>
            </w:r>
          </w:p>
        </w:tc>
        <w:tc>
          <w:tcPr>
            <w:tcW w:w="3117" w:type="dxa"/>
          </w:tcPr>
          <w:p w14:paraId="4FF945C7" w14:textId="4D84EE88" w:rsidR="003C4E9C" w:rsidRPr="007340FF" w:rsidRDefault="003C4E9C" w:rsidP="00A60C1A">
            <w:pPr>
              <w:jc w:val="center"/>
              <w:rPr>
                <w:b/>
                <w:bCs/>
              </w:rPr>
            </w:pPr>
            <w:r w:rsidRPr="007340FF">
              <w:rPr>
                <w:b/>
                <w:bCs/>
              </w:rPr>
              <w:t>After Pension Contribution</w:t>
            </w:r>
          </w:p>
        </w:tc>
      </w:tr>
      <w:tr w:rsidR="003C4E9C" w14:paraId="279BA6C3" w14:textId="77777777" w:rsidTr="003C4E9C">
        <w:tc>
          <w:tcPr>
            <w:tcW w:w="3116" w:type="dxa"/>
          </w:tcPr>
          <w:p w14:paraId="1D974975" w14:textId="36EFAB4A" w:rsidR="003C4E9C" w:rsidRDefault="003C4E9C" w:rsidP="00731B9A">
            <w:r>
              <w:t xml:space="preserve">Tax paid </w:t>
            </w:r>
            <w:r w:rsidR="00DC3EAB">
              <w:t>on salary</w:t>
            </w:r>
          </w:p>
        </w:tc>
        <w:tc>
          <w:tcPr>
            <w:tcW w:w="3117" w:type="dxa"/>
          </w:tcPr>
          <w:p w14:paraId="4FE9C27A" w14:textId="2CF863CE" w:rsidR="003C4E9C" w:rsidRDefault="00DC3EAB" w:rsidP="00A60C1A">
            <w:pPr>
              <w:jc w:val="center"/>
            </w:pPr>
            <w:r>
              <w:t>£6,440</w:t>
            </w:r>
          </w:p>
        </w:tc>
        <w:tc>
          <w:tcPr>
            <w:tcW w:w="3117" w:type="dxa"/>
          </w:tcPr>
          <w:p w14:paraId="55D6AC45" w14:textId="2CC86D1E" w:rsidR="003C4E9C" w:rsidRDefault="00DC3EAB" w:rsidP="00A60C1A">
            <w:pPr>
              <w:jc w:val="center"/>
            </w:pPr>
            <w:r>
              <w:t>£6,440</w:t>
            </w:r>
          </w:p>
        </w:tc>
      </w:tr>
      <w:tr w:rsidR="003C4E9C" w14:paraId="4A78D3D9" w14:textId="77777777" w:rsidTr="003C4E9C">
        <w:tc>
          <w:tcPr>
            <w:tcW w:w="3116" w:type="dxa"/>
          </w:tcPr>
          <w:p w14:paraId="19595C8F" w14:textId="76CE1E11" w:rsidR="003C4E9C" w:rsidRDefault="00DC3EAB" w:rsidP="00731B9A">
            <w:r>
              <w:t>Tax paid on savings</w:t>
            </w:r>
          </w:p>
        </w:tc>
        <w:tc>
          <w:tcPr>
            <w:tcW w:w="3117" w:type="dxa"/>
          </w:tcPr>
          <w:p w14:paraId="1440AC00" w14:textId="788D8F21" w:rsidR="003C4E9C" w:rsidRDefault="00DC3EAB" w:rsidP="00A60C1A">
            <w:pPr>
              <w:jc w:val="center"/>
            </w:pPr>
            <w:r>
              <w:t>£0</w:t>
            </w:r>
          </w:p>
        </w:tc>
        <w:tc>
          <w:tcPr>
            <w:tcW w:w="3117" w:type="dxa"/>
          </w:tcPr>
          <w:p w14:paraId="10132B82" w14:textId="762BEFE3" w:rsidR="003C4E9C" w:rsidRDefault="00DC3EAB" w:rsidP="00A60C1A">
            <w:pPr>
              <w:jc w:val="center"/>
            </w:pPr>
            <w:r>
              <w:t>£0</w:t>
            </w:r>
          </w:p>
        </w:tc>
      </w:tr>
      <w:tr w:rsidR="003C4E9C" w14:paraId="17BCA6E9" w14:textId="77777777" w:rsidTr="003C4E9C">
        <w:tc>
          <w:tcPr>
            <w:tcW w:w="3116" w:type="dxa"/>
          </w:tcPr>
          <w:p w14:paraId="1863F976" w14:textId="053D1351" w:rsidR="003C4E9C" w:rsidRDefault="006A2662" w:rsidP="00731B9A">
            <w:r>
              <w:t>Gross t</w:t>
            </w:r>
            <w:r w:rsidR="00DC3EAB">
              <w:t>ax on chargeable gain</w:t>
            </w:r>
          </w:p>
        </w:tc>
        <w:tc>
          <w:tcPr>
            <w:tcW w:w="3117" w:type="dxa"/>
          </w:tcPr>
          <w:p w14:paraId="4E65DE3C" w14:textId="36AB6A7A" w:rsidR="003C4E9C" w:rsidRDefault="006A2662" w:rsidP="00A60C1A">
            <w:pPr>
              <w:jc w:val="center"/>
            </w:pPr>
            <w:r>
              <w:t>£19,000</w:t>
            </w:r>
          </w:p>
        </w:tc>
        <w:tc>
          <w:tcPr>
            <w:tcW w:w="3117" w:type="dxa"/>
          </w:tcPr>
          <w:p w14:paraId="350B90BE" w14:textId="43A9ED88" w:rsidR="003C4E9C" w:rsidRDefault="006A2662" w:rsidP="00A60C1A">
            <w:pPr>
              <w:jc w:val="center"/>
            </w:pPr>
            <w:r>
              <w:t>£18,000</w:t>
            </w:r>
          </w:p>
        </w:tc>
      </w:tr>
      <w:tr w:rsidR="003C4E9C" w14:paraId="4EE99E0C" w14:textId="77777777" w:rsidTr="003C4E9C">
        <w:tc>
          <w:tcPr>
            <w:tcW w:w="3116" w:type="dxa"/>
          </w:tcPr>
          <w:p w14:paraId="3B5C02F9" w14:textId="55FD3BC8" w:rsidR="003C4E9C" w:rsidRDefault="00A60C1A" w:rsidP="00731B9A">
            <w:r>
              <w:t>Total gross tax</w:t>
            </w:r>
          </w:p>
        </w:tc>
        <w:tc>
          <w:tcPr>
            <w:tcW w:w="3117" w:type="dxa"/>
          </w:tcPr>
          <w:p w14:paraId="53EAEB7D" w14:textId="2105BE6C" w:rsidR="003C4E9C" w:rsidRDefault="00A60C1A" w:rsidP="00A60C1A">
            <w:pPr>
              <w:jc w:val="center"/>
            </w:pPr>
            <w:r>
              <w:t>£25,440</w:t>
            </w:r>
          </w:p>
        </w:tc>
        <w:tc>
          <w:tcPr>
            <w:tcW w:w="3117" w:type="dxa"/>
          </w:tcPr>
          <w:p w14:paraId="7658FCDD" w14:textId="7A089B9B" w:rsidR="003C4E9C" w:rsidRDefault="00A60C1A" w:rsidP="00A60C1A">
            <w:pPr>
              <w:jc w:val="center"/>
            </w:pPr>
            <w:r>
              <w:t>£24,440</w:t>
            </w:r>
          </w:p>
        </w:tc>
      </w:tr>
      <w:tr w:rsidR="003C4E9C" w14:paraId="0DD172C7" w14:textId="77777777" w:rsidTr="003C4E9C">
        <w:tc>
          <w:tcPr>
            <w:tcW w:w="3116" w:type="dxa"/>
          </w:tcPr>
          <w:p w14:paraId="7361249F" w14:textId="3C6969CC" w:rsidR="003C4E9C" w:rsidRDefault="00A60C1A" w:rsidP="00731B9A">
            <w:r>
              <w:t>Onshore tax credit</w:t>
            </w:r>
          </w:p>
        </w:tc>
        <w:tc>
          <w:tcPr>
            <w:tcW w:w="3117" w:type="dxa"/>
          </w:tcPr>
          <w:p w14:paraId="70C6E809" w14:textId="04C05D38" w:rsidR="003C4E9C" w:rsidRDefault="00A60C1A" w:rsidP="00A60C1A">
            <w:pPr>
              <w:jc w:val="center"/>
            </w:pPr>
            <w:r>
              <w:t>(£10,000)</w:t>
            </w:r>
          </w:p>
        </w:tc>
        <w:tc>
          <w:tcPr>
            <w:tcW w:w="3117" w:type="dxa"/>
          </w:tcPr>
          <w:p w14:paraId="19C0A047" w14:textId="5B8647D1" w:rsidR="003C4E9C" w:rsidRDefault="00A60C1A" w:rsidP="00A60C1A">
            <w:pPr>
              <w:jc w:val="center"/>
            </w:pPr>
            <w:r>
              <w:t>(£10,000)</w:t>
            </w:r>
          </w:p>
        </w:tc>
      </w:tr>
      <w:tr w:rsidR="003C4E9C" w14:paraId="24C0F6E4" w14:textId="77777777" w:rsidTr="003C4E9C">
        <w:tc>
          <w:tcPr>
            <w:tcW w:w="3116" w:type="dxa"/>
          </w:tcPr>
          <w:p w14:paraId="372CEB80" w14:textId="4927EBB8" w:rsidR="003C4E9C" w:rsidRDefault="00A60C1A" w:rsidP="00731B9A">
            <w:r>
              <w:t>Top-slicing relief</w:t>
            </w:r>
          </w:p>
        </w:tc>
        <w:tc>
          <w:tcPr>
            <w:tcW w:w="3117" w:type="dxa"/>
          </w:tcPr>
          <w:p w14:paraId="5153519C" w14:textId="2F211569" w:rsidR="003C4E9C" w:rsidRDefault="00A60C1A" w:rsidP="00A60C1A">
            <w:pPr>
              <w:jc w:val="center"/>
            </w:pPr>
            <w:r>
              <w:t>£4,000</w:t>
            </w:r>
          </w:p>
        </w:tc>
        <w:tc>
          <w:tcPr>
            <w:tcW w:w="3117" w:type="dxa"/>
          </w:tcPr>
          <w:p w14:paraId="046EABC9" w14:textId="543B89D5" w:rsidR="003C4E9C" w:rsidRDefault="00A60C1A" w:rsidP="00A60C1A">
            <w:pPr>
              <w:jc w:val="center"/>
            </w:pPr>
            <w:r>
              <w:t>£8,000</w:t>
            </w:r>
          </w:p>
        </w:tc>
      </w:tr>
      <w:tr w:rsidR="003C4E9C" w14:paraId="77A022F2" w14:textId="77777777" w:rsidTr="003C4E9C">
        <w:tc>
          <w:tcPr>
            <w:tcW w:w="3116" w:type="dxa"/>
          </w:tcPr>
          <w:p w14:paraId="19CC5D80" w14:textId="543D31B0" w:rsidR="003C4E9C" w:rsidRDefault="001B4EE6" w:rsidP="00731B9A">
            <w:r>
              <w:t>Actual tax payable to HMRC</w:t>
            </w:r>
          </w:p>
        </w:tc>
        <w:tc>
          <w:tcPr>
            <w:tcW w:w="3117" w:type="dxa"/>
          </w:tcPr>
          <w:p w14:paraId="502BB4B7" w14:textId="29C7E514" w:rsidR="003C4E9C" w:rsidRDefault="001B4EE6" w:rsidP="00A60C1A">
            <w:pPr>
              <w:jc w:val="center"/>
            </w:pPr>
            <w:r>
              <w:t>£11,440</w:t>
            </w:r>
          </w:p>
        </w:tc>
        <w:tc>
          <w:tcPr>
            <w:tcW w:w="3117" w:type="dxa"/>
          </w:tcPr>
          <w:p w14:paraId="37C0B9AE" w14:textId="2D2B8920" w:rsidR="003C4E9C" w:rsidRDefault="001B4EE6" w:rsidP="00A60C1A">
            <w:pPr>
              <w:jc w:val="center"/>
            </w:pPr>
            <w:r>
              <w:t>£</w:t>
            </w:r>
            <w:r w:rsidR="007340FF">
              <w:t>6,440</w:t>
            </w:r>
          </w:p>
        </w:tc>
      </w:tr>
      <w:tr w:rsidR="00297441" w14:paraId="3A7F058A" w14:textId="77777777" w:rsidTr="003C4E9C">
        <w:tc>
          <w:tcPr>
            <w:tcW w:w="3116" w:type="dxa"/>
          </w:tcPr>
          <w:p w14:paraId="464BAB4C" w14:textId="7E0A3039" w:rsidR="00297441" w:rsidRDefault="00297441" w:rsidP="00731B9A">
            <w:r>
              <w:t>Amount sa</w:t>
            </w:r>
            <w:r w:rsidR="007E2CA5">
              <w:t>ved in a pension</w:t>
            </w:r>
          </w:p>
        </w:tc>
        <w:tc>
          <w:tcPr>
            <w:tcW w:w="3117" w:type="dxa"/>
          </w:tcPr>
          <w:p w14:paraId="5FF754A7" w14:textId="70280BCD" w:rsidR="00297441" w:rsidRDefault="007E2CA5" w:rsidP="00A60C1A">
            <w:pPr>
              <w:jc w:val="center"/>
            </w:pPr>
            <w:r>
              <w:t>£0</w:t>
            </w:r>
          </w:p>
        </w:tc>
        <w:tc>
          <w:tcPr>
            <w:tcW w:w="3117" w:type="dxa"/>
          </w:tcPr>
          <w:p w14:paraId="2E7786E7" w14:textId="708A9ADF" w:rsidR="00297441" w:rsidRDefault="007E2CA5" w:rsidP="00A60C1A">
            <w:pPr>
              <w:jc w:val="center"/>
            </w:pPr>
            <w:r>
              <w:t>£5,000</w:t>
            </w:r>
          </w:p>
        </w:tc>
      </w:tr>
    </w:tbl>
    <w:p w14:paraId="53079B27" w14:textId="4853D890" w:rsidR="00297441" w:rsidRDefault="00297441" w:rsidP="00731B9A"/>
    <w:p w14:paraId="5D70763A" w14:textId="4CE11F9D" w:rsidR="003C4E9C" w:rsidRDefault="0006765B" w:rsidP="00297441">
      <w:pPr>
        <w:pStyle w:val="Heading3"/>
      </w:pPr>
      <w:bookmarkStart w:id="25" w:name="_Toc187422049"/>
      <w:r>
        <w:t>Marcus</w:t>
      </w:r>
      <w:r w:rsidR="00297441">
        <w:t>’s Offshore Bond</w:t>
      </w:r>
      <w:bookmarkEnd w:id="25"/>
    </w:p>
    <w:p w14:paraId="613D0E17" w14:textId="77777777" w:rsidR="00297441" w:rsidRDefault="00297441" w:rsidP="00297441"/>
    <w:p w14:paraId="4F62A865" w14:textId="48005FCF" w:rsidR="0006765B" w:rsidRDefault="0006765B" w:rsidP="00297441">
      <w:r>
        <w:t>Marcus will make a £</w:t>
      </w:r>
      <w:r w:rsidR="00CC2586" w:rsidRPr="00CC2586">
        <w:t>79,600</w:t>
      </w:r>
      <w:r>
        <w:t xml:space="preserve"> net (£</w:t>
      </w:r>
      <w:r w:rsidR="009D6055">
        <w:t>99,</w:t>
      </w:r>
      <w:r>
        <w:t>500 gross) personal pension contribution. He has the UK Relevant Earnings for full tax relief due to his salary.</w:t>
      </w:r>
    </w:p>
    <w:p w14:paraId="20FB9CEF" w14:textId="77777777" w:rsidR="001C64F4" w:rsidRDefault="001C64F4" w:rsidP="00297441"/>
    <w:p w14:paraId="3EE0DF6A" w14:textId="46757E14" w:rsidR="001C64F4" w:rsidRDefault="001F3D36" w:rsidP="00297441">
      <w:r>
        <w:t>P</w:t>
      </w:r>
      <w:r w:rsidR="001C64F4">
        <w:t>ersonal pension</w:t>
      </w:r>
      <w:r>
        <w:t xml:space="preserve"> contributions reduce</w:t>
      </w:r>
      <w:r w:rsidR="000E3073">
        <w:t xml:space="preserve"> Adjusted Net Income for the purpose of calculating the Personal Allowance taper. With </w:t>
      </w:r>
      <w:r w:rsidR="00CC2586">
        <w:t>our £99,500</w:t>
      </w:r>
      <w:r w:rsidR="005602E0">
        <w:t xml:space="preserve"> gross contribution, our Adjusted Net Income is falling from £200,000 to £100,500. This is £500 over £100,000, so we still have a very slight reduction</w:t>
      </w:r>
      <w:r w:rsidR="009254EE">
        <w:t>.</w:t>
      </w:r>
    </w:p>
    <w:p w14:paraId="5A8B54C9" w14:textId="77777777" w:rsidR="009254EE" w:rsidRDefault="009254EE" w:rsidP="00297441"/>
    <w:p w14:paraId="7A2B3F4A" w14:textId="2E1A7AD2" w:rsidR="009254EE" w:rsidRPr="00D41184" w:rsidRDefault="009254EE" w:rsidP="00D41184">
      <w:pPr>
        <w:pBdr>
          <w:top w:val="single" w:sz="4" w:space="1" w:color="auto"/>
          <w:left w:val="single" w:sz="4" w:space="4" w:color="auto"/>
          <w:bottom w:val="single" w:sz="4" w:space="1" w:color="auto"/>
          <w:right w:val="single" w:sz="4" w:space="4" w:color="auto"/>
        </w:pBdr>
        <w:jc w:val="center"/>
        <w:rPr>
          <w:b/>
          <w:bCs/>
        </w:rPr>
      </w:pPr>
      <w:r w:rsidRPr="00D41184">
        <w:rPr>
          <w:b/>
          <w:bCs/>
        </w:rPr>
        <w:t>£500 / 2 = £250. £12,570 standard personal allowance - £250 taper = £12,320</w:t>
      </w:r>
    </w:p>
    <w:p w14:paraId="1F5ACDB9" w14:textId="77777777" w:rsidR="0006765B" w:rsidRDefault="0006765B" w:rsidP="00297441"/>
    <w:p w14:paraId="1FDC9DBE" w14:textId="03D0AEFD" w:rsidR="00F621BE" w:rsidRDefault="00F621BE" w:rsidP="00297441">
      <w:r>
        <w:t>The £99,500 personal pension contribution also extends the basic-rate and higher-rate tax bands by £99,500. Therefore, our basic-rate bracket has been increased from £37,700 to £</w:t>
      </w:r>
      <w:r w:rsidRPr="00F621BE">
        <w:t>137,200</w:t>
      </w:r>
      <w:r>
        <w:t>!</w:t>
      </w:r>
    </w:p>
    <w:p w14:paraId="1E1631A8" w14:textId="77777777" w:rsidR="00F621BE" w:rsidRDefault="00F621BE" w:rsidP="00297441"/>
    <w:p w14:paraId="6DBAB429" w14:textId="0DA16785" w:rsidR="00506C04" w:rsidRDefault="00506C04" w:rsidP="00297441">
      <w:r>
        <w:t>We’ve also managed to get £500 of our Personal Savings Allowance back, because we’re now technically only a higher-rate taxpayer; not an additional-rate taxpayer.</w:t>
      </w:r>
    </w:p>
    <w:p w14:paraId="1334F373" w14:textId="77777777" w:rsidR="00506C04" w:rsidRDefault="00506C04" w:rsidP="00297441"/>
    <w:tbl>
      <w:tblPr>
        <w:tblStyle w:val="TableGrid"/>
        <w:tblW w:w="0" w:type="auto"/>
        <w:tblLook w:val="04A0" w:firstRow="1" w:lastRow="0" w:firstColumn="1" w:lastColumn="0" w:noHBand="0" w:noVBand="1"/>
      </w:tblPr>
      <w:tblGrid>
        <w:gridCol w:w="2405"/>
        <w:gridCol w:w="2196"/>
        <w:gridCol w:w="2324"/>
        <w:gridCol w:w="2425"/>
      </w:tblGrid>
      <w:tr w:rsidR="0006765B" w:rsidRPr="00E871BE" w14:paraId="32AC6962" w14:textId="77777777" w:rsidTr="007731FA">
        <w:tc>
          <w:tcPr>
            <w:tcW w:w="2405" w:type="dxa"/>
          </w:tcPr>
          <w:p w14:paraId="7386A033" w14:textId="77777777" w:rsidR="0006765B" w:rsidRPr="00E871BE" w:rsidRDefault="0006765B" w:rsidP="007731FA">
            <w:pPr>
              <w:rPr>
                <w:b/>
                <w:bCs/>
              </w:rPr>
            </w:pPr>
            <w:r w:rsidRPr="00E871BE">
              <w:rPr>
                <w:b/>
                <w:bCs/>
              </w:rPr>
              <w:t>Income Source</w:t>
            </w:r>
          </w:p>
        </w:tc>
        <w:tc>
          <w:tcPr>
            <w:tcW w:w="2196" w:type="dxa"/>
          </w:tcPr>
          <w:p w14:paraId="0EBCC063" w14:textId="77777777" w:rsidR="0006765B" w:rsidRPr="00E871BE" w:rsidRDefault="0006765B" w:rsidP="007731FA">
            <w:pPr>
              <w:jc w:val="center"/>
              <w:rPr>
                <w:b/>
                <w:bCs/>
              </w:rPr>
            </w:pPr>
            <w:r w:rsidRPr="00E871BE">
              <w:rPr>
                <w:b/>
                <w:bCs/>
              </w:rPr>
              <w:t>Amount</w:t>
            </w:r>
          </w:p>
        </w:tc>
        <w:tc>
          <w:tcPr>
            <w:tcW w:w="2324" w:type="dxa"/>
          </w:tcPr>
          <w:p w14:paraId="7A2D532E" w14:textId="77777777" w:rsidR="0006765B" w:rsidRPr="00E871BE" w:rsidRDefault="0006765B" w:rsidP="007731FA">
            <w:pPr>
              <w:jc w:val="center"/>
              <w:rPr>
                <w:b/>
                <w:bCs/>
              </w:rPr>
            </w:pPr>
            <w:r w:rsidRPr="00E871BE">
              <w:rPr>
                <w:b/>
                <w:bCs/>
              </w:rPr>
              <w:t>Tax Rate</w:t>
            </w:r>
          </w:p>
        </w:tc>
        <w:tc>
          <w:tcPr>
            <w:tcW w:w="2425" w:type="dxa"/>
          </w:tcPr>
          <w:p w14:paraId="37DCF4E9" w14:textId="77777777" w:rsidR="0006765B" w:rsidRPr="00E871BE" w:rsidRDefault="0006765B" w:rsidP="007731FA">
            <w:pPr>
              <w:jc w:val="center"/>
              <w:rPr>
                <w:b/>
                <w:bCs/>
              </w:rPr>
            </w:pPr>
            <w:r w:rsidRPr="00E871BE">
              <w:rPr>
                <w:b/>
                <w:bCs/>
              </w:rPr>
              <w:t>Amount of Tax</w:t>
            </w:r>
          </w:p>
        </w:tc>
      </w:tr>
      <w:tr w:rsidR="0006765B" w14:paraId="48C6E2AE" w14:textId="77777777" w:rsidTr="007731FA">
        <w:tc>
          <w:tcPr>
            <w:tcW w:w="2405" w:type="dxa"/>
            <w:shd w:val="clear" w:color="auto" w:fill="BFBFBF" w:themeFill="background1" w:themeFillShade="BF"/>
          </w:tcPr>
          <w:p w14:paraId="1B53AD2B" w14:textId="77777777" w:rsidR="0006765B" w:rsidRDefault="0006765B" w:rsidP="007731FA">
            <w:r>
              <w:t>Salary</w:t>
            </w:r>
          </w:p>
        </w:tc>
        <w:tc>
          <w:tcPr>
            <w:tcW w:w="2196" w:type="dxa"/>
            <w:shd w:val="clear" w:color="auto" w:fill="BFBFBF" w:themeFill="background1" w:themeFillShade="BF"/>
          </w:tcPr>
          <w:p w14:paraId="742718EB" w14:textId="144F8873" w:rsidR="0006765B" w:rsidRDefault="0006765B" w:rsidP="007731FA">
            <w:pPr>
              <w:jc w:val="center"/>
            </w:pPr>
            <w:r>
              <w:t>£</w:t>
            </w:r>
            <w:r w:rsidR="00D41184">
              <w:t>12,320</w:t>
            </w:r>
          </w:p>
        </w:tc>
        <w:tc>
          <w:tcPr>
            <w:tcW w:w="2324" w:type="dxa"/>
            <w:shd w:val="clear" w:color="auto" w:fill="BFBFBF" w:themeFill="background1" w:themeFillShade="BF"/>
          </w:tcPr>
          <w:p w14:paraId="1AF3E875" w14:textId="77777777" w:rsidR="0006765B" w:rsidRDefault="0006765B" w:rsidP="007731FA">
            <w:pPr>
              <w:jc w:val="center"/>
            </w:pPr>
            <w:r>
              <w:t>0% Personal Allowance</w:t>
            </w:r>
          </w:p>
        </w:tc>
        <w:tc>
          <w:tcPr>
            <w:tcW w:w="2425" w:type="dxa"/>
            <w:shd w:val="clear" w:color="auto" w:fill="BFBFBF" w:themeFill="background1" w:themeFillShade="BF"/>
          </w:tcPr>
          <w:p w14:paraId="1A29985D" w14:textId="77777777" w:rsidR="0006765B" w:rsidRDefault="0006765B" w:rsidP="007731FA">
            <w:pPr>
              <w:jc w:val="center"/>
            </w:pPr>
            <w:r>
              <w:t>£0</w:t>
            </w:r>
          </w:p>
        </w:tc>
      </w:tr>
      <w:tr w:rsidR="0006765B" w14:paraId="509005C5" w14:textId="77777777" w:rsidTr="007731FA">
        <w:tc>
          <w:tcPr>
            <w:tcW w:w="2405" w:type="dxa"/>
            <w:shd w:val="clear" w:color="auto" w:fill="BFBFBF" w:themeFill="background1" w:themeFillShade="BF"/>
          </w:tcPr>
          <w:p w14:paraId="10F2FE36" w14:textId="77777777" w:rsidR="0006765B" w:rsidRDefault="0006765B" w:rsidP="007731FA"/>
        </w:tc>
        <w:tc>
          <w:tcPr>
            <w:tcW w:w="2196" w:type="dxa"/>
            <w:shd w:val="clear" w:color="auto" w:fill="BFBFBF" w:themeFill="background1" w:themeFillShade="BF"/>
          </w:tcPr>
          <w:p w14:paraId="550F1EA7" w14:textId="247628BD" w:rsidR="0006765B" w:rsidRDefault="0006765B" w:rsidP="007731FA">
            <w:pPr>
              <w:jc w:val="center"/>
            </w:pPr>
            <w:r>
              <w:t>£</w:t>
            </w:r>
            <w:r w:rsidR="00621684" w:rsidRPr="00621684">
              <w:t>87,180</w:t>
            </w:r>
          </w:p>
        </w:tc>
        <w:tc>
          <w:tcPr>
            <w:tcW w:w="2324" w:type="dxa"/>
            <w:shd w:val="clear" w:color="auto" w:fill="BFBFBF" w:themeFill="background1" w:themeFillShade="BF"/>
          </w:tcPr>
          <w:p w14:paraId="4017DFFC" w14:textId="77777777" w:rsidR="0006765B" w:rsidRDefault="0006765B" w:rsidP="007731FA">
            <w:pPr>
              <w:jc w:val="center"/>
            </w:pPr>
            <w:r>
              <w:t>20%</w:t>
            </w:r>
          </w:p>
        </w:tc>
        <w:tc>
          <w:tcPr>
            <w:tcW w:w="2425" w:type="dxa"/>
            <w:shd w:val="clear" w:color="auto" w:fill="BFBFBF" w:themeFill="background1" w:themeFillShade="BF"/>
          </w:tcPr>
          <w:p w14:paraId="6EF88EED" w14:textId="0222B6A3" w:rsidR="0006765B" w:rsidRDefault="0006765B" w:rsidP="007731FA">
            <w:pPr>
              <w:jc w:val="center"/>
            </w:pPr>
            <w:r>
              <w:t>£</w:t>
            </w:r>
            <w:r w:rsidR="004F69BF" w:rsidRPr="004F69BF">
              <w:t>17,436</w:t>
            </w:r>
          </w:p>
        </w:tc>
      </w:tr>
      <w:tr w:rsidR="0006765B" w14:paraId="3C98154B" w14:textId="77777777" w:rsidTr="007731FA">
        <w:tc>
          <w:tcPr>
            <w:tcW w:w="2405" w:type="dxa"/>
            <w:shd w:val="clear" w:color="auto" w:fill="BFBFBF" w:themeFill="background1" w:themeFillShade="BF"/>
          </w:tcPr>
          <w:p w14:paraId="403A3128" w14:textId="77777777" w:rsidR="0006765B" w:rsidRDefault="0006765B" w:rsidP="007731FA"/>
        </w:tc>
        <w:tc>
          <w:tcPr>
            <w:tcW w:w="2196" w:type="dxa"/>
            <w:shd w:val="clear" w:color="auto" w:fill="BFBFBF" w:themeFill="background1" w:themeFillShade="BF"/>
          </w:tcPr>
          <w:p w14:paraId="137C962A" w14:textId="1894A9AE" w:rsidR="0006765B" w:rsidRDefault="0006765B" w:rsidP="007731FA">
            <w:pPr>
              <w:jc w:val="center"/>
            </w:pPr>
            <w:r>
              <w:t>£</w:t>
            </w:r>
            <w:r w:rsidR="00F621BE">
              <w:t>0</w:t>
            </w:r>
          </w:p>
        </w:tc>
        <w:tc>
          <w:tcPr>
            <w:tcW w:w="2324" w:type="dxa"/>
            <w:shd w:val="clear" w:color="auto" w:fill="BFBFBF" w:themeFill="background1" w:themeFillShade="BF"/>
          </w:tcPr>
          <w:p w14:paraId="2D997970" w14:textId="77777777" w:rsidR="0006765B" w:rsidRDefault="0006765B" w:rsidP="007731FA">
            <w:pPr>
              <w:jc w:val="center"/>
            </w:pPr>
            <w:r>
              <w:t>40%</w:t>
            </w:r>
          </w:p>
        </w:tc>
        <w:tc>
          <w:tcPr>
            <w:tcW w:w="2425" w:type="dxa"/>
            <w:shd w:val="clear" w:color="auto" w:fill="BFBFBF" w:themeFill="background1" w:themeFillShade="BF"/>
          </w:tcPr>
          <w:p w14:paraId="73D48FA8" w14:textId="6390D250" w:rsidR="0006765B" w:rsidRDefault="0006765B" w:rsidP="007731FA">
            <w:pPr>
              <w:jc w:val="center"/>
            </w:pPr>
            <w:r>
              <w:t>£</w:t>
            </w:r>
            <w:r w:rsidR="00F621BE">
              <w:t>0</w:t>
            </w:r>
          </w:p>
        </w:tc>
      </w:tr>
      <w:tr w:rsidR="0006765B" w14:paraId="0EF48B95" w14:textId="77777777" w:rsidTr="007731FA">
        <w:tc>
          <w:tcPr>
            <w:tcW w:w="2405" w:type="dxa"/>
            <w:shd w:val="clear" w:color="auto" w:fill="BFBFBF" w:themeFill="background1" w:themeFillShade="BF"/>
          </w:tcPr>
          <w:p w14:paraId="3175C26D" w14:textId="77777777" w:rsidR="0006765B" w:rsidRDefault="0006765B" w:rsidP="007731FA"/>
        </w:tc>
        <w:tc>
          <w:tcPr>
            <w:tcW w:w="2196" w:type="dxa"/>
            <w:shd w:val="clear" w:color="auto" w:fill="BFBFBF" w:themeFill="background1" w:themeFillShade="BF"/>
          </w:tcPr>
          <w:p w14:paraId="0DB0A3D2" w14:textId="77777777" w:rsidR="0006765B" w:rsidRDefault="0006765B" w:rsidP="007731FA">
            <w:pPr>
              <w:jc w:val="center"/>
            </w:pPr>
            <w:r>
              <w:t>£0</w:t>
            </w:r>
          </w:p>
        </w:tc>
        <w:tc>
          <w:tcPr>
            <w:tcW w:w="2324" w:type="dxa"/>
            <w:shd w:val="clear" w:color="auto" w:fill="BFBFBF" w:themeFill="background1" w:themeFillShade="BF"/>
          </w:tcPr>
          <w:p w14:paraId="4C89690F" w14:textId="77777777" w:rsidR="0006765B" w:rsidRDefault="0006765B" w:rsidP="007731FA">
            <w:pPr>
              <w:jc w:val="center"/>
            </w:pPr>
            <w:r>
              <w:t>45%</w:t>
            </w:r>
          </w:p>
        </w:tc>
        <w:tc>
          <w:tcPr>
            <w:tcW w:w="2425" w:type="dxa"/>
            <w:shd w:val="clear" w:color="auto" w:fill="BFBFBF" w:themeFill="background1" w:themeFillShade="BF"/>
          </w:tcPr>
          <w:p w14:paraId="4E904003" w14:textId="77777777" w:rsidR="0006765B" w:rsidRDefault="0006765B" w:rsidP="007731FA">
            <w:pPr>
              <w:jc w:val="center"/>
            </w:pPr>
            <w:r>
              <w:t>£0</w:t>
            </w:r>
          </w:p>
        </w:tc>
      </w:tr>
      <w:tr w:rsidR="0006765B" w14:paraId="6DD48106" w14:textId="77777777" w:rsidTr="007731FA">
        <w:tc>
          <w:tcPr>
            <w:tcW w:w="2405" w:type="dxa"/>
            <w:shd w:val="clear" w:color="auto" w:fill="F2F2F2" w:themeFill="background1" w:themeFillShade="F2"/>
          </w:tcPr>
          <w:p w14:paraId="569B9A76" w14:textId="77777777" w:rsidR="0006765B" w:rsidRDefault="0006765B" w:rsidP="007731FA">
            <w:r>
              <w:t>Savings Income</w:t>
            </w:r>
          </w:p>
        </w:tc>
        <w:tc>
          <w:tcPr>
            <w:tcW w:w="2196" w:type="dxa"/>
            <w:shd w:val="clear" w:color="auto" w:fill="F2F2F2" w:themeFill="background1" w:themeFillShade="F2"/>
          </w:tcPr>
          <w:p w14:paraId="2A8177B6" w14:textId="7598F7C9" w:rsidR="0006765B" w:rsidRDefault="0006765B" w:rsidP="007731FA">
            <w:pPr>
              <w:jc w:val="center"/>
            </w:pPr>
            <w:r>
              <w:t>£</w:t>
            </w:r>
            <w:r w:rsidR="004F69BF">
              <w:t>500</w:t>
            </w:r>
          </w:p>
        </w:tc>
        <w:tc>
          <w:tcPr>
            <w:tcW w:w="2324" w:type="dxa"/>
            <w:shd w:val="clear" w:color="auto" w:fill="F2F2F2" w:themeFill="background1" w:themeFillShade="F2"/>
          </w:tcPr>
          <w:p w14:paraId="43DA4899" w14:textId="77777777" w:rsidR="0006765B" w:rsidRDefault="0006765B" w:rsidP="007731FA">
            <w:pPr>
              <w:jc w:val="center"/>
            </w:pPr>
            <w:r>
              <w:t>0% PSA</w:t>
            </w:r>
          </w:p>
        </w:tc>
        <w:tc>
          <w:tcPr>
            <w:tcW w:w="2425" w:type="dxa"/>
            <w:shd w:val="clear" w:color="auto" w:fill="F2F2F2" w:themeFill="background1" w:themeFillShade="F2"/>
          </w:tcPr>
          <w:p w14:paraId="281FFA5D" w14:textId="77777777" w:rsidR="0006765B" w:rsidRDefault="0006765B" w:rsidP="007731FA">
            <w:pPr>
              <w:jc w:val="center"/>
            </w:pPr>
            <w:r>
              <w:t>£0</w:t>
            </w:r>
          </w:p>
        </w:tc>
      </w:tr>
      <w:tr w:rsidR="0006765B" w14:paraId="31B7108C" w14:textId="77777777" w:rsidTr="007731FA">
        <w:tc>
          <w:tcPr>
            <w:tcW w:w="2405" w:type="dxa"/>
            <w:shd w:val="clear" w:color="auto" w:fill="F2F2F2" w:themeFill="background1" w:themeFillShade="F2"/>
          </w:tcPr>
          <w:p w14:paraId="0C66A8B6" w14:textId="77777777" w:rsidR="0006765B" w:rsidRDefault="0006765B" w:rsidP="007731FA"/>
        </w:tc>
        <w:tc>
          <w:tcPr>
            <w:tcW w:w="2196" w:type="dxa"/>
            <w:shd w:val="clear" w:color="auto" w:fill="F2F2F2" w:themeFill="background1" w:themeFillShade="F2"/>
          </w:tcPr>
          <w:p w14:paraId="59630663" w14:textId="77777777" w:rsidR="0006765B" w:rsidRDefault="0006765B" w:rsidP="007731FA">
            <w:pPr>
              <w:jc w:val="center"/>
            </w:pPr>
            <w:r>
              <w:t>£0</w:t>
            </w:r>
          </w:p>
        </w:tc>
        <w:tc>
          <w:tcPr>
            <w:tcW w:w="2324" w:type="dxa"/>
            <w:shd w:val="clear" w:color="auto" w:fill="F2F2F2" w:themeFill="background1" w:themeFillShade="F2"/>
          </w:tcPr>
          <w:p w14:paraId="46F8ED9D" w14:textId="77777777" w:rsidR="0006765B" w:rsidRDefault="0006765B" w:rsidP="007731FA">
            <w:pPr>
              <w:jc w:val="center"/>
            </w:pPr>
            <w:r>
              <w:t>20%</w:t>
            </w:r>
          </w:p>
        </w:tc>
        <w:tc>
          <w:tcPr>
            <w:tcW w:w="2425" w:type="dxa"/>
            <w:shd w:val="clear" w:color="auto" w:fill="F2F2F2" w:themeFill="background1" w:themeFillShade="F2"/>
          </w:tcPr>
          <w:p w14:paraId="56C07E38" w14:textId="77777777" w:rsidR="0006765B" w:rsidRDefault="0006765B" w:rsidP="007731FA">
            <w:pPr>
              <w:jc w:val="center"/>
            </w:pPr>
            <w:r>
              <w:t>£0</w:t>
            </w:r>
          </w:p>
        </w:tc>
      </w:tr>
      <w:tr w:rsidR="0006765B" w14:paraId="3BB87814" w14:textId="77777777" w:rsidTr="007731FA">
        <w:tc>
          <w:tcPr>
            <w:tcW w:w="2405" w:type="dxa"/>
            <w:shd w:val="clear" w:color="auto" w:fill="F2F2F2" w:themeFill="background1" w:themeFillShade="F2"/>
          </w:tcPr>
          <w:p w14:paraId="57029B68" w14:textId="77777777" w:rsidR="0006765B" w:rsidRDefault="0006765B" w:rsidP="007731FA"/>
        </w:tc>
        <w:tc>
          <w:tcPr>
            <w:tcW w:w="2196" w:type="dxa"/>
            <w:shd w:val="clear" w:color="auto" w:fill="F2F2F2" w:themeFill="background1" w:themeFillShade="F2"/>
          </w:tcPr>
          <w:p w14:paraId="1A10C8BD" w14:textId="6B4B8E14" w:rsidR="0006765B" w:rsidRDefault="0006765B" w:rsidP="007731FA">
            <w:pPr>
              <w:jc w:val="center"/>
            </w:pPr>
            <w:r>
              <w:t>£</w:t>
            </w:r>
            <w:r w:rsidR="004F69BF">
              <w:t>0</w:t>
            </w:r>
          </w:p>
        </w:tc>
        <w:tc>
          <w:tcPr>
            <w:tcW w:w="2324" w:type="dxa"/>
            <w:shd w:val="clear" w:color="auto" w:fill="F2F2F2" w:themeFill="background1" w:themeFillShade="F2"/>
          </w:tcPr>
          <w:p w14:paraId="10F1B9FA" w14:textId="77777777" w:rsidR="0006765B" w:rsidRDefault="0006765B" w:rsidP="007731FA">
            <w:pPr>
              <w:jc w:val="center"/>
            </w:pPr>
            <w:r>
              <w:t>40%</w:t>
            </w:r>
          </w:p>
        </w:tc>
        <w:tc>
          <w:tcPr>
            <w:tcW w:w="2425" w:type="dxa"/>
            <w:shd w:val="clear" w:color="auto" w:fill="F2F2F2" w:themeFill="background1" w:themeFillShade="F2"/>
          </w:tcPr>
          <w:p w14:paraId="247871F5" w14:textId="0F7CC9C5" w:rsidR="0006765B" w:rsidRDefault="0006765B" w:rsidP="007731FA">
            <w:pPr>
              <w:jc w:val="center"/>
            </w:pPr>
            <w:r>
              <w:t>£</w:t>
            </w:r>
            <w:r w:rsidR="004F69BF">
              <w:t>0</w:t>
            </w:r>
          </w:p>
        </w:tc>
      </w:tr>
      <w:tr w:rsidR="0006765B" w14:paraId="52ACFD34" w14:textId="77777777" w:rsidTr="007731FA">
        <w:tc>
          <w:tcPr>
            <w:tcW w:w="2405" w:type="dxa"/>
            <w:shd w:val="clear" w:color="auto" w:fill="F2F2F2" w:themeFill="background1" w:themeFillShade="F2"/>
          </w:tcPr>
          <w:p w14:paraId="2EE37A52" w14:textId="77777777" w:rsidR="0006765B" w:rsidRDefault="0006765B" w:rsidP="007731FA"/>
        </w:tc>
        <w:tc>
          <w:tcPr>
            <w:tcW w:w="2196" w:type="dxa"/>
            <w:shd w:val="clear" w:color="auto" w:fill="F2F2F2" w:themeFill="background1" w:themeFillShade="F2"/>
          </w:tcPr>
          <w:p w14:paraId="67D87A92" w14:textId="77777777" w:rsidR="0006765B" w:rsidRDefault="0006765B" w:rsidP="007731FA">
            <w:pPr>
              <w:jc w:val="center"/>
            </w:pPr>
            <w:r>
              <w:t>£0</w:t>
            </w:r>
          </w:p>
        </w:tc>
        <w:tc>
          <w:tcPr>
            <w:tcW w:w="2324" w:type="dxa"/>
            <w:shd w:val="clear" w:color="auto" w:fill="F2F2F2" w:themeFill="background1" w:themeFillShade="F2"/>
          </w:tcPr>
          <w:p w14:paraId="76E32A9F" w14:textId="77777777" w:rsidR="0006765B" w:rsidRDefault="0006765B" w:rsidP="007731FA">
            <w:pPr>
              <w:jc w:val="center"/>
            </w:pPr>
            <w:r>
              <w:t>45%</w:t>
            </w:r>
          </w:p>
        </w:tc>
        <w:tc>
          <w:tcPr>
            <w:tcW w:w="2425" w:type="dxa"/>
            <w:shd w:val="clear" w:color="auto" w:fill="F2F2F2" w:themeFill="background1" w:themeFillShade="F2"/>
          </w:tcPr>
          <w:p w14:paraId="03E71212" w14:textId="77777777" w:rsidR="0006765B" w:rsidRDefault="0006765B" w:rsidP="007731FA">
            <w:pPr>
              <w:jc w:val="center"/>
            </w:pPr>
            <w:r>
              <w:t>£0</w:t>
            </w:r>
          </w:p>
        </w:tc>
      </w:tr>
      <w:tr w:rsidR="0006765B" w14:paraId="54BF183E" w14:textId="77777777" w:rsidTr="007731FA">
        <w:tc>
          <w:tcPr>
            <w:tcW w:w="2405" w:type="dxa"/>
            <w:shd w:val="clear" w:color="auto" w:fill="BFBFBF" w:themeFill="background1" w:themeFillShade="BF"/>
          </w:tcPr>
          <w:p w14:paraId="517A845D" w14:textId="77777777" w:rsidR="0006765B" w:rsidRDefault="0006765B" w:rsidP="007731FA">
            <w:r>
              <w:t>Offshore Gain</w:t>
            </w:r>
          </w:p>
        </w:tc>
        <w:tc>
          <w:tcPr>
            <w:tcW w:w="2196" w:type="dxa"/>
            <w:shd w:val="clear" w:color="auto" w:fill="BFBFBF" w:themeFill="background1" w:themeFillShade="BF"/>
          </w:tcPr>
          <w:p w14:paraId="6434C0C5" w14:textId="77777777" w:rsidR="0006765B" w:rsidRDefault="0006765B" w:rsidP="007731FA">
            <w:pPr>
              <w:jc w:val="center"/>
            </w:pPr>
            <w:r>
              <w:t>£0</w:t>
            </w:r>
          </w:p>
        </w:tc>
        <w:tc>
          <w:tcPr>
            <w:tcW w:w="2324" w:type="dxa"/>
            <w:shd w:val="clear" w:color="auto" w:fill="BFBFBF" w:themeFill="background1" w:themeFillShade="BF"/>
          </w:tcPr>
          <w:p w14:paraId="56D42F5D" w14:textId="77777777" w:rsidR="0006765B" w:rsidRDefault="0006765B" w:rsidP="007731FA">
            <w:pPr>
              <w:jc w:val="center"/>
            </w:pPr>
            <w:r>
              <w:t>0%</w:t>
            </w:r>
          </w:p>
        </w:tc>
        <w:tc>
          <w:tcPr>
            <w:tcW w:w="2425" w:type="dxa"/>
            <w:shd w:val="clear" w:color="auto" w:fill="BFBFBF" w:themeFill="background1" w:themeFillShade="BF"/>
          </w:tcPr>
          <w:p w14:paraId="2529EEE9" w14:textId="77777777" w:rsidR="0006765B" w:rsidRDefault="0006765B" w:rsidP="007731FA">
            <w:pPr>
              <w:jc w:val="center"/>
            </w:pPr>
            <w:r>
              <w:t>£0</w:t>
            </w:r>
          </w:p>
        </w:tc>
      </w:tr>
      <w:tr w:rsidR="0006765B" w14:paraId="3F12B98F" w14:textId="77777777" w:rsidTr="007731FA">
        <w:tc>
          <w:tcPr>
            <w:tcW w:w="2405" w:type="dxa"/>
            <w:shd w:val="clear" w:color="auto" w:fill="BFBFBF" w:themeFill="background1" w:themeFillShade="BF"/>
          </w:tcPr>
          <w:p w14:paraId="4211D3D2" w14:textId="77777777" w:rsidR="0006765B" w:rsidRDefault="0006765B" w:rsidP="007731FA"/>
        </w:tc>
        <w:tc>
          <w:tcPr>
            <w:tcW w:w="2196" w:type="dxa"/>
            <w:shd w:val="clear" w:color="auto" w:fill="BFBFBF" w:themeFill="background1" w:themeFillShade="BF"/>
          </w:tcPr>
          <w:p w14:paraId="40F7FC33" w14:textId="63CF555E" w:rsidR="0006765B" w:rsidRDefault="0006765B" w:rsidP="007731FA">
            <w:pPr>
              <w:jc w:val="center"/>
            </w:pPr>
            <w:r>
              <w:t>£</w:t>
            </w:r>
            <w:r w:rsidR="001D3BE0" w:rsidRPr="001D3BE0">
              <w:t>49,520</w:t>
            </w:r>
          </w:p>
        </w:tc>
        <w:tc>
          <w:tcPr>
            <w:tcW w:w="2324" w:type="dxa"/>
            <w:shd w:val="clear" w:color="auto" w:fill="BFBFBF" w:themeFill="background1" w:themeFillShade="BF"/>
          </w:tcPr>
          <w:p w14:paraId="0493135D" w14:textId="77777777" w:rsidR="0006765B" w:rsidRDefault="0006765B" w:rsidP="007731FA">
            <w:pPr>
              <w:jc w:val="center"/>
            </w:pPr>
            <w:r>
              <w:t>20%</w:t>
            </w:r>
          </w:p>
        </w:tc>
        <w:tc>
          <w:tcPr>
            <w:tcW w:w="2425" w:type="dxa"/>
            <w:shd w:val="clear" w:color="auto" w:fill="BFBFBF" w:themeFill="background1" w:themeFillShade="BF"/>
          </w:tcPr>
          <w:p w14:paraId="195A7A4E" w14:textId="3783E637" w:rsidR="0006765B" w:rsidRDefault="0006765B" w:rsidP="007731FA">
            <w:pPr>
              <w:jc w:val="center"/>
            </w:pPr>
            <w:r>
              <w:t>£</w:t>
            </w:r>
            <w:r w:rsidR="00F62B31" w:rsidRPr="00F62B31">
              <w:t>9,904</w:t>
            </w:r>
          </w:p>
        </w:tc>
      </w:tr>
      <w:tr w:rsidR="0006765B" w14:paraId="0691D7B6" w14:textId="77777777" w:rsidTr="007731FA">
        <w:tc>
          <w:tcPr>
            <w:tcW w:w="2405" w:type="dxa"/>
            <w:shd w:val="clear" w:color="auto" w:fill="BFBFBF" w:themeFill="background1" w:themeFillShade="BF"/>
          </w:tcPr>
          <w:p w14:paraId="4C6577C5" w14:textId="77777777" w:rsidR="0006765B" w:rsidRDefault="0006765B" w:rsidP="007731FA"/>
        </w:tc>
        <w:tc>
          <w:tcPr>
            <w:tcW w:w="2196" w:type="dxa"/>
            <w:shd w:val="clear" w:color="auto" w:fill="BFBFBF" w:themeFill="background1" w:themeFillShade="BF"/>
          </w:tcPr>
          <w:p w14:paraId="6BB08BB8" w14:textId="145D6F41" w:rsidR="0006765B" w:rsidRDefault="0006765B" w:rsidP="007731FA">
            <w:pPr>
              <w:jc w:val="center"/>
            </w:pPr>
            <w:r>
              <w:t>£</w:t>
            </w:r>
            <w:r w:rsidR="00037AB9" w:rsidRPr="00037AB9">
              <w:t>50,480</w:t>
            </w:r>
          </w:p>
        </w:tc>
        <w:tc>
          <w:tcPr>
            <w:tcW w:w="2324" w:type="dxa"/>
            <w:shd w:val="clear" w:color="auto" w:fill="BFBFBF" w:themeFill="background1" w:themeFillShade="BF"/>
          </w:tcPr>
          <w:p w14:paraId="6EECF2CC" w14:textId="77777777" w:rsidR="0006765B" w:rsidRDefault="0006765B" w:rsidP="007731FA">
            <w:pPr>
              <w:jc w:val="center"/>
            </w:pPr>
            <w:r>
              <w:t>40%</w:t>
            </w:r>
          </w:p>
        </w:tc>
        <w:tc>
          <w:tcPr>
            <w:tcW w:w="2425" w:type="dxa"/>
            <w:shd w:val="clear" w:color="auto" w:fill="BFBFBF" w:themeFill="background1" w:themeFillShade="BF"/>
          </w:tcPr>
          <w:p w14:paraId="132B7E1D" w14:textId="0234BECA" w:rsidR="0006765B" w:rsidRDefault="0006765B" w:rsidP="007731FA">
            <w:pPr>
              <w:jc w:val="center"/>
            </w:pPr>
            <w:r>
              <w:t>£</w:t>
            </w:r>
            <w:r w:rsidR="00850919" w:rsidRPr="00850919">
              <w:t>20,192</w:t>
            </w:r>
          </w:p>
        </w:tc>
      </w:tr>
      <w:tr w:rsidR="0006765B" w14:paraId="07FB72AD" w14:textId="77777777" w:rsidTr="007731FA">
        <w:tc>
          <w:tcPr>
            <w:tcW w:w="2405" w:type="dxa"/>
            <w:shd w:val="clear" w:color="auto" w:fill="BFBFBF" w:themeFill="background1" w:themeFillShade="BF"/>
          </w:tcPr>
          <w:p w14:paraId="240D04EF" w14:textId="77777777" w:rsidR="0006765B" w:rsidRDefault="0006765B" w:rsidP="007731FA"/>
        </w:tc>
        <w:tc>
          <w:tcPr>
            <w:tcW w:w="2196" w:type="dxa"/>
            <w:shd w:val="clear" w:color="auto" w:fill="BFBFBF" w:themeFill="background1" w:themeFillShade="BF"/>
          </w:tcPr>
          <w:p w14:paraId="228317EC" w14:textId="1D6D356C" w:rsidR="0006765B" w:rsidRDefault="0006765B" w:rsidP="007731FA">
            <w:pPr>
              <w:jc w:val="center"/>
            </w:pPr>
            <w:r>
              <w:t>£</w:t>
            </w:r>
            <w:r w:rsidR="00850919">
              <w:t>0</w:t>
            </w:r>
          </w:p>
        </w:tc>
        <w:tc>
          <w:tcPr>
            <w:tcW w:w="2324" w:type="dxa"/>
            <w:shd w:val="clear" w:color="auto" w:fill="BFBFBF" w:themeFill="background1" w:themeFillShade="BF"/>
          </w:tcPr>
          <w:p w14:paraId="1A397D12" w14:textId="77777777" w:rsidR="0006765B" w:rsidRDefault="0006765B" w:rsidP="007731FA">
            <w:pPr>
              <w:jc w:val="center"/>
            </w:pPr>
            <w:r>
              <w:t>45%</w:t>
            </w:r>
          </w:p>
        </w:tc>
        <w:tc>
          <w:tcPr>
            <w:tcW w:w="2425" w:type="dxa"/>
            <w:shd w:val="clear" w:color="auto" w:fill="BFBFBF" w:themeFill="background1" w:themeFillShade="BF"/>
          </w:tcPr>
          <w:p w14:paraId="2A7FE831" w14:textId="095BB7BB" w:rsidR="0006765B" w:rsidRDefault="0006765B" w:rsidP="007731FA">
            <w:pPr>
              <w:jc w:val="center"/>
            </w:pPr>
            <w:r>
              <w:t>£</w:t>
            </w:r>
            <w:r w:rsidR="00850919">
              <w:t>0</w:t>
            </w:r>
          </w:p>
        </w:tc>
      </w:tr>
      <w:tr w:rsidR="0006765B" w:rsidRPr="00AF1059" w14:paraId="72D1B388" w14:textId="77777777" w:rsidTr="007731FA">
        <w:tc>
          <w:tcPr>
            <w:tcW w:w="2405" w:type="dxa"/>
            <w:shd w:val="clear" w:color="auto" w:fill="000000" w:themeFill="text1"/>
          </w:tcPr>
          <w:p w14:paraId="546B0647" w14:textId="77777777" w:rsidR="0006765B" w:rsidRPr="00AF1059" w:rsidRDefault="0006765B" w:rsidP="007731FA">
            <w:pPr>
              <w:rPr>
                <w:b/>
                <w:bCs/>
              </w:rPr>
            </w:pPr>
            <w:r w:rsidRPr="00AF1059">
              <w:rPr>
                <w:b/>
                <w:bCs/>
              </w:rPr>
              <w:t>Total</w:t>
            </w:r>
          </w:p>
        </w:tc>
        <w:tc>
          <w:tcPr>
            <w:tcW w:w="2196" w:type="dxa"/>
            <w:shd w:val="clear" w:color="auto" w:fill="000000" w:themeFill="text1"/>
          </w:tcPr>
          <w:p w14:paraId="28DCAACF" w14:textId="77777777" w:rsidR="0006765B" w:rsidRPr="00AF1059" w:rsidRDefault="0006765B" w:rsidP="007731FA">
            <w:pPr>
              <w:jc w:val="center"/>
              <w:rPr>
                <w:b/>
                <w:bCs/>
              </w:rPr>
            </w:pPr>
            <w:r w:rsidRPr="00AF1059">
              <w:rPr>
                <w:b/>
                <w:bCs/>
              </w:rPr>
              <w:t>£</w:t>
            </w:r>
            <w:r>
              <w:rPr>
                <w:b/>
                <w:bCs/>
              </w:rPr>
              <w:t>200,000</w:t>
            </w:r>
          </w:p>
        </w:tc>
        <w:tc>
          <w:tcPr>
            <w:tcW w:w="2324" w:type="dxa"/>
            <w:shd w:val="clear" w:color="auto" w:fill="000000" w:themeFill="text1"/>
          </w:tcPr>
          <w:p w14:paraId="349198F2" w14:textId="77777777" w:rsidR="0006765B" w:rsidRPr="00AF1059" w:rsidRDefault="0006765B" w:rsidP="007731FA">
            <w:pPr>
              <w:jc w:val="center"/>
              <w:rPr>
                <w:b/>
                <w:bCs/>
              </w:rPr>
            </w:pPr>
          </w:p>
        </w:tc>
        <w:tc>
          <w:tcPr>
            <w:tcW w:w="2425" w:type="dxa"/>
            <w:shd w:val="clear" w:color="auto" w:fill="000000" w:themeFill="text1"/>
          </w:tcPr>
          <w:p w14:paraId="50A55C45" w14:textId="08B6FEAE" w:rsidR="0006765B" w:rsidRPr="00AF1059" w:rsidRDefault="0006765B" w:rsidP="007731FA">
            <w:pPr>
              <w:jc w:val="center"/>
              <w:rPr>
                <w:b/>
                <w:bCs/>
              </w:rPr>
            </w:pPr>
            <w:r w:rsidRPr="00AF1059">
              <w:rPr>
                <w:b/>
                <w:bCs/>
              </w:rPr>
              <w:t>£</w:t>
            </w:r>
            <w:r w:rsidR="00B118DD" w:rsidRPr="00B118DD">
              <w:rPr>
                <w:b/>
                <w:bCs/>
              </w:rPr>
              <w:t>47,532</w:t>
            </w:r>
          </w:p>
        </w:tc>
      </w:tr>
      <w:tr w:rsidR="0006765B" w:rsidRPr="009A0175" w14:paraId="7D40CF5D" w14:textId="77777777" w:rsidTr="007731FA">
        <w:tc>
          <w:tcPr>
            <w:tcW w:w="2405" w:type="dxa"/>
            <w:shd w:val="clear" w:color="auto" w:fill="F2F2F2" w:themeFill="background1" w:themeFillShade="F2"/>
          </w:tcPr>
          <w:p w14:paraId="71E15AE5" w14:textId="77777777" w:rsidR="0006765B" w:rsidRPr="008F0E1D" w:rsidRDefault="0006765B" w:rsidP="007731FA">
            <w:r w:rsidRPr="008F0E1D">
              <w:t>Onshore Tax Credit</w:t>
            </w:r>
          </w:p>
        </w:tc>
        <w:tc>
          <w:tcPr>
            <w:tcW w:w="2196" w:type="dxa"/>
            <w:shd w:val="clear" w:color="auto" w:fill="F2F2F2" w:themeFill="background1" w:themeFillShade="F2"/>
          </w:tcPr>
          <w:p w14:paraId="6D68F202" w14:textId="77777777" w:rsidR="0006765B" w:rsidRPr="009A0175" w:rsidRDefault="0006765B" w:rsidP="007731FA">
            <w:pPr>
              <w:jc w:val="center"/>
            </w:pPr>
            <w:r w:rsidRPr="009A0175">
              <w:t>(£</w:t>
            </w:r>
            <w:r>
              <w:t>100,000</w:t>
            </w:r>
            <w:r w:rsidRPr="009A0175">
              <w:t>)</w:t>
            </w:r>
          </w:p>
        </w:tc>
        <w:tc>
          <w:tcPr>
            <w:tcW w:w="2324" w:type="dxa"/>
            <w:shd w:val="clear" w:color="auto" w:fill="F2F2F2" w:themeFill="background1" w:themeFillShade="F2"/>
          </w:tcPr>
          <w:p w14:paraId="6E192970" w14:textId="77777777" w:rsidR="0006765B" w:rsidRPr="009A0175" w:rsidRDefault="0006765B" w:rsidP="007731FA">
            <w:pPr>
              <w:jc w:val="center"/>
            </w:pPr>
            <w:r>
              <w:t>0</w:t>
            </w:r>
            <w:r w:rsidRPr="009A0175">
              <w:t>%</w:t>
            </w:r>
          </w:p>
        </w:tc>
        <w:tc>
          <w:tcPr>
            <w:tcW w:w="2425" w:type="dxa"/>
            <w:shd w:val="clear" w:color="auto" w:fill="F2F2F2" w:themeFill="background1" w:themeFillShade="F2"/>
          </w:tcPr>
          <w:p w14:paraId="5657B17C" w14:textId="77777777" w:rsidR="0006765B" w:rsidRPr="009A0175" w:rsidRDefault="0006765B" w:rsidP="007731FA">
            <w:pPr>
              <w:jc w:val="center"/>
            </w:pPr>
            <w:r w:rsidRPr="009A0175">
              <w:t>(</w:t>
            </w:r>
            <w:r>
              <w:t>£0</w:t>
            </w:r>
            <w:r w:rsidRPr="009A0175">
              <w:t>)</w:t>
            </w:r>
          </w:p>
        </w:tc>
      </w:tr>
      <w:tr w:rsidR="0006765B" w:rsidRPr="00746D6D" w14:paraId="42032E3D" w14:textId="77777777" w:rsidTr="007731FA">
        <w:tc>
          <w:tcPr>
            <w:tcW w:w="2405" w:type="dxa"/>
            <w:shd w:val="clear" w:color="auto" w:fill="F2F2F2" w:themeFill="background1" w:themeFillShade="F2"/>
          </w:tcPr>
          <w:p w14:paraId="3A602383" w14:textId="77777777" w:rsidR="0006765B" w:rsidRPr="00644F44" w:rsidRDefault="0006765B" w:rsidP="007731FA">
            <w:r w:rsidRPr="00644F44">
              <w:t>Top-Slicing Relief</w:t>
            </w:r>
          </w:p>
        </w:tc>
        <w:tc>
          <w:tcPr>
            <w:tcW w:w="2196" w:type="dxa"/>
            <w:shd w:val="clear" w:color="auto" w:fill="F2F2F2" w:themeFill="background1" w:themeFillShade="F2"/>
          </w:tcPr>
          <w:p w14:paraId="153F34D4" w14:textId="77777777" w:rsidR="0006765B" w:rsidRPr="00746D6D" w:rsidRDefault="0006765B" w:rsidP="007731FA">
            <w:pPr>
              <w:jc w:val="center"/>
            </w:pPr>
          </w:p>
        </w:tc>
        <w:tc>
          <w:tcPr>
            <w:tcW w:w="2324" w:type="dxa"/>
            <w:shd w:val="clear" w:color="auto" w:fill="F2F2F2" w:themeFill="background1" w:themeFillShade="F2"/>
          </w:tcPr>
          <w:p w14:paraId="34DA737F" w14:textId="77777777" w:rsidR="0006765B" w:rsidRPr="00746D6D" w:rsidRDefault="0006765B" w:rsidP="007731FA">
            <w:pPr>
              <w:jc w:val="center"/>
            </w:pPr>
          </w:p>
        </w:tc>
        <w:tc>
          <w:tcPr>
            <w:tcW w:w="2425" w:type="dxa"/>
            <w:shd w:val="clear" w:color="auto" w:fill="F2F2F2" w:themeFill="background1" w:themeFillShade="F2"/>
          </w:tcPr>
          <w:p w14:paraId="3B8D97BE" w14:textId="04917084" w:rsidR="0006765B" w:rsidRPr="00746D6D" w:rsidRDefault="00F72455" w:rsidP="007731FA">
            <w:pPr>
              <w:jc w:val="center"/>
            </w:pPr>
            <w:r>
              <w:t>(£</w:t>
            </w:r>
            <w:r w:rsidR="00C87C4E">
              <w:t>1</w:t>
            </w:r>
            <w:r>
              <w:t>0,096)</w:t>
            </w:r>
          </w:p>
        </w:tc>
      </w:tr>
      <w:tr w:rsidR="0006765B" w:rsidRPr="00AF1059" w14:paraId="03310523" w14:textId="77777777" w:rsidTr="007731FA">
        <w:tc>
          <w:tcPr>
            <w:tcW w:w="2405" w:type="dxa"/>
            <w:shd w:val="clear" w:color="auto" w:fill="000000" w:themeFill="text1"/>
          </w:tcPr>
          <w:p w14:paraId="0F11A850" w14:textId="77777777" w:rsidR="0006765B" w:rsidRPr="00AF1059" w:rsidRDefault="0006765B" w:rsidP="007731FA">
            <w:pPr>
              <w:rPr>
                <w:b/>
                <w:bCs/>
              </w:rPr>
            </w:pPr>
            <w:r>
              <w:rPr>
                <w:b/>
                <w:bCs/>
              </w:rPr>
              <w:t>Actual Tax Due</w:t>
            </w:r>
          </w:p>
        </w:tc>
        <w:tc>
          <w:tcPr>
            <w:tcW w:w="2196" w:type="dxa"/>
            <w:shd w:val="clear" w:color="auto" w:fill="000000" w:themeFill="text1"/>
          </w:tcPr>
          <w:p w14:paraId="3372C9D9" w14:textId="77777777" w:rsidR="0006765B" w:rsidRPr="00AF1059" w:rsidRDefault="0006765B" w:rsidP="007731FA">
            <w:pPr>
              <w:jc w:val="center"/>
              <w:rPr>
                <w:b/>
                <w:bCs/>
              </w:rPr>
            </w:pPr>
          </w:p>
        </w:tc>
        <w:tc>
          <w:tcPr>
            <w:tcW w:w="2324" w:type="dxa"/>
            <w:shd w:val="clear" w:color="auto" w:fill="000000" w:themeFill="text1"/>
          </w:tcPr>
          <w:p w14:paraId="55B659EE" w14:textId="77777777" w:rsidR="0006765B" w:rsidRPr="00AF1059" w:rsidRDefault="0006765B" w:rsidP="007731FA">
            <w:pPr>
              <w:jc w:val="center"/>
              <w:rPr>
                <w:b/>
                <w:bCs/>
              </w:rPr>
            </w:pPr>
          </w:p>
        </w:tc>
        <w:tc>
          <w:tcPr>
            <w:tcW w:w="2425" w:type="dxa"/>
            <w:shd w:val="clear" w:color="auto" w:fill="000000" w:themeFill="text1"/>
          </w:tcPr>
          <w:p w14:paraId="4FA4DFF8" w14:textId="438D5760" w:rsidR="0006765B" w:rsidRPr="00AF1059" w:rsidRDefault="0006765B" w:rsidP="007731FA">
            <w:pPr>
              <w:jc w:val="center"/>
              <w:rPr>
                <w:b/>
                <w:bCs/>
              </w:rPr>
            </w:pPr>
            <w:r>
              <w:rPr>
                <w:b/>
                <w:bCs/>
              </w:rPr>
              <w:t>£</w:t>
            </w:r>
            <w:r w:rsidR="004D6FDA">
              <w:rPr>
                <w:b/>
                <w:bCs/>
              </w:rPr>
              <w:t>3</w:t>
            </w:r>
            <w:r w:rsidR="00F53B7C" w:rsidRPr="00F53B7C">
              <w:rPr>
                <w:b/>
                <w:bCs/>
              </w:rPr>
              <w:t>7,436</w:t>
            </w:r>
          </w:p>
        </w:tc>
      </w:tr>
    </w:tbl>
    <w:p w14:paraId="395D0C09" w14:textId="77777777" w:rsidR="00297441" w:rsidRPr="00297441" w:rsidRDefault="00297441" w:rsidP="00297441"/>
    <w:p w14:paraId="6E5E9E62" w14:textId="77777777" w:rsidR="0050506B" w:rsidRDefault="0050506B" w:rsidP="0050506B">
      <w:pPr>
        <w:pBdr>
          <w:top w:val="single" w:sz="4" w:space="1" w:color="auto"/>
          <w:left w:val="single" w:sz="4" w:space="4" w:color="auto"/>
          <w:bottom w:val="single" w:sz="4" w:space="1" w:color="auto"/>
          <w:right w:val="single" w:sz="4" w:space="4" w:color="auto"/>
        </w:pBdr>
      </w:pPr>
      <w:r>
        <w:lastRenderedPageBreak/>
        <w:t>Top-slicing relief was calculated as follows:</w:t>
      </w:r>
    </w:p>
    <w:p w14:paraId="3EEF0731" w14:textId="5E629BBF" w:rsidR="0050506B" w:rsidRDefault="0050506B" w:rsidP="0050506B">
      <w:pPr>
        <w:pBdr>
          <w:top w:val="single" w:sz="4" w:space="1" w:color="auto"/>
          <w:left w:val="single" w:sz="4" w:space="4" w:color="auto"/>
          <w:bottom w:val="single" w:sz="4" w:space="1" w:color="auto"/>
          <w:right w:val="single" w:sz="4" w:space="4" w:color="auto"/>
        </w:pBdr>
      </w:pPr>
      <w:r>
        <w:t>A = £</w:t>
      </w:r>
      <w:r w:rsidR="00586385" w:rsidRPr="00586385">
        <w:t>30,096</w:t>
      </w:r>
      <w:r>
        <w:t xml:space="preserve"> - £</w:t>
      </w:r>
      <w:r w:rsidR="00C87C4E">
        <w:t>2</w:t>
      </w:r>
      <w:r>
        <w:t>0,000</w:t>
      </w:r>
      <w:r w:rsidR="00C87C4E">
        <w:t xml:space="preserve"> onshore credit</w:t>
      </w:r>
      <w:r>
        <w:t xml:space="preserve"> = £</w:t>
      </w:r>
      <w:r w:rsidR="00C87C4E">
        <w:t>1</w:t>
      </w:r>
      <w:r w:rsidR="00E82A89">
        <w:t>0,096</w:t>
      </w:r>
    </w:p>
    <w:p w14:paraId="72F3CAB9" w14:textId="09F4A4E3" w:rsidR="0050506B" w:rsidRDefault="0050506B" w:rsidP="0050506B">
      <w:pPr>
        <w:pBdr>
          <w:top w:val="single" w:sz="4" w:space="1" w:color="auto"/>
          <w:left w:val="single" w:sz="4" w:space="4" w:color="auto"/>
          <w:bottom w:val="single" w:sz="4" w:space="1" w:color="auto"/>
          <w:right w:val="single" w:sz="4" w:space="4" w:color="auto"/>
        </w:pBdr>
      </w:pPr>
      <w:r>
        <w:t>B = £</w:t>
      </w:r>
      <w:r w:rsidR="00752E5C">
        <w:t>100,000</w:t>
      </w:r>
      <w:r>
        <w:t xml:space="preserve"> / </w:t>
      </w:r>
      <w:r w:rsidR="00752E5C">
        <w:t>10</w:t>
      </w:r>
      <w:r>
        <w:t xml:space="preserve"> = £10,000.</w:t>
      </w:r>
      <w:r w:rsidR="00E30864">
        <w:t xml:space="preserve"> </w:t>
      </w:r>
      <w:r>
        <w:t>The full £10,000 falls into the basic rate band and is taxed at 20% which is £2,000. The onshore credit on the slice is also £2,000. £2,000 - £2,000 = £0. £0 x 5 years = £0. B = £0.</w:t>
      </w:r>
    </w:p>
    <w:p w14:paraId="0DB518F1" w14:textId="08F61524" w:rsidR="0050506B" w:rsidRDefault="0050506B" w:rsidP="0050506B">
      <w:pPr>
        <w:pBdr>
          <w:top w:val="single" w:sz="4" w:space="1" w:color="auto"/>
          <w:left w:val="single" w:sz="4" w:space="4" w:color="auto"/>
          <w:bottom w:val="single" w:sz="4" w:space="1" w:color="auto"/>
          <w:right w:val="single" w:sz="4" w:space="4" w:color="auto"/>
        </w:pBdr>
      </w:pPr>
      <w:r>
        <w:t>A – B = £</w:t>
      </w:r>
      <w:r w:rsidR="00C87C4E">
        <w:t>1</w:t>
      </w:r>
      <w:r w:rsidR="00752E5C">
        <w:t>0</w:t>
      </w:r>
      <w:r>
        <w:t>,</w:t>
      </w:r>
      <w:r w:rsidR="00752E5C">
        <w:t>096</w:t>
      </w:r>
      <w:r>
        <w:t xml:space="preserve"> - £0 = £</w:t>
      </w:r>
      <w:r w:rsidR="00C87C4E">
        <w:t>1</w:t>
      </w:r>
      <w:r w:rsidR="007A2FFA">
        <w:t>0</w:t>
      </w:r>
      <w:r>
        <w:t>,0</w:t>
      </w:r>
      <w:r w:rsidR="007A2FFA">
        <w:t>96</w:t>
      </w:r>
    </w:p>
    <w:p w14:paraId="2B71A452" w14:textId="77777777" w:rsidR="007340FF" w:rsidRDefault="007340FF" w:rsidP="00731B9A"/>
    <w:p w14:paraId="29C8E222" w14:textId="5195BAE4" w:rsidR="00F53B7C" w:rsidRDefault="00F53B7C" w:rsidP="00F53B7C">
      <w:r>
        <w:t>The pension contribution has extended the basic-rate band by the gross contribution of £</w:t>
      </w:r>
      <w:r w:rsidR="00795BC1">
        <w:t>99</w:t>
      </w:r>
      <w:r>
        <w:t>,</w:t>
      </w:r>
      <w:r w:rsidR="00795BC1">
        <w:t>5</w:t>
      </w:r>
      <w:r>
        <w:t>00. Now, £</w:t>
      </w:r>
      <w:r w:rsidR="00FD4A27">
        <w:t>49,520</w:t>
      </w:r>
      <w:r>
        <w:t xml:space="preserve"> of the chargeable gain is assessed at basic-rate, with just </w:t>
      </w:r>
      <w:r w:rsidR="00FD4A27">
        <w:t>£50,480</w:t>
      </w:r>
      <w:r>
        <w:t xml:space="preserve"> at higher-rate.</w:t>
      </w:r>
    </w:p>
    <w:p w14:paraId="1A97FE8F" w14:textId="77777777" w:rsidR="00F53B7C" w:rsidRDefault="00F53B7C" w:rsidP="00F53B7C"/>
    <w:p w14:paraId="540D6883" w14:textId="6DBD7214" w:rsidR="00F53B7C" w:rsidRDefault="00F53B7C" w:rsidP="00F53B7C">
      <w:r>
        <w:t>The result is that we’ve had, from paying in £</w:t>
      </w:r>
      <w:r w:rsidR="00915D52">
        <w:t>7</w:t>
      </w:r>
      <w:r w:rsidR="00FD4A27">
        <w:t>9</w:t>
      </w:r>
      <w:r>
        <w:t>,</w:t>
      </w:r>
      <w:r w:rsidR="00915D52">
        <w:t>6</w:t>
      </w:r>
      <w:r>
        <w:t>00 into our pension:</w:t>
      </w:r>
    </w:p>
    <w:p w14:paraId="216F4065" w14:textId="6A29D10A" w:rsidR="00F53B7C" w:rsidRDefault="00F53B7C" w:rsidP="00F53B7C">
      <w:pPr>
        <w:pStyle w:val="ListParagraph"/>
        <w:numPr>
          <w:ilvl w:val="0"/>
          <w:numId w:val="10"/>
        </w:numPr>
      </w:pPr>
      <w:r>
        <w:t>£</w:t>
      </w:r>
      <w:r w:rsidR="00A8200B" w:rsidRPr="00A8200B">
        <w:t>19,900</w:t>
      </w:r>
      <w:r>
        <w:t xml:space="preserve"> relief at source within the pension.</w:t>
      </w:r>
    </w:p>
    <w:p w14:paraId="440639E8" w14:textId="09D1BD97" w:rsidR="00F53B7C" w:rsidRDefault="00F53B7C" w:rsidP="00F53B7C">
      <w:pPr>
        <w:pStyle w:val="ListParagraph"/>
        <w:numPr>
          <w:ilvl w:val="0"/>
          <w:numId w:val="10"/>
        </w:numPr>
      </w:pPr>
      <w:r>
        <w:t>We’ve extended our basic-rate band, saving us an additional £</w:t>
      </w:r>
      <w:r w:rsidR="0063421A">
        <w:t>2</w:t>
      </w:r>
      <w:r w:rsidR="00425B1E" w:rsidRPr="00425B1E">
        <w:t>7,228</w:t>
      </w:r>
      <w:r>
        <w:t xml:space="preserve"> of Income Tax. This is known as “higher-rate tax relief” for pension contributions and reinforces the idea that pension contributions receive tax relief at the member’s highest marginal rate.</w:t>
      </w:r>
      <w:r w:rsidR="006A0B1F">
        <w:t xml:space="preserve"> The higher-rate relief is combined with recovery of our Personal Allowance and PSA.</w:t>
      </w:r>
    </w:p>
    <w:p w14:paraId="3DE8639B" w14:textId="76BF9F65" w:rsidR="00F53B7C" w:rsidRDefault="00F53B7C" w:rsidP="00F53B7C">
      <w:pPr>
        <w:pStyle w:val="ListParagraph"/>
        <w:numPr>
          <w:ilvl w:val="0"/>
          <w:numId w:val="10"/>
        </w:numPr>
      </w:pPr>
      <w:r>
        <w:t>We’ve increased our top-slicing relief by £</w:t>
      </w:r>
      <w:r w:rsidR="00C771A1" w:rsidRPr="00C771A1">
        <w:t>7,596</w:t>
      </w:r>
      <w:r>
        <w:t xml:space="preserve"> to £</w:t>
      </w:r>
      <w:r w:rsidR="00AC72A9">
        <w:t>10</w:t>
      </w:r>
      <w:r>
        <w:t>,0</w:t>
      </w:r>
      <w:r w:rsidR="00C771A1">
        <w:t>96</w:t>
      </w:r>
      <w:r>
        <w:t>. This is the maximum amount of top-slicing relief we can get (because ‘B’ is £0) and means we’re paying no higher-rate Income Tax on the bond – everything has been covered by the onshore tax credit.</w:t>
      </w:r>
    </w:p>
    <w:p w14:paraId="1742017C" w14:textId="77777777" w:rsidR="00F53B7C" w:rsidRDefault="00F53B7C" w:rsidP="00F53B7C"/>
    <w:p w14:paraId="5A3FB329" w14:textId="3EC5DC71" w:rsidR="00F53B7C" w:rsidRPr="0083620D" w:rsidRDefault="00F53B7C" w:rsidP="00F53B7C">
      <w:pPr>
        <w:pBdr>
          <w:top w:val="single" w:sz="4" w:space="1" w:color="auto"/>
          <w:left w:val="single" w:sz="4" w:space="4" w:color="auto"/>
          <w:bottom w:val="single" w:sz="4" w:space="1" w:color="auto"/>
          <w:right w:val="single" w:sz="4" w:space="4" w:color="auto"/>
        </w:pBdr>
        <w:rPr>
          <w:b/>
          <w:bCs/>
        </w:rPr>
      </w:pPr>
      <w:r w:rsidRPr="0083620D">
        <w:rPr>
          <w:b/>
          <w:bCs/>
        </w:rPr>
        <w:t>For our £</w:t>
      </w:r>
      <w:r w:rsidR="00C771A1">
        <w:rPr>
          <w:b/>
          <w:bCs/>
        </w:rPr>
        <w:t>99,500</w:t>
      </w:r>
      <w:r w:rsidRPr="0083620D">
        <w:rPr>
          <w:b/>
          <w:bCs/>
        </w:rPr>
        <w:t xml:space="preserve"> pension contribution, we have received £</w:t>
      </w:r>
      <w:r w:rsidR="00D05C8B" w:rsidRPr="00D05C8B">
        <w:rPr>
          <w:b/>
          <w:bCs/>
        </w:rPr>
        <w:t>54,924</w:t>
      </w:r>
      <w:r w:rsidRPr="0083620D">
        <w:rPr>
          <w:b/>
          <w:bCs/>
        </w:rPr>
        <w:t xml:space="preserve"> in tax relief, of which £</w:t>
      </w:r>
      <w:r w:rsidR="004D2477">
        <w:rPr>
          <w:b/>
          <w:bCs/>
        </w:rPr>
        <w:t>19,900</w:t>
      </w:r>
      <w:r w:rsidRPr="0083620D">
        <w:rPr>
          <w:b/>
          <w:bCs/>
        </w:rPr>
        <w:t xml:space="preserve"> is in the pension (via relief at source) and </w:t>
      </w:r>
      <w:r w:rsidR="004D2477">
        <w:rPr>
          <w:b/>
          <w:bCs/>
        </w:rPr>
        <w:t>£</w:t>
      </w:r>
      <w:r w:rsidR="00863C37">
        <w:rPr>
          <w:b/>
          <w:bCs/>
        </w:rPr>
        <w:t>35</w:t>
      </w:r>
      <w:r w:rsidR="004D2477" w:rsidRPr="004D2477">
        <w:rPr>
          <w:b/>
          <w:bCs/>
        </w:rPr>
        <w:t>,</w:t>
      </w:r>
      <w:r w:rsidR="00863C37">
        <w:rPr>
          <w:b/>
          <w:bCs/>
        </w:rPr>
        <w:t>0</w:t>
      </w:r>
      <w:r w:rsidR="004D2477" w:rsidRPr="004D2477">
        <w:rPr>
          <w:b/>
          <w:bCs/>
        </w:rPr>
        <w:t>24</w:t>
      </w:r>
      <w:r w:rsidRPr="0083620D">
        <w:rPr>
          <w:b/>
          <w:bCs/>
        </w:rPr>
        <w:t xml:space="preserve"> in our pocket. This is effective tax relief of </w:t>
      </w:r>
      <w:r w:rsidR="00010B63">
        <w:rPr>
          <w:b/>
          <w:bCs/>
        </w:rPr>
        <w:t>55.2</w:t>
      </w:r>
      <w:r w:rsidRPr="0083620D">
        <w:rPr>
          <w:b/>
          <w:bCs/>
        </w:rPr>
        <w:t>%!</w:t>
      </w:r>
    </w:p>
    <w:p w14:paraId="279E2B09" w14:textId="77777777" w:rsidR="00F53B7C" w:rsidRDefault="00F53B7C" w:rsidP="00F53B7C"/>
    <w:p w14:paraId="79E5AE71" w14:textId="77777777" w:rsidR="00F53B7C" w:rsidRDefault="00F53B7C" w:rsidP="00F53B7C">
      <w:r>
        <w:t>The scenario can be compared side-by-side as follows:</w:t>
      </w:r>
    </w:p>
    <w:p w14:paraId="7B620B66" w14:textId="77777777" w:rsidR="00F53B7C" w:rsidRDefault="00F53B7C" w:rsidP="00F53B7C"/>
    <w:tbl>
      <w:tblPr>
        <w:tblStyle w:val="TableGrid"/>
        <w:tblW w:w="0" w:type="auto"/>
        <w:tblLook w:val="04A0" w:firstRow="1" w:lastRow="0" w:firstColumn="1" w:lastColumn="0" w:noHBand="0" w:noVBand="1"/>
      </w:tblPr>
      <w:tblGrid>
        <w:gridCol w:w="3116"/>
        <w:gridCol w:w="3117"/>
        <w:gridCol w:w="3117"/>
      </w:tblGrid>
      <w:tr w:rsidR="00F53B7C" w14:paraId="3F318BA1" w14:textId="77777777" w:rsidTr="007731FA">
        <w:tc>
          <w:tcPr>
            <w:tcW w:w="3116" w:type="dxa"/>
          </w:tcPr>
          <w:p w14:paraId="7B5C4D0D" w14:textId="77777777" w:rsidR="00F53B7C" w:rsidRDefault="00F53B7C" w:rsidP="007731FA"/>
        </w:tc>
        <w:tc>
          <w:tcPr>
            <w:tcW w:w="3117" w:type="dxa"/>
          </w:tcPr>
          <w:p w14:paraId="1F04D573" w14:textId="77777777" w:rsidR="00F53B7C" w:rsidRPr="007340FF" w:rsidRDefault="00F53B7C" w:rsidP="007731FA">
            <w:pPr>
              <w:jc w:val="center"/>
              <w:rPr>
                <w:b/>
                <w:bCs/>
              </w:rPr>
            </w:pPr>
            <w:r w:rsidRPr="007340FF">
              <w:rPr>
                <w:b/>
                <w:bCs/>
              </w:rPr>
              <w:t>Before Pension Contribution</w:t>
            </w:r>
          </w:p>
        </w:tc>
        <w:tc>
          <w:tcPr>
            <w:tcW w:w="3117" w:type="dxa"/>
          </w:tcPr>
          <w:p w14:paraId="177D5BA5" w14:textId="77777777" w:rsidR="00F53B7C" w:rsidRPr="007340FF" w:rsidRDefault="00F53B7C" w:rsidP="007731FA">
            <w:pPr>
              <w:jc w:val="center"/>
              <w:rPr>
                <w:b/>
                <w:bCs/>
              </w:rPr>
            </w:pPr>
            <w:r w:rsidRPr="007340FF">
              <w:rPr>
                <w:b/>
                <w:bCs/>
              </w:rPr>
              <w:t>After Pension Contribution</w:t>
            </w:r>
          </w:p>
        </w:tc>
      </w:tr>
      <w:tr w:rsidR="00F53B7C" w14:paraId="2D34B6F6" w14:textId="77777777" w:rsidTr="007731FA">
        <w:tc>
          <w:tcPr>
            <w:tcW w:w="3116" w:type="dxa"/>
          </w:tcPr>
          <w:p w14:paraId="6AC66C4A" w14:textId="77777777" w:rsidR="00F53B7C" w:rsidRDefault="00F53B7C" w:rsidP="007731FA">
            <w:r>
              <w:t>Tax paid on salary</w:t>
            </w:r>
          </w:p>
        </w:tc>
        <w:tc>
          <w:tcPr>
            <w:tcW w:w="3117" w:type="dxa"/>
          </w:tcPr>
          <w:p w14:paraId="593533B0" w14:textId="3340B99D" w:rsidR="00F53B7C" w:rsidRDefault="00656A65" w:rsidP="007731FA">
            <w:pPr>
              <w:jc w:val="center"/>
            </w:pPr>
            <w:r>
              <w:t>£</w:t>
            </w:r>
            <w:r w:rsidRPr="00656A65">
              <w:t>32,260</w:t>
            </w:r>
          </w:p>
        </w:tc>
        <w:tc>
          <w:tcPr>
            <w:tcW w:w="3117" w:type="dxa"/>
          </w:tcPr>
          <w:p w14:paraId="690CDAD9" w14:textId="73005BA6" w:rsidR="00F53B7C" w:rsidRDefault="00F7657C" w:rsidP="007731FA">
            <w:pPr>
              <w:jc w:val="center"/>
            </w:pPr>
            <w:r>
              <w:t>£17,436</w:t>
            </w:r>
          </w:p>
        </w:tc>
      </w:tr>
      <w:tr w:rsidR="00F53B7C" w14:paraId="750184AC" w14:textId="77777777" w:rsidTr="007731FA">
        <w:tc>
          <w:tcPr>
            <w:tcW w:w="3116" w:type="dxa"/>
          </w:tcPr>
          <w:p w14:paraId="5A5BC612" w14:textId="77777777" w:rsidR="00F53B7C" w:rsidRDefault="00F53B7C" w:rsidP="007731FA">
            <w:r>
              <w:t>Tax paid on savings</w:t>
            </w:r>
          </w:p>
        </w:tc>
        <w:tc>
          <w:tcPr>
            <w:tcW w:w="3117" w:type="dxa"/>
          </w:tcPr>
          <w:p w14:paraId="0DCA7E0E" w14:textId="430E78C1" w:rsidR="00F53B7C" w:rsidRDefault="00656A65" w:rsidP="007731FA">
            <w:pPr>
              <w:jc w:val="center"/>
            </w:pPr>
            <w:r>
              <w:t>£200</w:t>
            </w:r>
          </w:p>
        </w:tc>
        <w:tc>
          <w:tcPr>
            <w:tcW w:w="3117" w:type="dxa"/>
          </w:tcPr>
          <w:p w14:paraId="2C528693" w14:textId="089EB62E" w:rsidR="00F53B7C" w:rsidRDefault="00656A65" w:rsidP="007731FA">
            <w:pPr>
              <w:jc w:val="center"/>
            </w:pPr>
            <w:r>
              <w:t>£0</w:t>
            </w:r>
          </w:p>
        </w:tc>
      </w:tr>
      <w:tr w:rsidR="00F53B7C" w14:paraId="65ABFD2D" w14:textId="77777777" w:rsidTr="007731FA">
        <w:tc>
          <w:tcPr>
            <w:tcW w:w="3116" w:type="dxa"/>
          </w:tcPr>
          <w:p w14:paraId="564BC16E" w14:textId="77777777" w:rsidR="00F53B7C" w:rsidRDefault="00F53B7C" w:rsidP="007731FA">
            <w:r>
              <w:t>Gross tax on chargeable gain</w:t>
            </w:r>
          </w:p>
        </w:tc>
        <w:tc>
          <w:tcPr>
            <w:tcW w:w="3117" w:type="dxa"/>
          </w:tcPr>
          <w:p w14:paraId="3348780C" w14:textId="1EFF53DD" w:rsidR="00F53B7C" w:rsidRDefault="00656A65" w:rsidP="007731FA">
            <w:pPr>
              <w:jc w:val="center"/>
            </w:pPr>
            <w:r>
              <w:t>£42,500</w:t>
            </w:r>
          </w:p>
        </w:tc>
        <w:tc>
          <w:tcPr>
            <w:tcW w:w="3117" w:type="dxa"/>
          </w:tcPr>
          <w:p w14:paraId="7E322B17" w14:textId="3A475352" w:rsidR="00F53B7C" w:rsidRDefault="000809BF" w:rsidP="007731FA">
            <w:pPr>
              <w:jc w:val="center"/>
            </w:pPr>
            <w:r>
              <w:t>£</w:t>
            </w:r>
            <w:r w:rsidRPr="000809BF">
              <w:t>30,096</w:t>
            </w:r>
          </w:p>
        </w:tc>
      </w:tr>
      <w:tr w:rsidR="00F53B7C" w14:paraId="36A6A95B" w14:textId="77777777" w:rsidTr="007731FA">
        <w:tc>
          <w:tcPr>
            <w:tcW w:w="3116" w:type="dxa"/>
          </w:tcPr>
          <w:p w14:paraId="121C8FE0" w14:textId="77777777" w:rsidR="00F53B7C" w:rsidRDefault="00F53B7C" w:rsidP="007731FA">
            <w:r>
              <w:t>Total gross tax</w:t>
            </w:r>
          </w:p>
        </w:tc>
        <w:tc>
          <w:tcPr>
            <w:tcW w:w="3117" w:type="dxa"/>
          </w:tcPr>
          <w:p w14:paraId="6CC846C2" w14:textId="060DBAE0" w:rsidR="00F53B7C" w:rsidRDefault="000809BF" w:rsidP="007731FA">
            <w:pPr>
              <w:jc w:val="center"/>
            </w:pPr>
            <w:r>
              <w:t>£74,760</w:t>
            </w:r>
          </w:p>
        </w:tc>
        <w:tc>
          <w:tcPr>
            <w:tcW w:w="3117" w:type="dxa"/>
          </w:tcPr>
          <w:p w14:paraId="5A4F7E21" w14:textId="057CCDEC" w:rsidR="00F53B7C" w:rsidRDefault="000809BF" w:rsidP="007731FA">
            <w:pPr>
              <w:jc w:val="center"/>
            </w:pPr>
            <w:r>
              <w:t>£47,532</w:t>
            </w:r>
          </w:p>
        </w:tc>
      </w:tr>
      <w:tr w:rsidR="00F53B7C" w14:paraId="68C5D2CA" w14:textId="77777777" w:rsidTr="007731FA">
        <w:tc>
          <w:tcPr>
            <w:tcW w:w="3116" w:type="dxa"/>
          </w:tcPr>
          <w:p w14:paraId="32BBDB15" w14:textId="77777777" w:rsidR="00F53B7C" w:rsidRDefault="00F53B7C" w:rsidP="007731FA">
            <w:r>
              <w:t>Onshore tax credit</w:t>
            </w:r>
          </w:p>
        </w:tc>
        <w:tc>
          <w:tcPr>
            <w:tcW w:w="3117" w:type="dxa"/>
          </w:tcPr>
          <w:p w14:paraId="6BD071FE" w14:textId="40264E67" w:rsidR="00F53B7C" w:rsidRDefault="000809BF" w:rsidP="007731FA">
            <w:pPr>
              <w:jc w:val="center"/>
            </w:pPr>
            <w:r>
              <w:t>£10,000</w:t>
            </w:r>
          </w:p>
        </w:tc>
        <w:tc>
          <w:tcPr>
            <w:tcW w:w="3117" w:type="dxa"/>
          </w:tcPr>
          <w:p w14:paraId="36B21469" w14:textId="011B3678" w:rsidR="00F53B7C" w:rsidRDefault="000809BF" w:rsidP="007731FA">
            <w:pPr>
              <w:jc w:val="center"/>
            </w:pPr>
            <w:r>
              <w:t>£10,000</w:t>
            </w:r>
          </w:p>
        </w:tc>
      </w:tr>
      <w:tr w:rsidR="00F53B7C" w14:paraId="25BEE603" w14:textId="77777777" w:rsidTr="007731FA">
        <w:tc>
          <w:tcPr>
            <w:tcW w:w="3116" w:type="dxa"/>
          </w:tcPr>
          <w:p w14:paraId="083476A3" w14:textId="77777777" w:rsidR="00F53B7C" w:rsidRDefault="00F53B7C" w:rsidP="007731FA">
            <w:r>
              <w:t>Top-slicing relief</w:t>
            </w:r>
          </w:p>
        </w:tc>
        <w:tc>
          <w:tcPr>
            <w:tcW w:w="3117" w:type="dxa"/>
          </w:tcPr>
          <w:p w14:paraId="5FB80A3A" w14:textId="1F6BCFBF" w:rsidR="00F53B7C" w:rsidRDefault="000809BF" w:rsidP="007731FA">
            <w:pPr>
              <w:jc w:val="center"/>
            </w:pPr>
            <w:r>
              <w:t>£2,500</w:t>
            </w:r>
          </w:p>
        </w:tc>
        <w:tc>
          <w:tcPr>
            <w:tcW w:w="3117" w:type="dxa"/>
          </w:tcPr>
          <w:p w14:paraId="326D4A0F" w14:textId="7385FB8C" w:rsidR="00F53B7C" w:rsidRDefault="000809BF" w:rsidP="007731FA">
            <w:pPr>
              <w:jc w:val="center"/>
            </w:pPr>
            <w:r>
              <w:t>£</w:t>
            </w:r>
            <w:r w:rsidR="000F2D2C">
              <w:t>1</w:t>
            </w:r>
            <w:r>
              <w:t>0,096</w:t>
            </w:r>
          </w:p>
        </w:tc>
      </w:tr>
      <w:tr w:rsidR="00F53B7C" w14:paraId="6C2B4F51" w14:textId="77777777" w:rsidTr="007731FA">
        <w:tc>
          <w:tcPr>
            <w:tcW w:w="3116" w:type="dxa"/>
          </w:tcPr>
          <w:p w14:paraId="278ABC49" w14:textId="77777777" w:rsidR="00F53B7C" w:rsidRDefault="00F53B7C" w:rsidP="007731FA">
            <w:r>
              <w:t>Actual tax payable to HMRC</w:t>
            </w:r>
          </w:p>
        </w:tc>
        <w:tc>
          <w:tcPr>
            <w:tcW w:w="3117" w:type="dxa"/>
          </w:tcPr>
          <w:p w14:paraId="10660308" w14:textId="0AF68E2F" w:rsidR="00F53B7C" w:rsidRDefault="000809BF" w:rsidP="007731FA">
            <w:pPr>
              <w:jc w:val="center"/>
            </w:pPr>
            <w:r>
              <w:t>£72,</w:t>
            </w:r>
            <w:r w:rsidR="000F2D2C">
              <w:t>4</w:t>
            </w:r>
            <w:r>
              <w:t>60</w:t>
            </w:r>
          </w:p>
        </w:tc>
        <w:tc>
          <w:tcPr>
            <w:tcW w:w="3117" w:type="dxa"/>
          </w:tcPr>
          <w:p w14:paraId="348EFA76" w14:textId="6C9A0B41" w:rsidR="00F53B7C" w:rsidRDefault="000809BF" w:rsidP="007731FA">
            <w:pPr>
              <w:jc w:val="center"/>
            </w:pPr>
            <w:r>
              <w:t>£</w:t>
            </w:r>
            <w:r w:rsidR="001E701D">
              <w:t>3</w:t>
            </w:r>
            <w:r>
              <w:t>7,436</w:t>
            </w:r>
          </w:p>
        </w:tc>
      </w:tr>
      <w:tr w:rsidR="00F53B7C" w14:paraId="77652329" w14:textId="77777777" w:rsidTr="007731FA">
        <w:tc>
          <w:tcPr>
            <w:tcW w:w="3116" w:type="dxa"/>
          </w:tcPr>
          <w:p w14:paraId="548EB715" w14:textId="77777777" w:rsidR="00F53B7C" w:rsidRDefault="00F53B7C" w:rsidP="007731FA">
            <w:r>
              <w:t>Amount saved in a pension</w:t>
            </w:r>
          </w:p>
        </w:tc>
        <w:tc>
          <w:tcPr>
            <w:tcW w:w="3117" w:type="dxa"/>
          </w:tcPr>
          <w:p w14:paraId="021286C3" w14:textId="7E908FE4" w:rsidR="00F53B7C" w:rsidRDefault="000809BF" w:rsidP="007731FA">
            <w:pPr>
              <w:jc w:val="center"/>
            </w:pPr>
            <w:r>
              <w:t>£0</w:t>
            </w:r>
          </w:p>
        </w:tc>
        <w:tc>
          <w:tcPr>
            <w:tcW w:w="3117" w:type="dxa"/>
          </w:tcPr>
          <w:p w14:paraId="1BC88A0F" w14:textId="2AC9368E" w:rsidR="00F53B7C" w:rsidRDefault="000809BF" w:rsidP="007731FA">
            <w:pPr>
              <w:jc w:val="center"/>
            </w:pPr>
            <w:r>
              <w:t>£99,500</w:t>
            </w:r>
          </w:p>
        </w:tc>
      </w:tr>
    </w:tbl>
    <w:p w14:paraId="09933206" w14:textId="77777777" w:rsidR="007340FF" w:rsidRDefault="007340FF" w:rsidP="00731B9A"/>
    <w:p w14:paraId="2FBD94AB" w14:textId="77777777" w:rsidR="007340FF" w:rsidRDefault="007340FF" w:rsidP="00731B9A"/>
    <w:p w14:paraId="0879037F" w14:textId="77777777" w:rsidR="007340FF" w:rsidRDefault="007340FF" w:rsidP="00731B9A"/>
    <w:p w14:paraId="67205D46" w14:textId="429566CD" w:rsidR="007340FF" w:rsidRDefault="00BD5EF9" w:rsidP="00BD5EF9">
      <w:pPr>
        <w:pStyle w:val="Heading2"/>
      </w:pPr>
      <w:bookmarkStart w:id="26" w:name="_Toc187422050"/>
      <w:r>
        <w:t>Multiple Gains: Number of TSR Years</w:t>
      </w:r>
      <w:bookmarkEnd w:id="26"/>
    </w:p>
    <w:p w14:paraId="1D4E2498" w14:textId="77777777" w:rsidR="00BD5EF9" w:rsidRDefault="00BD5EF9" w:rsidP="00BD5EF9">
      <w:pPr>
        <w:tabs>
          <w:tab w:val="left" w:pos="3728"/>
        </w:tabs>
        <w:spacing w:after="160"/>
      </w:pPr>
    </w:p>
    <w:p w14:paraId="2B65C066" w14:textId="5FDB6610" w:rsidR="00BD5EF9" w:rsidRDefault="00BD5EF9" w:rsidP="00BD5EF9">
      <w:pPr>
        <w:tabs>
          <w:tab w:val="left" w:pos="3728"/>
        </w:tabs>
        <w:spacing w:after="160"/>
      </w:pPr>
      <w:r>
        <w:t>Where you have multiple investment bond chargeable gains arising in the same year, it is still done as a single calculation – to work out the years to use, take the sum of the gains and divide it by the sum of the slices, and this should be rounded to two decimal places.</w:t>
      </w:r>
      <w:r>
        <w:tab/>
      </w:r>
    </w:p>
    <w:p w14:paraId="0349FA3F" w14:textId="0E9D032C" w:rsidR="00FA5439" w:rsidRDefault="00FA5439" w:rsidP="00BD5EF9">
      <w:pPr>
        <w:tabs>
          <w:tab w:val="left" w:pos="3728"/>
        </w:tabs>
        <w:spacing w:after="160"/>
      </w:pPr>
    </w:p>
    <w:p w14:paraId="441DA82F" w14:textId="51FE1051" w:rsidR="005C1128" w:rsidRDefault="00F04227" w:rsidP="000443AB">
      <w:pPr>
        <w:pStyle w:val="Heading1"/>
      </w:pPr>
      <w:bookmarkStart w:id="27" w:name="_Toc187422051"/>
      <w:r>
        <w:lastRenderedPageBreak/>
        <w:t>Jointly Owned Bonds</w:t>
      </w:r>
      <w:bookmarkEnd w:id="27"/>
    </w:p>
    <w:p w14:paraId="3CEB1CD9" w14:textId="22BE935D" w:rsidR="000443AB" w:rsidRDefault="000443AB" w:rsidP="000443AB"/>
    <w:p w14:paraId="04282B29" w14:textId="2283ADD8" w:rsidR="000443AB" w:rsidRDefault="00BF5CD3" w:rsidP="000443AB">
      <w:r>
        <w:t>Two people</w:t>
      </w:r>
      <w:r w:rsidR="00351065">
        <w:t xml:space="preserve"> can own </w:t>
      </w:r>
      <w:r>
        <w:t xml:space="preserve">a single </w:t>
      </w:r>
      <w:r w:rsidR="00351065">
        <w:t>investment bond together. Most life offices allow this</w:t>
      </w:r>
      <w:r w:rsidR="00A26EFE">
        <w:t>, and the policyholders are known as “joint policyholders”.</w:t>
      </w:r>
      <w:r>
        <w:t xml:space="preserve"> Typically, these are married couples/long-term partners, but </w:t>
      </w:r>
      <w:r w:rsidR="00FF6468">
        <w:t>any two people can jointly own a bond.</w:t>
      </w:r>
    </w:p>
    <w:p w14:paraId="66E5D72F" w14:textId="1A7D1D4A" w:rsidR="00A26EFE" w:rsidRDefault="00A26EFE" w:rsidP="000443AB"/>
    <w:p w14:paraId="6C977DB5" w14:textId="4E69FC82" w:rsidR="00621848" w:rsidRDefault="00A36087" w:rsidP="000443AB">
      <w:r>
        <w:t>This means that they each own 100% of the bond. The ownership of the bond is fully shared</w:t>
      </w:r>
      <w:r w:rsidR="00FF6468">
        <w:t xml:space="preserve"> and is joint and several.</w:t>
      </w:r>
      <w:r w:rsidR="005A7384">
        <w:t xml:space="preserve"> Each policyholder has an equal right to the </w:t>
      </w:r>
      <w:r w:rsidR="00386C4E">
        <w:t>bond</w:t>
      </w:r>
      <w:r w:rsidR="005A7384">
        <w:t>.</w:t>
      </w:r>
      <w:r w:rsidR="00FF6468">
        <w:t xml:space="preserve"> As a jointly</w:t>
      </w:r>
      <w:r w:rsidR="00DF620D">
        <w:t xml:space="preserve"> </w:t>
      </w:r>
      <w:r w:rsidR="00FF6468">
        <w:t xml:space="preserve">owned asset, </w:t>
      </w:r>
      <w:r w:rsidR="00DF620D">
        <w:t xml:space="preserve">if one policyholder were to die, </w:t>
      </w:r>
      <w:r w:rsidR="00DF620D" w:rsidRPr="005A13F1">
        <w:rPr>
          <w:b/>
          <w:bCs/>
        </w:rPr>
        <w:t xml:space="preserve">the other would </w:t>
      </w:r>
      <w:r w:rsidR="005A13F1" w:rsidRPr="005A13F1">
        <w:rPr>
          <w:b/>
          <w:bCs/>
        </w:rPr>
        <w:t>become the sole owner of the entire bond</w:t>
      </w:r>
      <w:r w:rsidR="005A13F1">
        <w:t>, regardless of what is in their Will.</w:t>
      </w:r>
      <w:r w:rsidR="00046716">
        <w:t xml:space="preserve"> It is also possible to hold a bond jointly, but in unequal shares, for which there is a specific process involved to inform HMRC.</w:t>
      </w:r>
    </w:p>
    <w:p w14:paraId="4A7C320B" w14:textId="77777777" w:rsidR="00621848" w:rsidRDefault="00621848" w:rsidP="000443AB"/>
    <w:p w14:paraId="2A861CEF" w14:textId="6208921B" w:rsidR="00623047" w:rsidRDefault="00623047" w:rsidP="000443AB">
      <w:r>
        <w:t xml:space="preserve">It’s also possible to arrange ownership of a bond between two (or more) </w:t>
      </w:r>
      <w:r w:rsidR="0041766D">
        <w:t xml:space="preserve">policyholders, where each policyholder owns specific segments within the bond. </w:t>
      </w:r>
      <w:r w:rsidR="0041766D" w:rsidRPr="000C035D">
        <w:rPr>
          <w:b/>
          <w:bCs/>
        </w:rPr>
        <w:t xml:space="preserve">In practice, most life offices do not allow </w:t>
      </w:r>
      <w:r w:rsidR="000548F0" w:rsidRPr="000C035D">
        <w:rPr>
          <w:b/>
          <w:bCs/>
        </w:rPr>
        <w:t>bonds to be written this way because each policyholder might as well just write their own bond.</w:t>
      </w:r>
      <w:r w:rsidR="000548F0">
        <w:t xml:space="preserve"> However, </w:t>
      </w:r>
      <w:r w:rsidR="00F33814">
        <w:t>once a bond is written, it is possible to use a written document called a Deed of Assignment to assign individual segments to different p</w:t>
      </w:r>
      <w:r w:rsidR="006805BD">
        <w:t>eople or trusts</w:t>
      </w:r>
      <w:r w:rsidR="00F33814">
        <w:t>.</w:t>
      </w:r>
      <w:r w:rsidR="00B81F09">
        <w:t xml:space="preserve"> Each new policyholder can then encash their assigned segments </w:t>
      </w:r>
      <w:r w:rsidR="000C035D">
        <w:t>whenever they like. One re</w:t>
      </w:r>
      <w:r w:rsidR="00AF3E23">
        <w:t xml:space="preserve">ason it may be preferable to do this, rather than simply write different bonds, is due to the potential availability of fund-size discounts. This is a discount on the ongoing </w:t>
      </w:r>
      <w:r w:rsidR="00AD4258">
        <w:t xml:space="preserve">product </w:t>
      </w:r>
      <w:r w:rsidR="00AF3E23">
        <w:t xml:space="preserve">charge of the bond based on </w:t>
      </w:r>
      <w:r w:rsidR="00AD4258">
        <w:t>its value, with higher value bonds benefiting from larger discounts.</w:t>
      </w:r>
      <w:r w:rsidR="00191DF2">
        <w:t xml:space="preserve"> From an administration perspective, this can prove tricky to keep the bond as a single policy, and much like Lord Voldemort’s soul, </w:t>
      </w:r>
      <w:r w:rsidR="00A521AF">
        <w:t xml:space="preserve">once it has been torn into several pieces, it’s virtually unrecognisable. Life offices may decide to </w:t>
      </w:r>
      <w:r w:rsidR="00A3169C">
        <w:t xml:space="preserve">treat each policyholders’ segments as their own individual bonds, which also provides flexibility for </w:t>
      </w:r>
      <w:r w:rsidR="0090431C">
        <w:t xml:space="preserve">partial withdrawals and </w:t>
      </w:r>
      <w:r w:rsidR="00A3169C">
        <w:t>investment options as all segments of a bond need to be identical</w:t>
      </w:r>
      <w:r w:rsidR="0090431C">
        <w:t xml:space="preserve"> in terms of both value and investment</w:t>
      </w:r>
      <w:r w:rsidR="009119DF">
        <w:t xml:space="preserve"> choice.</w:t>
      </w:r>
    </w:p>
    <w:p w14:paraId="7DDA0ED0" w14:textId="31774F2E" w:rsidR="00583BBA" w:rsidRDefault="00583BBA" w:rsidP="000443AB"/>
    <w:p w14:paraId="492556E0" w14:textId="231B530E" w:rsidR="00583BBA" w:rsidRDefault="00583BBA" w:rsidP="000443AB">
      <w:r>
        <w:t xml:space="preserve">And, similar to Lord Voldemort’s soul, it could prove difficult from an administration perspective to </w:t>
      </w:r>
      <w:r w:rsidR="00B3536A">
        <w:t xml:space="preserve">put the bond back together. Theoretically you could use more Deeds of Assignment and </w:t>
      </w:r>
      <w:r w:rsidR="003F0353">
        <w:t>‘</w:t>
      </w:r>
      <w:r w:rsidR="00B3536A">
        <w:t>Frankenstein</w:t>
      </w:r>
      <w:r w:rsidR="003F0353">
        <w:t>’</w:t>
      </w:r>
      <w:r w:rsidR="00B3536A">
        <w:t xml:space="preserve"> </w:t>
      </w:r>
      <w:r w:rsidR="003F0353">
        <w:t>it, but it’s unlikely to be exactly as it was from the li</w:t>
      </w:r>
      <w:r w:rsidR="008E4628">
        <w:t>fe office’s perspective</w:t>
      </w:r>
      <w:r w:rsidR="00D47441">
        <w:t>.</w:t>
      </w:r>
    </w:p>
    <w:p w14:paraId="6A4E0218" w14:textId="4DB353E5" w:rsidR="00D47441" w:rsidRDefault="00D47441" w:rsidP="000443AB"/>
    <w:p w14:paraId="73A657B9" w14:textId="5EF6A8A7" w:rsidR="00D47441" w:rsidRPr="00192D3C" w:rsidRDefault="00475948" w:rsidP="00D47441">
      <w:pPr>
        <w:pBdr>
          <w:top w:val="single" w:sz="4" w:space="1" w:color="auto"/>
          <w:left w:val="single" w:sz="4" w:space="4" w:color="auto"/>
          <w:bottom w:val="single" w:sz="4" w:space="1" w:color="auto"/>
          <w:right w:val="single" w:sz="4" w:space="4" w:color="auto"/>
        </w:pBdr>
        <w:rPr>
          <w:b/>
          <w:bCs/>
        </w:rPr>
      </w:pPr>
      <w:r w:rsidRPr="00192D3C">
        <w:rPr>
          <w:b/>
          <w:bCs/>
        </w:rPr>
        <w:t>It remains to be seen if, like Lord Voldemort’s soul, one of the segments will attempt to hunt down and destroy the others…</w:t>
      </w:r>
    </w:p>
    <w:p w14:paraId="046C8BE7" w14:textId="533FD4D0" w:rsidR="006805BD" w:rsidRDefault="006805BD" w:rsidP="000443AB"/>
    <w:p w14:paraId="52D41CBB" w14:textId="212C5552" w:rsidR="006805BD" w:rsidRDefault="00621848" w:rsidP="000443AB">
      <w:r>
        <w:t xml:space="preserve">Anyhow, </w:t>
      </w:r>
      <w:r w:rsidR="008A6BF4">
        <w:t>when two people purchase an investment bond together, life offices will usually administer it as a jointly</w:t>
      </w:r>
      <w:r w:rsidR="00405D75">
        <w:t xml:space="preserve"> </w:t>
      </w:r>
      <w:r w:rsidR="008A6BF4">
        <w:t>owned policy</w:t>
      </w:r>
      <w:r w:rsidR="00405D75">
        <w:t>, where ownership is joint and several. This is like where a house is purchased under a joint tenancy, as opposed to tenancy in common.</w:t>
      </w:r>
      <w:r w:rsidR="00E439A0">
        <w:t xml:space="preserve"> (Extending the analogy, the Voldemort soul split is much more akin to tenancy in common, where each policyholder owns a </w:t>
      </w:r>
      <w:r w:rsidR="00D66CF0">
        <w:t>defined portion of the bond).</w:t>
      </w:r>
    </w:p>
    <w:p w14:paraId="6D7045EE" w14:textId="0737A470" w:rsidR="00405D75" w:rsidRDefault="00405D75" w:rsidP="000443AB"/>
    <w:p w14:paraId="7CAC2298" w14:textId="7CCE093C" w:rsidR="00405D75" w:rsidRDefault="00405D75" w:rsidP="000443AB"/>
    <w:p w14:paraId="1B332134" w14:textId="77777777" w:rsidR="00F02832" w:rsidRDefault="00F02832" w:rsidP="000443AB"/>
    <w:p w14:paraId="0745451A" w14:textId="2B05E54B" w:rsidR="002D5FE4" w:rsidRDefault="002D5FE4" w:rsidP="002D5FE4">
      <w:pPr>
        <w:pStyle w:val="Heading2"/>
      </w:pPr>
      <w:bookmarkStart w:id="28" w:name="_Toc187422052"/>
      <w:r>
        <w:lastRenderedPageBreak/>
        <w:t>Owners V Lives Assured</w:t>
      </w:r>
      <w:bookmarkEnd w:id="28"/>
    </w:p>
    <w:p w14:paraId="1C3A3714" w14:textId="005FC306" w:rsidR="002D5FE4" w:rsidRDefault="002D5FE4" w:rsidP="002D5FE4"/>
    <w:p w14:paraId="63148783" w14:textId="5CCA3214" w:rsidR="006B136C" w:rsidRDefault="002D5FE4" w:rsidP="002D5FE4">
      <w:r>
        <w:t xml:space="preserve">When a policyholder purchases a bond, it </w:t>
      </w:r>
      <w:r w:rsidR="0093212D">
        <w:t>will need a ‘life assured’. This is because investment bonds are legally structured as life assurance contracts</w:t>
      </w:r>
      <w:r w:rsidR="00C84F97">
        <w:t xml:space="preserve">, and for a contract of life assurance to be legally valid, </w:t>
      </w:r>
      <w:r w:rsidR="006B136C">
        <w:t>someone’s life needs to be assured</w:t>
      </w:r>
      <w:r w:rsidR="0093212D">
        <w:t>.</w:t>
      </w:r>
    </w:p>
    <w:p w14:paraId="53F015B0" w14:textId="3C7CD468" w:rsidR="006B136C" w:rsidRDefault="006B136C" w:rsidP="002D5FE4"/>
    <w:p w14:paraId="1BED80F6" w14:textId="05D58D84" w:rsidR="006B136C" w:rsidRPr="00A35275" w:rsidRDefault="00A35275" w:rsidP="00584B63">
      <w:pPr>
        <w:pBdr>
          <w:top w:val="single" w:sz="4" w:space="1" w:color="auto"/>
          <w:left w:val="single" w:sz="4" w:space="4" w:color="auto"/>
          <w:bottom w:val="single" w:sz="4" w:space="1" w:color="auto"/>
          <w:right w:val="single" w:sz="4" w:space="4" w:color="auto"/>
        </w:pBdr>
        <w:rPr>
          <w:b/>
          <w:bCs/>
        </w:rPr>
      </w:pPr>
      <w:r w:rsidRPr="00A35275">
        <w:rPr>
          <w:b/>
          <w:bCs/>
        </w:rPr>
        <w:t>The terminology of l</w:t>
      </w:r>
      <w:r w:rsidR="006B136C" w:rsidRPr="00A35275">
        <w:rPr>
          <w:b/>
          <w:bCs/>
        </w:rPr>
        <w:t xml:space="preserve">ife “assurance” is used as historically this meant </w:t>
      </w:r>
      <w:r w:rsidR="00580AC7" w:rsidRPr="00A35275">
        <w:rPr>
          <w:b/>
          <w:bCs/>
        </w:rPr>
        <w:t>that the policy was a whole-of-life contract, so was guaranteed to pay out on death regardless of when this might be, whereas life “insurance”</w:t>
      </w:r>
      <w:r w:rsidR="006B136C" w:rsidRPr="00A35275">
        <w:rPr>
          <w:b/>
          <w:bCs/>
        </w:rPr>
        <w:t xml:space="preserve"> </w:t>
      </w:r>
      <w:r w:rsidR="00580AC7" w:rsidRPr="00A35275">
        <w:rPr>
          <w:b/>
          <w:bCs/>
        </w:rPr>
        <w:t xml:space="preserve">meant </w:t>
      </w:r>
      <w:r w:rsidR="00C171FD" w:rsidRPr="00A35275">
        <w:rPr>
          <w:b/>
          <w:bCs/>
        </w:rPr>
        <w:t xml:space="preserve">a term policy which may not pay out at all if the </w:t>
      </w:r>
      <w:r w:rsidR="00B42C88" w:rsidRPr="00A35275">
        <w:rPr>
          <w:b/>
          <w:bCs/>
        </w:rPr>
        <w:t>person</w:t>
      </w:r>
      <w:r w:rsidR="00C171FD" w:rsidRPr="00A35275">
        <w:rPr>
          <w:b/>
          <w:bCs/>
        </w:rPr>
        <w:t xml:space="preserve"> insured didn’t die within the term of the policy.</w:t>
      </w:r>
    </w:p>
    <w:p w14:paraId="1B9E6D8D" w14:textId="27DD7C89" w:rsidR="00B42C88" w:rsidRPr="00A35275" w:rsidRDefault="00B42C88" w:rsidP="00584B63">
      <w:pPr>
        <w:pBdr>
          <w:top w:val="single" w:sz="4" w:space="1" w:color="auto"/>
          <w:left w:val="single" w:sz="4" w:space="4" w:color="auto"/>
          <w:bottom w:val="single" w:sz="4" w:space="1" w:color="auto"/>
          <w:right w:val="single" w:sz="4" w:space="4" w:color="auto"/>
        </w:pBdr>
        <w:rPr>
          <w:b/>
          <w:bCs/>
        </w:rPr>
      </w:pPr>
    </w:p>
    <w:p w14:paraId="76FF6417" w14:textId="3FCA36E4" w:rsidR="00B42C88" w:rsidRPr="00A35275" w:rsidRDefault="00B42C88" w:rsidP="00584B63">
      <w:pPr>
        <w:pBdr>
          <w:top w:val="single" w:sz="4" w:space="1" w:color="auto"/>
          <w:left w:val="single" w:sz="4" w:space="4" w:color="auto"/>
          <w:bottom w:val="single" w:sz="4" w:space="1" w:color="auto"/>
          <w:right w:val="single" w:sz="4" w:space="4" w:color="auto"/>
        </w:pBdr>
        <w:rPr>
          <w:b/>
          <w:bCs/>
        </w:rPr>
      </w:pPr>
      <w:r w:rsidRPr="00A35275">
        <w:rPr>
          <w:b/>
          <w:bCs/>
        </w:rPr>
        <w:t xml:space="preserve">These days, the terms are used by life office staff and Financial Advisers interchangeably. However, we’re using “assurance” </w:t>
      </w:r>
      <w:r w:rsidR="00A35275" w:rsidRPr="00A35275">
        <w:rPr>
          <w:b/>
          <w:bCs/>
        </w:rPr>
        <w:t>for old time’s sake!</w:t>
      </w:r>
    </w:p>
    <w:p w14:paraId="772836C6" w14:textId="77777777" w:rsidR="006B136C" w:rsidRDefault="006B136C" w:rsidP="002D5FE4"/>
    <w:p w14:paraId="74C97EF7" w14:textId="6067999E" w:rsidR="002D5FE4" w:rsidRDefault="0093212D" w:rsidP="002D5FE4">
      <w:r>
        <w:t xml:space="preserve">On death of the life assured, the bond will </w:t>
      </w:r>
      <w:r w:rsidR="007D7FE7">
        <w:t xml:space="preserve">become encashed and pay out the </w:t>
      </w:r>
      <w:r w:rsidR="003E58F8">
        <w:t xml:space="preserve">surrender </w:t>
      </w:r>
      <w:r w:rsidR="007D7FE7">
        <w:t>value of t</w:t>
      </w:r>
      <w:r w:rsidR="003E58F8">
        <w:t xml:space="preserve">he investment, plus a little bit extra. This little bit extra is the ‘life assurance’ element – for the bond to be a valid contract of </w:t>
      </w:r>
      <w:r w:rsidR="00822981">
        <w:t>as</w:t>
      </w:r>
      <w:r w:rsidR="003E58F8">
        <w:t xml:space="preserve">surance, </w:t>
      </w:r>
      <w:r w:rsidR="007B0E86">
        <w:t xml:space="preserve">there needs to be a life assurance pay out, even if it is only a small amount! Typically, the full pay out is </w:t>
      </w:r>
      <w:r w:rsidR="00C84F97">
        <w:t>calculated as anything between 100.1% and 101% of the surrender value of the bond at the date of death of the life assured.</w:t>
      </w:r>
    </w:p>
    <w:p w14:paraId="467D772A" w14:textId="565170A8" w:rsidR="00E74225" w:rsidRDefault="00E74225" w:rsidP="002D5FE4"/>
    <w:p w14:paraId="0D5BB42D" w14:textId="5B6A4978" w:rsidR="00E74225" w:rsidRDefault="00E74225" w:rsidP="002D5FE4">
      <w:r>
        <w:t xml:space="preserve">The life assured is usually the same person as the policyholder. </w:t>
      </w:r>
      <w:r w:rsidRPr="00E93C0C">
        <w:rPr>
          <w:b/>
          <w:bCs/>
        </w:rPr>
        <w:t>This is known as an “own life” policy.</w:t>
      </w:r>
      <w:r w:rsidR="00FC3BFB">
        <w:t xml:space="preserve"> On the policyholder’s death, unless the bond has been written in trust, the bond will become encashed and the life office will pay out the surrender value, plus the small life assurance element, to the policyholder’s estate.</w:t>
      </w:r>
    </w:p>
    <w:p w14:paraId="4ED92BB3" w14:textId="17915EA2" w:rsidR="00C84F97" w:rsidRDefault="00C84F97" w:rsidP="002D5FE4"/>
    <w:p w14:paraId="19555B28" w14:textId="68A127A2" w:rsidR="00E93C0C" w:rsidRDefault="00FC3BFB" w:rsidP="002D5FE4">
      <w:r>
        <w:t xml:space="preserve">However, the life assured doesn’t </w:t>
      </w:r>
      <w:r w:rsidRPr="00E93C0C">
        <w:rPr>
          <w:i/>
          <w:iCs/>
        </w:rPr>
        <w:t>have</w:t>
      </w:r>
      <w:r>
        <w:t xml:space="preserve"> to be the same person as the policyholder. The policyholder may </w:t>
      </w:r>
      <w:r w:rsidR="00FD75B0">
        <w:t xml:space="preserve">want </w:t>
      </w:r>
      <w:r w:rsidR="00150CEA">
        <w:t xml:space="preserve">someone else to be the life assured. This is usually so the bond can continue to exist after the policyholder’s death for </w:t>
      </w:r>
      <w:r w:rsidR="00560719">
        <w:t>tax</w:t>
      </w:r>
      <w:r w:rsidR="00150CEA">
        <w:t xml:space="preserve"> planning purposes. </w:t>
      </w:r>
      <w:r w:rsidR="00560719">
        <w:t xml:space="preserve">However, it could also be because the policyholder is deemed by the life office as too old to be a life assured. </w:t>
      </w:r>
      <w:r w:rsidR="008F747E">
        <w:t xml:space="preserve">For example, a life office may refuse to accept an application from, say, a 90-year-old man because </w:t>
      </w:r>
      <w:r w:rsidR="009B3C19">
        <w:t xml:space="preserve">statistically it’s not worth the life office’s while to establish a bond that might only </w:t>
      </w:r>
      <w:r w:rsidR="00A4378E">
        <w:t>statistically be around for a couple of years before it gets encashed due to his death. It wouldn’t be financially viable for the life office</w:t>
      </w:r>
      <w:r w:rsidR="00E93C0C">
        <w:t>, which is (at the end of the day) a business</w:t>
      </w:r>
      <w:r w:rsidR="00A4378E">
        <w:t>.</w:t>
      </w:r>
      <w:r w:rsidR="00E93C0C">
        <w:t xml:space="preserve"> </w:t>
      </w:r>
      <w:r w:rsidR="00E93C0C" w:rsidRPr="00E93C0C">
        <w:rPr>
          <w:b/>
          <w:bCs/>
        </w:rPr>
        <w:t>Where the life assured is someone other than the policyholder, this is known as a “life of another” policy.</w:t>
      </w:r>
    </w:p>
    <w:p w14:paraId="50D9431F" w14:textId="6A68DD50" w:rsidR="00FC3BFB" w:rsidRDefault="00FC3BFB" w:rsidP="002D5FE4"/>
    <w:p w14:paraId="783BE166" w14:textId="3DBB9610" w:rsidR="00653BD6" w:rsidRDefault="00092BAE" w:rsidP="002D5FE4">
      <w:r>
        <w:t>Just like there can be multiple policyholders</w:t>
      </w:r>
      <w:r w:rsidR="00E202C1">
        <w:t xml:space="preserve"> who own the bond</w:t>
      </w:r>
      <w:r>
        <w:t>,</w:t>
      </w:r>
      <w:r w:rsidR="00E202C1">
        <w:t xml:space="preserve"> there can also be multiple lives assured. Usually, bonds are automatically written </w:t>
      </w:r>
      <w:r w:rsidR="000379D6">
        <w:t>to pay out on the death of the last surviving life assured</w:t>
      </w:r>
      <w:r w:rsidR="00EA1B3A">
        <w:t>, which</w:t>
      </w:r>
      <w:r w:rsidR="00A44546">
        <w:t xml:space="preserve"> keeps the bond existing for as long as possible.</w:t>
      </w:r>
      <w:r w:rsidR="00653BD6">
        <w:t xml:space="preserve"> </w:t>
      </w:r>
      <w:r w:rsidR="00A01751">
        <w:t>However, this isn’t the case for all bonds, and some are written on a “first death” basis. “First death” bonds could be particularly useful where the</w:t>
      </w:r>
      <w:r w:rsidR="008D7DBF">
        <w:t xml:space="preserve"> </w:t>
      </w:r>
      <w:r w:rsidR="00592E74">
        <w:t xml:space="preserve">policyholders </w:t>
      </w:r>
      <w:r w:rsidR="008D7DBF">
        <w:t>are an unmarried couple</w:t>
      </w:r>
      <w:r w:rsidR="00341045">
        <w:t xml:space="preserve"> who have written the bond into trust</w:t>
      </w:r>
      <w:r w:rsidR="008D7DBF">
        <w:t xml:space="preserve">, </w:t>
      </w:r>
      <w:r w:rsidR="00341045">
        <w:t>with the</w:t>
      </w:r>
      <w:r w:rsidR="00A01751">
        <w:t xml:space="preserve"> </w:t>
      </w:r>
      <w:r w:rsidR="008D7DBF">
        <w:t>proceeds</w:t>
      </w:r>
      <w:r w:rsidR="00A01751">
        <w:t xml:space="preserve"> intended to</w:t>
      </w:r>
      <w:r w:rsidR="008D7DBF">
        <w:t xml:space="preserve"> be used to</w:t>
      </w:r>
      <w:r w:rsidR="00A01751">
        <w:t xml:space="preserve"> pay </w:t>
      </w:r>
      <w:r w:rsidR="008D7DBF">
        <w:t>the Inheritance Tax (IHT) bill on first death</w:t>
      </w:r>
      <w:r w:rsidR="004F3D1A">
        <w:t xml:space="preserve">, </w:t>
      </w:r>
      <w:r w:rsidR="00341045">
        <w:t>and where flexibility for tax planning is not needed.</w:t>
      </w:r>
    </w:p>
    <w:p w14:paraId="1F8DE398" w14:textId="77777777" w:rsidR="00653BD6" w:rsidRDefault="00653BD6" w:rsidP="002D5FE4"/>
    <w:p w14:paraId="53FF34F5" w14:textId="2C42F3C0" w:rsidR="002D3C4C" w:rsidRDefault="00E20AB7" w:rsidP="002D5FE4">
      <w:r>
        <w:lastRenderedPageBreak/>
        <w:t xml:space="preserve">Where bonds are written with someone other than the policyholder as a life assured, usually, the policyholder will </w:t>
      </w:r>
      <w:r w:rsidRPr="00E20AB7">
        <w:rPr>
          <w:i/>
          <w:iCs/>
        </w:rPr>
        <w:t>also</w:t>
      </w:r>
      <w:r>
        <w:t xml:space="preserve"> be a life assured. </w:t>
      </w:r>
      <w:r w:rsidR="002E4E05">
        <w:t>Older, less-sophisticated contracts</w:t>
      </w:r>
      <w:r w:rsidR="00204052">
        <w:t xml:space="preserve"> may only allow a couple of lives assured, </w:t>
      </w:r>
      <w:r w:rsidR="002E4E05">
        <w:t xml:space="preserve">while more sophisticated </w:t>
      </w:r>
      <w:r w:rsidR="00FF3BE8">
        <w:t>bonds may allow a lot more (for example, 10).</w:t>
      </w:r>
    </w:p>
    <w:p w14:paraId="7F555F85" w14:textId="77777777" w:rsidR="002D3C4C" w:rsidRDefault="002D3C4C" w:rsidP="002D5FE4"/>
    <w:p w14:paraId="309A7BB7" w14:textId="3EB5D09D" w:rsidR="00C84F97" w:rsidRDefault="00A66E61" w:rsidP="002D5FE4">
      <w:r>
        <w:t xml:space="preserve">The policyholder will need to have their identity checked by the life office before the bond is established </w:t>
      </w:r>
      <w:r w:rsidR="00D54A84">
        <w:t>to satisfy anti-money laundering regulations. However, t</w:t>
      </w:r>
      <w:r w:rsidR="00702B8F">
        <w:t>he life assured doesn’t usually have to have their identity checke</w:t>
      </w:r>
      <w:r w:rsidR="00D54A84">
        <w:t>d</w:t>
      </w:r>
      <w:r w:rsidR="00702B8F">
        <w:t xml:space="preserve"> by </w:t>
      </w:r>
      <w:r w:rsidR="00F50050">
        <w:t>UK</w:t>
      </w:r>
      <w:r w:rsidR="00702B8F">
        <w:t xml:space="preserve"> life office</w:t>
      </w:r>
      <w:r w:rsidR="00F50050">
        <w:t xml:space="preserve">s. </w:t>
      </w:r>
      <w:r w:rsidR="00D54A84">
        <w:t>O</w:t>
      </w:r>
      <w:r w:rsidR="00F50050">
        <w:t xml:space="preserve">ffshore life offices may be in jurisdictions with </w:t>
      </w:r>
      <w:r w:rsidR="00237FEF">
        <w:t>much stricter anti-money laundering regulations</w:t>
      </w:r>
      <w:r w:rsidR="003F38B9">
        <w:t xml:space="preserve"> which require such checks</w:t>
      </w:r>
      <w:r w:rsidR="00D54A84">
        <w:t>, though</w:t>
      </w:r>
      <w:r w:rsidR="00237FEF">
        <w:t>. Dublin is an example of a</w:t>
      </w:r>
      <w:r w:rsidR="00A46834">
        <w:t xml:space="preserve"> place where</w:t>
      </w:r>
      <w:r w:rsidR="0039463E">
        <w:t>, due to its tax-privileged status,</w:t>
      </w:r>
      <w:r w:rsidR="00A46834">
        <w:t xml:space="preserve"> UK life offices </w:t>
      </w:r>
      <w:r w:rsidR="003F38B9">
        <w:t>have established</w:t>
      </w:r>
      <w:r w:rsidR="00A46834">
        <w:t xml:space="preserve"> offshore branches specifically to provide offshore investment bonds to UK c</w:t>
      </w:r>
      <w:r w:rsidR="0039463E">
        <w:t xml:space="preserve">ustomers. </w:t>
      </w:r>
      <w:r w:rsidR="00D54A84">
        <w:t>But</w:t>
      </w:r>
      <w:r w:rsidR="0039463E">
        <w:t xml:space="preserve"> anti-money laundering regulations are much stricter</w:t>
      </w:r>
      <w:r w:rsidR="003F38B9">
        <w:t xml:space="preserve"> and may require lives a</w:t>
      </w:r>
      <w:r w:rsidR="00156CBA">
        <w:t>ssured to be formally identified</w:t>
      </w:r>
      <w:r w:rsidR="003F38B9">
        <w:t>.</w:t>
      </w:r>
    </w:p>
    <w:p w14:paraId="130D09A8" w14:textId="76381BC3" w:rsidR="003F38B9" w:rsidRDefault="003F38B9" w:rsidP="002D5FE4"/>
    <w:p w14:paraId="618E0EB6" w14:textId="46323913" w:rsidR="003F38B9" w:rsidRDefault="00156CBA" w:rsidP="002D5FE4">
      <w:r>
        <w:t xml:space="preserve">The life assured doesn’t have </w:t>
      </w:r>
      <w:r w:rsidR="00E74225">
        <w:t>any ownership of the bond</w:t>
      </w:r>
      <w:r w:rsidR="003C0AA6">
        <w:t xml:space="preserve">. The bond is owned by the </w:t>
      </w:r>
      <w:r w:rsidR="003C0AA6" w:rsidRPr="003C0AA6">
        <w:rPr>
          <w:i/>
          <w:iCs/>
        </w:rPr>
        <w:t>policyholder</w:t>
      </w:r>
      <w:r w:rsidR="003C0AA6">
        <w:t xml:space="preserve">, </w:t>
      </w:r>
      <w:r w:rsidR="003C0AA6" w:rsidRPr="003C0AA6">
        <w:rPr>
          <w:b/>
          <w:bCs/>
        </w:rPr>
        <w:t>not</w:t>
      </w:r>
      <w:r w:rsidR="003C0AA6">
        <w:t xml:space="preserve"> the life assured. </w:t>
      </w:r>
      <w:r w:rsidR="0091369B">
        <w:t>This is often a sticking point for clients who may not understand this</w:t>
      </w:r>
      <w:r w:rsidR="00D67409">
        <w:t>.</w:t>
      </w:r>
    </w:p>
    <w:p w14:paraId="0FC46EA3" w14:textId="21FECBA0" w:rsidR="00EE50A5" w:rsidRDefault="00EE50A5" w:rsidP="002D5FE4"/>
    <w:p w14:paraId="46D67FEF" w14:textId="77777777" w:rsidR="00D36725" w:rsidRDefault="00D36725" w:rsidP="002D5FE4"/>
    <w:p w14:paraId="53F0365C" w14:textId="452E7301" w:rsidR="00D36725" w:rsidRDefault="00D36725" w:rsidP="00D36725">
      <w:pPr>
        <w:pStyle w:val="Heading2"/>
      </w:pPr>
      <w:bookmarkStart w:id="29" w:name="_Toc187422053"/>
      <w:r>
        <w:t>Insurable Interest</w:t>
      </w:r>
      <w:bookmarkEnd w:id="29"/>
    </w:p>
    <w:p w14:paraId="1F851E8A" w14:textId="77777777" w:rsidR="00D36725" w:rsidRDefault="00D36725" w:rsidP="002D5FE4"/>
    <w:p w14:paraId="5BD9D4B9" w14:textId="7CDE1B07" w:rsidR="00FF3BE8" w:rsidRDefault="00EE50A5" w:rsidP="002D5FE4">
      <w:r>
        <w:t xml:space="preserve">Policyholders aren’t allowed to just pick anyone they </w:t>
      </w:r>
      <w:r w:rsidR="00391615">
        <w:t>want</w:t>
      </w:r>
      <w:r>
        <w:t xml:space="preserve"> to be a life assured. </w:t>
      </w:r>
      <w:r w:rsidR="00391615">
        <w:t xml:space="preserve">Like with any valid contract of assurance, </w:t>
      </w:r>
      <w:r w:rsidR="00844241">
        <w:t>there needs to be “insurable interest”. This means that,</w:t>
      </w:r>
      <w:r w:rsidR="007139A2">
        <w:t xml:space="preserve"> at the time the </w:t>
      </w:r>
      <w:r w:rsidR="00886058">
        <w:t>contract of assurance</w:t>
      </w:r>
      <w:r w:rsidR="007139A2">
        <w:t xml:space="preserve"> is </w:t>
      </w:r>
      <w:r w:rsidR="001B1637">
        <w:t>established</w:t>
      </w:r>
      <w:r w:rsidR="007139A2">
        <w:t xml:space="preserve">, </w:t>
      </w:r>
      <w:r w:rsidR="00886058">
        <w:t xml:space="preserve">the policyholder would need to suffer a financial loss </w:t>
      </w:r>
      <w:r w:rsidR="009E187A">
        <w:t xml:space="preserve">at least equal to the policy proceeds </w:t>
      </w:r>
      <w:r w:rsidR="006C2E57">
        <w:t>if the life assured were to die.</w:t>
      </w:r>
      <w:r w:rsidR="00517F69">
        <w:t xml:space="preserve"> It’s this rule that stops chancers </w:t>
      </w:r>
      <w:r w:rsidR="00AD15E7">
        <w:t>from insu</w:t>
      </w:r>
      <w:r w:rsidR="00517F69">
        <w:t>ring the lives of random death row inmates and</w:t>
      </w:r>
      <w:r w:rsidR="00AD15E7">
        <w:t xml:space="preserve"> critically ill people they don’t know</w:t>
      </w:r>
      <w:r w:rsidR="00D36725">
        <w:t>.</w:t>
      </w:r>
    </w:p>
    <w:p w14:paraId="196321F5" w14:textId="77777777" w:rsidR="00FF3BE8" w:rsidRDefault="00FF3BE8" w:rsidP="002D5FE4"/>
    <w:p w14:paraId="5118F068" w14:textId="5CB060A1" w:rsidR="00AD15E7" w:rsidRDefault="00FB0C98" w:rsidP="002D5FE4">
      <w:r>
        <w:t xml:space="preserve">In the UK, we have </w:t>
      </w:r>
      <w:r w:rsidRPr="009F69E0">
        <w:rPr>
          <w:b/>
          <w:bCs/>
        </w:rPr>
        <w:t>unlimited</w:t>
      </w:r>
      <w:r>
        <w:t xml:space="preserve"> insurable interest on</w:t>
      </w:r>
      <w:r w:rsidR="006B38B6">
        <w:t xml:space="preserve"> our </w:t>
      </w:r>
      <w:r w:rsidR="006B38B6" w:rsidRPr="009F69E0">
        <w:rPr>
          <w:b/>
          <w:bCs/>
        </w:rPr>
        <w:t>own life</w:t>
      </w:r>
      <w:r w:rsidR="006B38B6">
        <w:t xml:space="preserve">, </w:t>
      </w:r>
      <w:r>
        <w:t xml:space="preserve">and </w:t>
      </w:r>
      <w:r w:rsidR="006B38B6">
        <w:t>the life of our</w:t>
      </w:r>
      <w:r>
        <w:t xml:space="preserve"> </w:t>
      </w:r>
      <w:r w:rsidRPr="006B38B6">
        <w:rPr>
          <w:b/>
          <w:bCs/>
        </w:rPr>
        <w:t>spouse</w:t>
      </w:r>
      <w:r w:rsidR="00436897">
        <w:t xml:space="preserve">. The rules are a little grey </w:t>
      </w:r>
      <w:r w:rsidR="00666E01">
        <w:t xml:space="preserve">for unmarried partners but the Insurance Ombudsman has previously indicated that unmarried cohabitants and </w:t>
      </w:r>
      <w:r w:rsidR="00B319E5">
        <w:t>those engaged to be married are okay. However, we do not have unlimited insurable interest on other family members, including our children and parents. Insurable interest therefore needs to be established.</w:t>
      </w:r>
      <w:r w:rsidR="00AD6510">
        <w:t xml:space="preserve"> </w:t>
      </w:r>
      <w:r w:rsidR="00AD6510" w:rsidRPr="00AD6510">
        <w:rPr>
          <w:b/>
          <w:bCs/>
        </w:rPr>
        <w:t>If there is no insurable interest between the policyholder and the life assured at the time the contract is established, the contract of assurance is void.</w:t>
      </w:r>
    </w:p>
    <w:p w14:paraId="55D7E88B" w14:textId="570101B9" w:rsidR="00AD6510" w:rsidRDefault="00AD6510" w:rsidP="002D5FE4"/>
    <w:p w14:paraId="5CABFF41" w14:textId="14823853" w:rsidR="00AD6510" w:rsidRDefault="00AD6510" w:rsidP="002D5FE4">
      <w:r>
        <w:t xml:space="preserve">At PFE, we live in the real world. </w:t>
      </w:r>
      <w:r w:rsidR="00E907AC">
        <w:t>We know that the market is full of investment bonds that are not legally enforceable</w:t>
      </w:r>
      <w:r w:rsidR="00216613">
        <w:t xml:space="preserve"> due to a lack of insurable interest at the time of establishment.</w:t>
      </w:r>
    </w:p>
    <w:p w14:paraId="62B79062" w14:textId="372AEBB5" w:rsidR="00216613" w:rsidRDefault="00216613" w:rsidP="002D5FE4"/>
    <w:p w14:paraId="7B56A96B" w14:textId="7DCB6AF9" w:rsidR="005C0241" w:rsidRDefault="00216613" w:rsidP="002D5FE4">
      <w:r>
        <w:t xml:space="preserve">It’s not a tax issue, so HMRC wouldn’t be involved – it’s a legal issue. </w:t>
      </w:r>
      <w:r w:rsidR="008C57C7">
        <w:t xml:space="preserve">If a contract of assurance was </w:t>
      </w:r>
      <w:r w:rsidR="00E8748B">
        <w:t xml:space="preserve">ever </w:t>
      </w:r>
      <w:r w:rsidR="008C57C7">
        <w:t xml:space="preserve">challenged on the grounds of a lack of insurable interest (which theoretically someone could do if they wanted to, for example, </w:t>
      </w:r>
      <w:r w:rsidR="00815133">
        <w:t>make life difficult for a sibling who inherited more than they did)</w:t>
      </w:r>
      <w:r w:rsidR="00D67A22">
        <w:t>, and it was proven,</w:t>
      </w:r>
      <w:r w:rsidR="00815133">
        <w:t xml:space="preserve"> it </w:t>
      </w:r>
      <w:r w:rsidR="00D67A22">
        <w:t>c</w:t>
      </w:r>
      <w:r w:rsidR="00815133">
        <w:t xml:space="preserve">ould be voided by the court and </w:t>
      </w:r>
      <w:r w:rsidR="00D67A22">
        <w:t xml:space="preserve">the original premium returned. </w:t>
      </w:r>
      <w:r w:rsidR="005C0241">
        <w:t>The Financial Adviser who recommended the bond would then need to make a tentative call to his PI insurer.</w:t>
      </w:r>
      <w:r w:rsidR="00B621CD">
        <w:t xml:space="preserve"> </w:t>
      </w:r>
      <w:r w:rsidR="002F4428">
        <w:t>However, to our knowledge, this has never happened. We know of no case law</w:t>
      </w:r>
      <w:r w:rsidR="00B621CD">
        <w:t xml:space="preserve"> where an investment bond has been voided due to a lack of insurable interest.</w:t>
      </w:r>
      <w:r w:rsidR="00B87705">
        <w:t xml:space="preserve"> But it could still happen, by the letter of the law!</w:t>
      </w:r>
    </w:p>
    <w:p w14:paraId="4E0B7A80" w14:textId="296759F7" w:rsidR="00B621CD" w:rsidRDefault="00B621CD" w:rsidP="002D5FE4"/>
    <w:p w14:paraId="57E4E6E7" w14:textId="2DF94FFB" w:rsidR="00092484" w:rsidRDefault="00B87705" w:rsidP="002D5FE4">
      <w:r>
        <w:lastRenderedPageBreak/>
        <w:t>It's also worth noting that most life offices do not ‘police’</w:t>
      </w:r>
      <w:r w:rsidR="002220D8">
        <w:t xml:space="preserve"> bond applications for</w:t>
      </w:r>
      <w:r>
        <w:t xml:space="preserve"> </w:t>
      </w:r>
      <w:r w:rsidR="00E57B0C">
        <w:t>insurable interest –</w:t>
      </w:r>
      <w:r w:rsidR="00092484">
        <w:t xml:space="preserve"> </w:t>
      </w:r>
      <w:r w:rsidR="00E57B0C">
        <w:t>it is up to the</w:t>
      </w:r>
      <w:r w:rsidR="00092484">
        <w:t xml:space="preserve"> Financial</w:t>
      </w:r>
      <w:r w:rsidR="00E57B0C">
        <w:t xml:space="preserve"> Adviser to demonstrate insurable interest and </w:t>
      </w:r>
      <w:r w:rsidR="00092484">
        <w:t>hold clear evidence on file.</w:t>
      </w:r>
    </w:p>
    <w:p w14:paraId="017D9FA2" w14:textId="4B61B981" w:rsidR="00D67409" w:rsidRDefault="00D67409" w:rsidP="002D5FE4"/>
    <w:p w14:paraId="7BE85705" w14:textId="012745B7" w:rsidR="008A73F1" w:rsidRDefault="008C6C94" w:rsidP="0027612D">
      <w:pPr>
        <w:pBdr>
          <w:top w:val="single" w:sz="4" w:space="1" w:color="auto"/>
          <w:left w:val="single" w:sz="4" w:space="4" w:color="auto"/>
          <w:bottom w:val="single" w:sz="4" w:space="1" w:color="auto"/>
          <w:right w:val="single" w:sz="4" w:space="4" w:color="auto"/>
        </w:pBdr>
        <w:rPr>
          <w:b/>
          <w:bCs/>
          <w:i/>
          <w:iCs/>
        </w:rPr>
      </w:pPr>
      <w:r w:rsidRPr="008C6C94">
        <w:rPr>
          <w:b/>
          <w:bCs/>
          <w:i/>
          <w:iCs/>
        </w:rPr>
        <w:t>“</w:t>
      </w:r>
      <w:r w:rsidR="00D67409" w:rsidRPr="008C6C94">
        <w:rPr>
          <w:b/>
          <w:bCs/>
          <w:i/>
          <w:iCs/>
        </w:rPr>
        <w:t>I used to work for a major UK life offic</w:t>
      </w:r>
      <w:r w:rsidR="00BC43BA" w:rsidRPr="008C6C94">
        <w:rPr>
          <w:b/>
          <w:bCs/>
          <w:i/>
          <w:iCs/>
        </w:rPr>
        <w:t>e as a Telephone Account Manager. One time, a Financial Adviser was writing an offshore investment bond</w:t>
      </w:r>
      <w:r w:rsidR="00EE50A5" w:rsidRPr="008C6C94">
        <w:rPr>
          <w:b/>
          <w:bCs/>
          <w:i/>
          <w:iCs/>
        </w:rPr>
        <w:t xml:space="preserve"> and there were various issues which could have been easily avoided.</w:t>
      </w:r>
      <w:r w:rsidR="007E7408" w:rsidRPr="008C6C94">
        <w:rPr>
          <w:b/>
          <w:bCs/>
          <w:i/>
          <w:iCs/>
        </w:rPr>
        <w:t xml:space="preserve"> The client wanted 11 lives assured </w:t>
      </w:r>
      <w:r w:rsidR="00A76AD9" w:rsidRPr="008C6C94">
        <w:rPr>
          <w:b/>
          <w:bCs/>
          <w:i/>
          <w:iCs/>
        </w:rPr>
        <w:t>on an offshore bond</w:t>
      </w:r>
      <w:r w:rsidR="008A73F1">
        <w:rPr>
          <w:b/>
          <w:bCs/>
          <w:i/>
          <w:iCs/>
        </w:rPr>
        <w:t xml:space="preserve">, </w:t>
      </w:r>
      <w:r w:rsidR="003755DE">
        <w:rPr>
          <w:b/>
          <w:bCs/>
          <w:i/>
          <w:iCs/>
        </w:rPr>
        <w:t>him plus</w:t>
      </w:r>
      <w:r w:rsidR="008A73F1">
        <w:rPr>
          <w:b/>
          <w:bCs/>
          <w:i/>
          <w:iCs/>
        </w:rPr>
        <w:t xml:space="preserve"> his</w:t>
      </w:r>
      <w:r w:rsidR="003755DE">
        <w:rPr>
          <w:b/>
          <w:bCs/>
          <w:i/>
          <w:iCs/>
        </w:rPr>
        <w:t xml:space="preserve"> 10</w:t>
      </w:r>
      <w:r w:rsidR="008A73F1">
        <w:rPr>
          <w:b/>
          <w:bCs/>
          <w:i/>
          <w:iCs/>
        </w:rPr>
        <w:t xml:space="preserve"> </w:t>
      </w:r>
      <w:r w:rsidR="00A76AD9" w:rsidRPr="008C6C94">
        <w:rPr>
          <w:b/>
          <w:bCs/>
          <w:i/>
          <w:iCs/>
        </w:rPr>
        <w:t xml:space="preserve">grandchildren. </w:t>
      </w:r>
      <w:r w:rsidR="00651814" w:rsidRPr="008C6C94">
        <w:rPr>
          <w:b/>
          <w:bCs/>
          <w:i/>
          <w:iCs/>
        </w:rPr>
        <w:t>It was a</w:t>
      </w:r>
      <w:r w:rsidR="009F690E">
        <w:rPr>
          <w:b/>
          <w:bCs/>
          <w:i/>
          <w:iCs/>
        </w:rPr>
        <w:t xml:space="preserve"> sales and</w:t>
      </w:r>
      <w:r w:rsidR="00651814" w:rsidRPr="008C6C94">
        <w:rPr>
          <w:b/>
          <w:bCs/>
          <w:i/>
          <w:iCs/>
        </w:rPr>
        <w:t xml:space="preserve"> administrative nightmare.</w:t>
      </w:r>
    </w:p>
    <w:p w14:paraId="4B1F0F11" w14:textId="0191E3A9" w:rsidR="008A73F1" w:rsidRDefault="008A73F1" w:rsidP="0027612D">
      <w:pPr>
        <w:pBdr>
          <w:top w:val="single" w:sz="4" w:space="1" w:color="auto"/>
          <w:left w:val="single" w:sz="4" w:space="4" w:color="auto"/>
          <w:bottom w:val="single" w:sz="4" w:space="1" w:color="auto"/>
          <w:right w:val="single" w:sz="4" w:space="4" w:color="auto"/>
        </w:pBdr>
        <w:rPr>
          <w:b/>
          <w:bCs/>
          <w:i/>
          <w:iCs/>
        </w:rPr>
      </w:pPr>
    </w:p>
    <w:p w14:paraId="54D76DC2" w14:textId="6AC29D8E" w:rsidR="008A73F1" w:rsidRDefault="008A73F1" w:rsidP="0027612D">
      <w:pPr>
        <w:pBdr>
          <w:top w:val="single" w:sz="4" w:space="1" w:color="auto"/>
          <w:left w:val="single" w:sz="4" w:space="4" w:color="auto"/>
          <w:bottom w:val="single" w:sz="4" w:space="1" w:color="auto"/>
          <w:right w:val="single" w:sz="4" w:space="4" w:color="auto"/>
        </w:pBdr>
        <w:rPr>
          <w:b/>
          <w:bCs/>
          <w:i/>
          <w:iCs/>
        </w:rPr>
      </w:pPr>
      <w:r>
        <w:rPr>
          <w:b/>
          <w:bCs/>
          <w:i/>
          <w:iCs/>
        </w:rPr>
        <w:t xml:space="preserve">The bond in question could only facilitate a maximum of 10 lives assured. </w:t>
      </w:r>
      <w:r w:rsidR="00057668">
        <w:rPr>
          <w:b/>
          <w:bCs/>
          <w:i/>
          <w:iCs/>
        </w:rPr>
        <w:t>Both the Adviser and</w:t>
      </w:r>
      <w:r w:rsidR="00EC2CAF">
        <w:rPr>
          <w:b/>
          <w:bCs/>
          <w:i/>
          <w:iCs/>
        </w:rPr>
        <w:t xml:space="preserve"> client</w:t>
      </w:r>
      <w:r w:rsidR="00057668">
        <w:rPr>
          <w:b/>
          <w:bCs/>
          <w:i/>
          <w:iCs/>
        </w:rPr>
        <w:t xml:space="preserve"> seemed to be</w:t>
      </w:r>
      <w:r w:rsidR="00EC2CAF">
        <w:rPr>
          <w:b/>
          <w:bCs/>
          <w:i/>
          <w:iCs/>
        </w:rPr>
        <w:t xml:space="preserve"> under the impression that </w:t>
      </w:r>
      <w:r w:rsidR="000B6D5C">
        <w:rPr>
          <w:b/>
          <w:bCs/>
          <w:i/>
          <w:iCs/>
        </w:rPr>
        <w:t>this wouldn’t be fair on the oldest grandchild</w:t>
      </w:r>
      <w:r w:rsidR="00E975CB">
        <w:rPr>
          <w:b/>
          <w:bCs/>
          <w:i/>
          <w:iCs/>
        </w:rPr>
        <w:t>, even though lives assured has nothing to do with ownership</w:t>
      </w:r>
      <w:r w:rsidR="000B6D5C">
        <w:rPr>
          <w:b/>
          <w:bCs/>
          <w:i/>
          <w:iCs/>
        </w:rPr>
        <w:t xml:space="preserve">. </w:t>
      </w:r>
      <w:r w:rsidR="00057668">
        <w:rPr>
          <w:b/>
          <w:bCs/>
          <w:i/>
          <w:iCs/>
        </w:rPr>
        <w:t xml:space="preserve">In the end, the decision from the Adviser was to write the bond on a pure ‘life of another’ basis on </w:t>
      </w:r>
      <w:r w:rsidR="00E975CB">
        <w:rPr>
          <w:b/>
          <w:bCs/>
          <w:i/>
          <w:iCs/>
        </w:rPr>
        <w:t>the client’s</w:t>
      </w:r>
      <w:r w:rsidR="00057668">
        <w:rPr>
          <w:b/>
          <w:bCs/>
          <w:i/>
          <w:iCs/>
        </w:rPr>
        <w:t xml:space="preserve"> 10 grandchildren.</w:t>
      </w:r>
    </w:p>
    <w:p w14:paraId="58EDE450" w14:textId="77777777" w:rsidR="009F690E" w:rsidRDefault="009F690E" w:rsidP="0027612D">
      <w:pPr>
        <w:pBdr>
          <w:top w:val="single" w:sz="4" w:space="1" w:color="auto"/>
          <w:left w:val="single" w:sz="4" w:space="4" w:color="auto"/>
          <w:bottom w:val="single" w:sz="4" w:space="1" w:color="auto"/>
          <w:right w:val="single" w:sz="4" w:space="4" w:color="auto"/>
        </w:pBdr>
        <w:rPr>
          <w:b/>
          <w:bCs/>
          <w:i/>
          <w:iCs/>
        </w:rPr>
      </w:pPr>
    </w:p>
    <w:p w14:paraId="7F1677C8" w14:textId="210BC3B1" w:rsidR="00D67409" w:rsidRDefault="00651814" w:rsidP="0027612D">
      <w:pPr>
        <w:pBdr>
          <w:top w:val="single" w:sz="4" w:space="1" w:color="auto"/>
          <w:left w:val="single" w:sz="4" w:space="4" w:color="auto"/>
          <w:bottom w:val="single" w:sz="4" w:space="1" w:color="auto"/>
          <w:right w:val="single" w:sz="4" w:space="4" w:color="auto"/>
        </w:pBdr>
        <w:rPr>
          <w:b/>
          <w:bCs/>
          <w:i/>
          <w:iCs/>
        </w:rPr>
      </w:pPr>
      <w:r w:rsidRPr="008C6C94">
        <w:rPr>
          <w:b/>
          <w:bCs/>
          <w:i/>
          <w:iCs/>
        </w:rPr>
        <w:t xml:space="preserve">Not only was there </w:t>
      </w:r>
      <w:r w:rsidR="001B0041" w:rsidRPr="008C6C94">
        <w:rPr>
          <w:b/>
          <w:bCs/>
          <w:i/>
          <w:iCs/>
        </w:rPr>
        <w:t xml:space="preserve">no evidence </w:t>
      </w:r>
      <w:r w:rsidR="00E975CB">
        <w:rPr>
          <w:b/>
          <w:bCs/>
          <w:i/>
          <w:iCs/>
        </w:rPr>
        <w:t xml:space="preserve">I could determine </w:t>
      </w:r>
      <w:r w:rsidR="001B0041" w:rsidRPr="008C6C94">
        <w:rPr>
          <w:b/>
          <w:bCs/>
          <w:i/>
          <w:iCs/>
        </w:rPr>
        <w:t>of insurable interest between the client and his grandchildren</w:t>
      </w:r>
      <w:r w:rsidR="001B2366" w:rsidRPr="008C6C94">
        <w:rPr>
          <w:b/>
          <w:bCs/>
          <w:i/>
          <w:iCs/>
        </w:rPr>
        <w:t xml:space="preserve"> (which I explained to him</w:t>
      </w:r>
      <w:r w:rsidR="00377128" w:rsidRPr="008C6C94">
        <w:rPr>
          <w:b/>
          <w:bCs/>
          <w:i/>
          <w:iCs/>
        </w:rPr>
        <w:t>,</w:t>
      </w:r>
      <w:r w:rsidR="001B2366" w:rsidRPr="008C6C94">
        <w:rPr>
          <w:b/>
          <w:bCs/>
          <w:i/>
          <w:iCs/>
        </w:rPr>
        <w:t xml:space="preserve"> and he duly ignored)</w:t>
      </w:r>
      <w:r w:rsidR="001B0041" w:rsidRPr="008C6C94">
        <w:rPr>
          <w:b/>
          <w:bCs/>
          <w:i/>
          <w:iCs/>
        </w:rPr>
        <w:t xml:space="preserve"> but because </w:t>
      </w:r>
      <w:r w:rsidR="00216D41">
        <w:rPr>
          <w:b/>
          <w:bCs/>
          <w:i/>
          <w:iCs/>
        </w:rPr>
        <w:t>our</w:t>
      </w:r>
      <w:r w:rsidR="00917E5D" w:rsidRPr="008C6C94">
        <w:rPr>
          <w:b/>
          <w:bCs/>
          <w:i/>
          <w:iCs/>
        </w:rPr>
        <w:t xml:space="preserve"> offshore branch </w:t>
      </w:r>
      <w:r w:rsidR="00216D41">
        <w:rPr>
          <w:b/>
          <w:bCs/>
          <w:i/>
          <w:iCs/>
        </w:rPr>
        <w:t>wa</w:t>
      </w:r>
      <w:r w:rsidR="00917E5D" w:rsidRPr="008C6C94">
        <w:rPr>
          <w:b/>
          <w:bCs/>
          <w:i/>
          <w:iCs/>
        </w:rPr>
        <w:t xml:space="preserve">s based in Dublin, </w:t>
      </w:r>
      <w:r w:rsidR="00216D41">
        <w:rPr>
          <w:b/>
          <w:bCs/>
          <w:i/>
          <w:iCs/>
        </w:rPr>
        <w:t>the Adviser</w:t>
      </w:r>
      <w:r w:rsidR="00917E5D" w:rsidRPr="008C6C94">
        <w:rPr>
          <w:b/>
          <w:bCs/>
          <w:i/>
          <w:iCs/>
        </w:rPr>
        <w:t xml:space="preserve"> had to get personal and address ID for every grandchild</w:t>
      </w:r>
      <w:r w:rsidR="00377128" w:rsidRPr="008C6C94">
        <w:rPr>
          <w:b/>
          <w:bCs/>
          <w:i/>
          <w:iCs/>
        </w:rPr>
        <w:t xml:space="preserve"> which he was sending in piecemeal</w:t>
      </w:r>
      <w:r w:rsidR="00917E5D" w:rsidRPr="008C6C94">
        <w:rPr>
          <w:b/>
          <w:bCs/>
          <w:i/>
          <w:iCs/>
        </w:rPr>
        <w:t>. This was incredibly difficult</w:t>
      </w:r>
      <w:r w:rsidR="005C0A7D" w:rsidRPr="008C6C94">
        <w:rPr>
          <w:b/>
          <w:bCs/>
          <w:i/>
          <w:iCs/>
        </w:rPr>
        <w:t xml:space="preserve"> as some of the grandchildren were babies and infants, </w:t>
      </w:r>
      <w:r w:rsidR="00377128" w:rsidRPr="008C6C94">
        <w:rPr>
          <w:b/>
          <w:bCs/>
          <w:i/>
          <w:iCs/>
        </w:rPr>
        <w:t xml:space="preserve">and </w:t>
      </w:r>
      <w:r w:rsidR="005C0A7D" w:rsidRPr="008C6C94">
        <w:rPr>
          <w:b/>
          <w:bCs/>
          <w:i/>
          <w:iCs/>
        </w:rPr>
        <w:t>we needed copies of birth certificates</w:t>
      </w:r>
      <w:r w:rsidR="00216D41">
        <w:rPr>
          <w:b/>
          <w:bCs/>
          <w:i/>
          <w:iCs/>
        </w:rPr>
        <w:t>,</w:t>
      </w:r>
      <w:r w:rsidR="001B2366" w:rsidRPr="008C6C94">
        <w:rPr>
          <w:b/>
          <w:bCs/>
          <w:i/>
          <w:iCs/>
        </w:rPr>
        <w:t xml:space="preserve"> child benefit letters</w:t>
      </w:r>
      <w:r w:rsidR="00216D41">
        <w:rPr>
          <w:b/>
          <w:bCs/>
          <w:i/>
          <w:iCs/>
        </w:rPr>
        <w:t xml:space="preserve">, </w:t>
      </w:r>
      <w:r w:rsidR="00262F8B">
        <w:rPr>
          <w:b/>
          <w:bCs/>
          <w:i/>
          <w:iCs/>
        </w:rPr>
        <w:t xml:space="preserve">parent ID, </w:t>
      </w:r>
      <w:r w:rsidR="00216D41">
        <w:rPr>
          <w:b/>
          <w:bCs/>
          <w:i/>
          <w:iCs/>
        </w:rPr>
        <w:t>and all sorts</w:t>
      </w:r>
      <w:r w:rsidR="005C0A7D" w:rsidRPr="008C6C94">
        <w:rPr>
          <w:b/>
          <w:bCs/>
          <w:i/>
          <w:iCs/>
        </w:rPr>
        <w:t>.</w:t>
      </w:r>
    </w:p>
    <w:p w14:paraId="569D7E08" w14:textId="72F8DF55" w:rsidR="008253E6" w:rsidRDefault="008253E6" w:rsidP="0027612D">
      <w:pPr>
        <w:pBdr>
          <w:top w:val="single" w:sz="4" w:space="1" w:color="auto"/>
          <w:left w:val="single" w:sz="4" w:space="4" w:color="auto"/>
          <w:bottom w:val="single" w:sz="4" w:space="1" w:color="auto"/>
          <w:right w:val="single" w:sz="4" w:space="4" w:color="auto"/>
        </w:pBdr>
        <w:rPr>
          <w:b/>
          <w:bCs/>
          <w:i/>
          <w:iCs/>
        </w:rPr>
      </w:pPr>
    </w:p>
    <w:p w14:paraId="509CA555" w14:textId="0BFE5D99" w:rsidR="008253E6" w:rsidRPr="008C6C94" w:rsidRDefault="008253E6" w:rsidP="0027612D">
      <w:pPr>
        <w:pBdr>
          <w:top w:val="single" w:sz="4" w:space="1" w:color="auto"/>
          <w:left w:val="single" w:sz="4" w:space="4" w:color="auto"/>
          <w:bottom w:val="single" w:sz="4" w:space="1" w:color="auto"/>
          <w:right w:val="single" w:sz="4" w:space="4" w:color="auto"/>
        </w:pBdr>
        <w:rPr>
          <w:b/>
          <w:bCs/>
          <w:i/>
          <w:iCs/>
        </w:rPr>
      </w:pPr>
      <w:r>
        <w:rPr>
          <w:b/>
          <w:bCs/>
          <w:i/>
          <w:iCs/>
        </w:rPr>
        <w:t xml:space="preserve">Anyway, </w:t>
      </w:r>
      <w:r w:rsidR="00262F8B">
        <w:rPr>
          <w:b/>
          <w:bCs/>
          <w:i/>
          <w:iCs/>
        </w:rPr>
        <w:t>the whole debacle could have been avoided if he’d written a capital redemption bond</w:t>
      </w:r>
      <w:r w:rsidR="003F78BD">
        <w:rPr>
          <w:b/>
          <w:bCs/>
          <w:i/>
          <w:iCs/>
        </w:rPr>
        <w:t xml:space="preserve">, but he was concerned about the FSCS cover not being as high, which is insane because </w:t>
      </w:r>
      <w:r w:rsidR="00F008BC">
        <w:rPr>
          <w:b/>
          <w:bCs/>
          <w:i/>
          <w:iCs/>
        </w:rPr>
        <w:t>for us to go down, the entire global economy would need to be utterly nuked, and the FSCS would be just as dead</w:t>
      </w:r>
      <w:r w:rsidR="00831749">
        <w:rPr>
          <w:b/>
          <w:bCs/>
          <w:i/>
          <w:iCs/>
        </w:rPr>
        <w:t>.</w:t>
      </w:r>
      <w:r w:rsidR="00AA076A">
        <w:rPr>
          <w:b/>
          <w:bCs/>
          <w:i/>
          <w:iCs/>
        </w:rPr>
        <w:t>”</w:t>
      </w:r>
    </w:p>
    <w:p w14:paraId="49E456FB" w14:textId="57E9A7AF" w:rsidR="00EE50A5" w:rsidRPr="008C6C94" w:rsidRDefault="00EE50A5" w:rsidP="0027612D">
      <w:pPr>
        <w:pBdr>
          <w:top w:val="single" w:sz="4" w:space="1" w:color="auto"/>
          <w:left w:val="single" w:sz="4" w:space="4" w:color="auto"/>
          <w:bottom w:val="single" w:sz="4" w:space="1" w:color="auto"/>
          <w:right w:val="single" w:sz="4" w:space="4" w:color="auto"/>
        </w:pBdr>
        <w:rPr>
          <w:b/>
          <w:bCs/>
        </w:rPr>
      </w:pPr>
    </w:p>
    <w:p w14:paraId="5DAD54D4" w14:textId="69436426" w:rsidR="0027612D" w:rsidRDefault="008C6C94" w:rsidP="00D67409">
      <w:pPr>
        <w:pBdr>
          <w:top w:val="single" w:sz="4" w:space="1" w:color="auto"/>
          <w:left w:val="single" w:sz="4" w:space="4" w:color="auto"/>
          <w:bottom w:val="single" w:sz="4" w:space="1" w:color="auto"/>
          <w:right w:val="single" w:sz="4" w:space="4" w:color="auto"/>
        </w:pBdr>
        <w:rPr>
          <w:b/>
          <w:bCs/>
        </w:rPr>
      </w:pPr>
      <w:r w:rsidRPr="008C6C94">
        <w:rPr>
          <w:b/>
          <w:bCs/>
        </w:rPr>
        <w:t>- Source has requested to remain anonymous</w:t>
      </w:r>
    </w:p>
    <w:p w14:paraId="4CD79BDD" w14:textId="5E12C0E7" w:rsidR="0027612D" w:rsidRDefault="0027612D" w:rsidP="0027612D">
      <w:pPr>
        <w:rPr>
          <w:b/>
          <w:bCs/>
        </w:rPr>
      </w:pPr>
    </w:p>
    <w:p w14:paraId="48D96A1E" w14:textId="5171B2FB" w:rsidR="00316E7C" w:rsidRDefault="00316E7C" w:rsidP="00316E7C">
      <w:pPr>
        <w:pStyle w:val="Heading3"/>
      </w:pPr>
      <w:bookmarkStart w:id="30" w:name="_Toc187422054"/>
      <w:r>
        <w:t>Solutions for Where There’s No Insurable Interest</w:t>
      </w:r>
      <w:bookmarkEnd w:id="30"/>
    </w:p>
    <w:p w14:paraId="4ECFDE17" w14:textId="77777777" w:rsidR="00316E7C" w:rsidRDefault="00316E7C" w:rsidP="00316E7C">
      <w:pPr>
        <w:rPr>
          <w:b/>
          <w:bCs/>
        </w:rPr>
      </w:pPr>
    </w:p>
    <w:p w14:paraId="074351FD" w14:textId="77777777" w:rsidR="00695ABA" w:rsidRDefault="00D85ED8" w:rsidP="00316E7C">
      <w:r w:rsidRPr="001E0ACE">
        <w:rPr>
          <w:b/>
          <w:bCs/>
        </w:rPr>
        <w:t>Capital redemption bonds</w:t>
      </w:r>
      <w:r>
        <w:t xml:space="preserve">, as referenced in the </w:t>
      </w:r>
      <w:r w:rsidR="00A816BD">
        <w:t>‘horror story’ above, are investment bonds which are not legally structured as life assurance contracts</w:t>
      </w:r>
      <w:r w:rsidR="00E215C5">
        <w:t>, so there is no life assured</w:t>
      </w:r>
      <w:r w:rsidR="00A816BD">
        <w:t xml:space="preserve">. However, they </w:t>
      </w:r>
      <w:r w:rsidR="00B51AB2">
        <w:t xml:space="preserve">broadly </w:t>
      </w:r>
      <w:r w:rsidR="00A816BD">
        <w:t>have all the same features</w:t>
      </w:r>
      <w:r w:rsidR="00B76124">
        <w:t xml:space="preserve"> and chargeable gains are taxed identically. The difference is that, instead of paying out on death of the life assured, they pay out </w:t>
      </w:r>
      <w:r w:rsidR="003458D9">
        <w:t>after a fixed t</w:t>
      </w:r>
      <w:r w:rsidR="008F07B8">
        <w:t>erm</w:t>
      </w:r>
      <w:r w:rsidR="003458D9">
        <w:t>, for example, 10</w:t>
      </w:r>
      <w:r w:rsidR="00082262">
        <w:t>0</w:t>
      </w:r>
      <w:r w:rsidR="003458D9">
        <w:t xml:space="preserve"> years from date of inception</w:t>
      </w:r>
      <w:r w:rsidR="008F07B8">
        <w:t xml:space="preserve"> (or earlier encashment by the policyholder)</w:t>
      </w:r>
      <w:r w:rsidR="003458D9">
        <w:t>.</w:t>
      </w:r>
    </w:p>
    <w:p w14:paraId="530485B3" w14:textId="77777777" w:rsidR="00695ABA" w:rsidRDefault="00695ABA" w:rsidP="00316E7C"/>
    <w:p w14:paraId="6E0FA099" w14:textId="76A6B279" w:rsidR="00784512" w:rsidRDefault="00082262" w:rsidP="00316E7C">
      <w:r>
        <w:t xml:space="preserve">However, because capital redemption bonds are not technically life assurance policies, they </w:t>
      </w:r>
      <w:r w:rsidR="00784512">
        <w:t>are unlikely to qualify for as generous compensation under the Financial Services Compensation Scheme (FSCS).</w:t>
      </w:r>
      <w:r w:rsidR="00695ABA">
        <w:t xml:space="preserve"> </w:t>
      </w:r>
      <w:r w:rsidR="00784512">
        <w:t xml:space="preserve">The FSCS </w:t>
      </w:r>
      <w:r w:rsidR="001C5748">
        <w:t xml:space="preserve">treats life assurance-based investment bonds as long-term insurance contracts, so covers them up to 100% with no upper limit. </w:t>
      </w:r>
      <w:r w:rsidR="00695ABA">
        <w:t>But</w:t>
      </w:r>
      <w:r w:rsidR="001C5748">
        <w:t xml:space="preserve"> capital redemption bonds are treated as investments, so are only</w:t>
      </w:r>
      <w:r w:rsidR="00695ABA">
        <w:t xml:space="preserve"> likely to be</w:t>
      </w:r>
      <w:r w:rsidR="001C5748">
        <w:t xml:space="preserve"> covered up to £85,000 per person, per firm. </w:t>
      </w:r>
      <w:r w:rsidR="00AB3C42">
        <w:t xml:space="preserve">That said, this </w:t>
      </w:r>
      <w:r w:rsidR="00695ABA">
        <w:t xml:space="preserve">theory </w:t>
      </w:r>
      <w:r w:rsidR="00AB3C42">
        <w:t>has never been tested</w:t>
      </w:r>
      <w:r w:rsidR="007A0238">
        <w:t xml:space="preserve"> because no life office has become insolvent since the formation of the FSCS.</w:t>
      </w:r>
    </w:p>
    <w:p w14:paraId="28906900" w14:textId="4718FF23" w:rsidR="001E0ACE" w:rsidRDefault="001E0ACE" w:rsidP="00316E7C"/>
    <w:p w14:paraId="2500CF43" w14:textId="2258973A" w:rsidR="001E0ACE" w:rsidRDefault="001E0ACE" w:rsidP="00316E7C">
      <w:r>
        <w:t xml:space="preserve">Another issue with capital redemption bonds is that only a limited number of providers sell them, </w:t>
      </w:r>
      <w:r w:rsidR="002B76ED">
        <w:t>so the market is small with limited competition. They may also only be offered by a particular life office for on or offshore bonds, but not both.</w:t>
      </w:r>
      <w:r w:rsidR="00316E7C">
        <w:t xml:space="preserve"> Furthermore, some life offices have historically charged a premium for writing bonds on a capital redemption basis, versus </w:t>
      </w:r>
      <w:r w:rsidR="00863A42">
        <w:t xml:space="preserve">more </w:t>
      </w:r>
      <w:r w:rsidR="00316E7C">
        <w:t>traditional life assurance.</w:t>
      </w:r>
    </w:p>
    <w:p w14:paraId="66569E7A" w14:textId="240A9E44" w:rsidR="002B76ED" w:rsidRDefault="002B76ED" w:rsidP="00316E7C"/>
    <w:p w14:paraId="4666586A" w14:textId="6615AC33" w:rsidR="002B76ED" w:rsidRPr="00D85ED8" w:rsidRDefault="002B76ED" w:rsidP="00316E7C">
      <w:r>
        <w:t xml:space="preserve">Despite these shortcomings, they’re a </w:t>
      </w:r>
      <w:r w:rsidR="00A15DAF">
        <w:t>useful</w:t>
      </w:r>
      <w:r>
        <w:t xml:space="preserve"> way </w:t>
      </w:r>
      <w:r w:rsidR="00C26536">
        <w:t>to write investment bonds where there is a requirement for the bond to continue existing after the policyholder’s death</w:t>
      </w:r>
      <w:r w:rsidR="00316E7C">
        <w:t xml:space="preserve">, </w:t>
      </w:r>
      <w:r w:rsidR="00C26536">
        <w:t xml:space="preserve">and the policyholder has no insurable </w:t>
      </w:r>
      <w:r w:rsidR="001D5EAA">
        <w:t>interest on anyone else who could be an additional life assured.</w:t>
      </w:r>
      <w:r w:rsidR="00316E7C">
        <w:t xml:space="preserve"> And, for policyholders that are too old to be accepted as lives assured by the life office.</w:t>
      </w:r>
    </w:p>
    <w:p w14:paraId="736A7BAF" w14:textId="758D649A" w:rsidR="0027612D" w:rsidRDefault="0027612D" w:rsidP="00316E7C">
      <w:pPr>
        <w:rPr>
          <w:b/>
          <w:bCs/>
        </w:rPr>
      </w:pPr>
    </w:p>
    <w:p w14:paraId="3F835AD3" w14:textId="39C07F15" w:rsidR="001C68A2" w:rsidRDefault="00A46F4A" w:rsidP="00316E7C">
      <w:r w:rsidRPr="00A46F4A">
        <w:rPr>
          <w:b/>
          <w:bCs/>
        </w:rPr>
        <w:t>Loan</w:t>
      </w:r>
      <w:r w:rsidR="00316E7C">
        <w:rPr>
          <w:b/>
          <w:bCs/>
        </w:rPr>
        <w:t xml:space="preserve"> trusts </w:t>
      </w:r>
      <w:r w:rsidR="00316E7C">
        <w:t>are another</w:t>
      </w:r>
      <w:r w:rsidR="00954C84">
        <w:t xml:space="preserve"> option.</w:t>
      </w:r>
      <w:r w:rsidR="003F57A7">
        <w:t xml:space="preserve"> </w:t>
      </w:r>
      <w:r w:rsidR="000B3925" w:rsidRPr="008F70BD">
        <w:rPr>
          <w:i/>
          <w:iCs/>
        </w:rPr>
        <w:t>Note: t</w:t>
      </w:r>
      <w:r w:rsidR="002073C7" w:rsidRPr="008F70BD">
        <w:rPr>
          <w:i/>
          <w:iCs/>
        </w:rPr>
        <w:t>heoretically you could go to a solicitor and get them to write any trust you like</w:t>
      </w:r>
      <w:r w:rsidR="00145733" w:rsidRPr="008F70BD">
        <w:rPr>
          <w:i/>
          <w:iCs/>
        </w:rPr>
        <w:t xml:space="preserve"> which would do the same thing, but when it comes to the free off-the-shelf trust deeds from life offices, </w:t>
      </w:r>
      <w:r w:rsidR="000B3925" w:rsidRPr="008F70BD">
        <w:rPr>
          <w:i/>
          <w:iCs/>
        </w:rPr>
        <w:t xml:space="preserve">usually </w:t>
      </w:r>
      <w:r w:rsidR="00145733" w:rsidRPr="008F70BD">
        <w:rPr>
          <w:i/>
          <w:iCs/>
        </w:rPr>
        <w:t>only Loan Trusts work with this little trick.</w:t>
      </w:r>
    </w:p>
    <w:p w14:paraId="10CD9F68" w14:textId="22E067DA" w:rsidR="001C68A2" w:rsidRDefault="001C68A2" w:rsidP="00316E7C"/>
    <w:p w14:paraId="757C4ABD" w14:textId="2B261B84" w:rsidR="007239F6" w:rsidRDefault="003119AC" w:rsidP="00316E7C">
      <w:r>
        <w:t xml:space="preserve">Where </w:t>
      </w:r>
      <w:r w:rsidR="00A46F4A">
        <w:t xml:space="preserve">new </w:t>
      </w:r>
      <w:r w:rsidR="00B13D4F">
        <w:t>bonds are</w:t>
      </w:r>
      <w:r w:rsidR="00951B82">
        <w:t xml:space="preserve"> written</w:t>
      </w:r>
      <w:r w:rsidR="00047BE2">
        <w:t xml:space="preserve"> in</w:t>
      </w:r>
      <w:r w:rsidR="008F70BD">
        <w:t xml:space="preserve"> a life office</w:t>
      </w:r>
      <w:r w:rsidR="00047BE2">
        <w:t xml:space="preserve"> trust</w:t>
      </w:r>
      <w:r w:rsidR="008F70BD">
        <w:t>,</w:t>
      </w:r>
      <w:r w:rsidR="004C5D05">
        <w:t xml:space="preserve"> usually what happens is - technically - the bond is </w:t>
      </w:r>
      <w:r w:rsidR="001C68A2">
        <w:t>created</w:t>
      </w:r>
      <w:r w:rsidR="004C5D05">
        <w:t xml:space="preserve"> and then </w:t>
      </w:r>
      <w:r w:rsidR="004C5D05" w:rsidRPr="00951B82">
        <w:rPr>
          <w:i/>
          <w:iCs/>
        </w:rPr>
        <w:t>subsequently</w:t>
      </w:r>
      <w:r w:rsidR="004C5D05">
        <w:t xml:space="preserve"> placed into the trust. </w:t>
      </w:r>
      <w:r w:rsidR="001C68A2">
        <w:t>This is known as an “at issue” trust.</w:t>
      </w:r>
    </w:p>
    <w:p w14:paraId="112FF7A1" w14:textId="783B9208" w:rsidR="007239F6" w:rsidRDefault="007239F6" w:rsidP="00316E7C"/>
    <w:p w14:paraId="205E461A" w14:textId="050368BA" w:rsidR="007239F6" w:rsidRDefault="007239F6" w:rsidP="00316E7C">
      <w:r>
        <w:t>However, Loan Trusts involve</w:t>
      </w:r>
      <w:r w:rsidR="003F57A7">
        <w:t xml:space="preserve"> the Settlor first gifting cash into trust, and then the Trustees using the cash to purchase an investment bond.</w:t>
      </w:r>
      <w:r w:rsidR="004A10B2">
        <w:t xml:space="preserve"> </w:t>
      </w:r>
      <w:r w:rsidR="00A73CC2">
        <w:t>So, it is the Trustees who are writing the bond.</w:t>
      </w:r>
      <w:r w:rsidR="008C179D">
        <w:t xml:space="preserve"> The Trustees are technically the legal owners of the trust property so can write a bond with themselves as lives assured.</w:t>
      </w:r>
      <w:r w:rsidR="00A73CC2">
        <w:t xml:space="preserve"> The Settlor is free to nominate pretty much anyone </w:t>
      </w:r>
      <w:r w:rsidR="00283DBD">
        <w:t>they</w:t>
      </w:r>
      <w:r w:rsidR="00A73CC2">
        <w:t xml:space="preserve"> want as a Trustee</w:t>
      </w:r>
      <w:r w:rsidR="00252541">
        <w:t>, which would include people on whose lives he has no insurable interest.</w:t>
      </w:r>
    </w:p>
    <w:p w14:paraId="04EF5A60" w14:textId="6D6AD563" w:rsidR="003F57A7" w:rsidRDefault="003F57A7" w:rsidP="00316E7C"/>
    <w:p w14:paraId="28DB4BA3" w14:textId="202ABA7F" w:rsidR="0027612D" w:rsidRDefault="00D01F30" w:rsidP="0027612D">
      <w:r>
        <w:t>W</w:t>
      </w:r>
      <w:r w:rsidR="00F421DC">
        <w:t>ith a Loan Trust, the Settlor will be</w:t>
      </w:r>
      <w:r>
        <w:t xml:space="preserve"> relinquishing </w:t>
      </w:r>
      <w:r w:rsidR="00F421DC">
        <w:t>all his</w:t>
      </w:r>
      <w:r>
        <w:t xml:space="preserve"> investment</w:t>
      </w:r>
      <w:r w:rsidR="00F421DC">
        <w:t xml:space="preserve"> growth</w:t>
      </w:r>
      <w:r w:rsidR="009C742B">
        <w:t xml:space="preserve"> </w:t>
      </w:r>
      <w:r>
        <w:t>to the trust</w:t>
      </w:r>
      <w:r w:rsidR="007B50AD">
        <w:t xml:space="preserve"> (he would only retain access to the original capital)</w:t>
      </w:r>
      <w:r>
        <w:t xml:space="preserve"> but it could nevertheless be a very useful </w:t>
      </w:r>
      <w:r w:rsidR="00505559">
        <w:t>way for an older client to conduct some clever estate planning, especially if they’re too old to be a life assured themselves.</w:t>
      </w:r>
    </w:p>
    <w:p w14:paraId="3D9B2AE8" w14:textId="04C9DBDA" w:rsidR="00505559" w:rsidRDefault="00505559" w:rsidP="0027612D"/>
    <w:p w14:paraId="4F03FE4E" w14:textId="2CB73528" w:rsidR="00505559" w:rsidRDefault="00505559" w:rsidP="0027612D">
      <w:r>
        <w:t>Again, a solicitor could write a</w:t>
      </w:r>
      <w:r w:rsidR="00F4709F">
        <w:t>ny trust the Settlor wants</w:t>
      </w:r>
      <w:r w:rsidR="004C2A04">
        <w:t xml:space="preserve"> to facilitate this, but this costs money, and </w:t>
      </w:r>
      <w:r w:rsidR="007A7EB5">
        <w:t>the only trust typically offered by life offices involving the initial gift of cash and the subsequent purchase of a bond by Trustees is a Loan Trust</w:t>
      </w:r>
      <w:r w:rsidR="00F4709F">
        <w:t xml:space="preserve">. </w:t>
      </w:r>
      <w:r w:rsidR="007A7EB5">
        <w:t>But, for example, a Solicitor could</w:t>
      </w:r>
      <w:r w:rsidR="004C2A04">
        <w:t xml:space="preserve"> write a</w:t>
      </w:r>
      <w:r w:rsidR="004A5C9C">
        <w:t xml:space="preserve"> </w:t>
      </w:r>
      <w:r w:rsidR="008C2DBC">
        <w:t>simple probate</w:t>
      </w:r>
      <w:r w:rsidR="004C2A04">
        <w:t xml:space="preserve"> trust for</w:t>
      </w:r>
      <w:r w:rsidR="002E04D8">
        <w:t xml:space="preserve"> the Settlor, with the Settlor</w:t>
      </w:r>
      <w:r w:rsidR="004C2A04">
        <w:t xml:space="preserve"> as </w:t>
      </w:r>
      <w:r w:rsidR="008C2DBC">
        <w:t xml:space="preserve">a potential </w:t>
      </w:r>
      <w:r w:rsidR="004C2A04">
        <w:t>beneficiary</w:t>
      </w:r>
      <w:r w:rsidR="00305A4E">
        <w:t>. The Settlor could gift the cash into it, and the Trustees could use the cash to write a bond</w:t>
      </w:r>
      <w:r w:rsidR="00AA4CE1">
        <w:t xml:space="preserve"> with themselves as lives assured.</w:t>
      </w:r>
      <w:r w:rsidR="008C2DBC">
        <w:t xml:space="preserve"> </w:t>
      </w:r>
      <w:r w:rsidR="00AA4CE1">
        <w:t>Meanwhile, the trust</w:t>
      </w:r>
      <w:r w:rsidR="00540368">
        <w:t xml:space="preserve"> would enable</w:t>
      </w:r>
      <w:r w:rsidR="00AA4CE1">
        <w:t xml:space="preserve"> the Settlor to have</w:t>
      </w:r>
      <w:r w:rsidR="00540368">
        <w:t xml:space="preserve"> </w:t>
      </w:r>
      <w:r w:rsidR="00555AEB">
        <w:t>full access to the bond (including its growth</w:t>
      </w:r>
      <w:r w:rsidR="004567D0">
        <w:t>,</w:t>
      </w:r>
      <w:r w:rsidR="00555AEB">
        <w:t xml:space="preserve"> unlike the Loan Trust)</w:t>
      </w:r>
      <w:r w:rsidR="00305A4E">
        <w:t>.</w:t>
      </w:r>
    </w:p>
    <w:p w14:paraId="3C4FDE00" w14:textId="5F04847C" w:rsidR="002E04D8" w:rsidRDefault="002E04D8" w:rsidP="0027612D"/>
    <w:p w14:paraId="4B5B64C2" w14:textId="0F507A77" w:rsidR="002E04D8" w:rsidRPr="00505559" w:rsidRDefault="004567D0" w:rsidP="0027612D">
      <w:r>
        <w:t xml:space="preserve">We’re aware we’ve used some unavoidable jargon here. This is a course on investment bonds, not trusts, </w:t>
      </w:r>
      <w:r w:rsidR="007B50AD">
        <w:t>so anything more technical is beyond the scope of this course.</w:t>
      </w:r>
    </w:p>
    <w:p w14:paraId="6C1BA203" w14:textId="7B2330D1" w:rsidR="0027612D" w:rsidRDefault="0027612D" w:rsidP="0027612D">
      <w:pPr>
        <w:rPr>
          <w:b/>
          <w:bCs/>
        </w:rPr>
      </w:pPr>
    </w:p>
    <w:p w14:paraId="1014B924" w14:textId="060F4D42" w:rsidR="0027612D" w:rsidRDefault="0027612D" w:rsidP="0027612D">
      <w:pPr>
        <w:rPr>
          <w:b/>
          <w:bCs/>
        </w:rPr>
      </w:pPr>
    </w:p>
    <w:p w14:paraId="141392C7" w14:textId="31E899C5" w:rsidR="0027612D" w:rsidRDefault="000B02FD" w:rsidP="009F69E0">
      <w:pPr>
        <w:pStyle w:val="Heading2"/>
      </w:pPr>
      <w:bookmarkStart w:id="31" w:name="_Toc187422055"/>
      <w:r>
        <w:t>Tax</w:t>
      </w:r>
      <w:r w:rsidR="002C347F">
        <w:t xml:space="preserve"> on Jointly Owned Bonds</w:t>
      </w:r>
      <w:bookmarkEnd w:id="31"/>
    </w:p>
    <w:p w14:paraId="0F1938E2" w14:textId="55A7F99C" w:rsidR="009F69E0" w:rsidRDefault="009F69E0" w:rsidP="009F69E0"/>
    <w:p w14:paraId="473DB61C" w14:textId="1EB7069F" w:rsidR="00AE2F2B" w:rsidRDefault="00CA361E" w:rsidP="009F69E0">
      <w:r>
        <w:t>We’ve already covered how chargeable events are taxed on individuals</w:t>
      </w:r>
      <w:r w:rsidR="00293168">
        <w:t xml:space="preserve"> earlier in this course, and the availability of top-slicing relief.</w:t>
      </w:r>
      <w:r w:rsidR="00EA6D59" w:rsidRPr="00EA6D59">
        <w:t xml:space="preserve"> </w:t>
      </w:r>
      <w:r w:rsidR="00EA6D59">
        <w:t>This section deals with who the tax is levied on for jointly owned bonds.</w:t>
      </w:r>
    </w:p>
    <w:p w14:paraId="41EC7A59" w14:textId="77777777" w:rsidR="00AE2F2B" w:rsidRDefault="00AE2F2B" w:rsidP="009F69E0"/>
    <w:p w14:paraId="33977920" w14:textId="53DF69EB" w:rsidR="00AE2F2B" w:rsidRPr="00EA6D59" w:rsidRDefault="00AE2F2B" w:rsidP="00AE2F2B">
      <w:pPr>
        <w:pBdr>
          <w:top w:val="single" w:sz="4" w:space="1" w:color="auto"/>
          <w:left w:val="single" w:sz="4" w:space="4" w:color="auto"/>
          <w:bottom w:val="single" w:sz="4" w:space="1" w:color="auto"/>
          <w:right w:val="single" w:sz="4" w:space="4" w:color="auto"/>
        </w:pBdr>
        <w:rPr>
          <w:b/>
          <w:bCs/>
        </w:rPr>
      </w:pPr>
      <w:r w:rsidRPr="00EA6D59">
        <w:rPr>
          <w:b/>
          <w:bCs/>
        </w:rPr>
        <w:t xml:space="preserve">Married </w:t>
      </w:r>
      <w:r w:rsidR="008D06EC" w:rsidRPr="00EA6D59">
        <w:rPr>
          <w:b/>
          <w:bCs/>
        </w:rPr>
        <w:t>couples/civil partners can avoid tax on encashing a jointly owned bond</w:t>
      </w:r>
      <w:r w:rsidR="009122B0" w:rsidRPr="00EA6D59">
        <w:rPr>
          <w:b/>
          <w:bCs/>
        </w:rPr>
        <w:t xml:space="preserve">, by first assigning it to </w:t>
      </w:r>
      <w:r w:rsidR="00442B02" w:rsidRPr="00EA6D59">
        <w:rPr>
          <w:b/>
          <w:bCs/>
        </w:rPr>
        <w:t>the lower-</w:t>
      </w:r>
      <w:r w:rsidR="00CF5371" w:rsidRPr="00EA6D59">
        <w:rPr>
          <w:b/>
          <w:bCs/>
        </w:rPr>
        <w:t>income</w:t>
      </w:r>
      <w:r w:rsidR="00442B02" w:rsidRPr="00EA6D59">
        <w:rPr>
          <w:b/>
          <w:bCs/>
        </w:rPr>
        <w:t xml:space="preserve"> spouse. The assignment is free of CGT (because it’s not for money or money’s worth), </w:t>
      </w:r>
      <w:r w:rsidR="00CF5371" w:rsidRPr="00EA6D59">
        <w:rPr>
          <w:b/>
          <w:bCs/>
        </w:rPr>
        <w:t xml:space="preserve">and IHT (due to the spousal exemption). This </w:t>
      </w:r>
      <w:r w:rsidR="00214711" w:rsidRPr="00EA6D59">
        <w:rPr>
          <w:b/>
          <w:bCs/>
        </w:rPr>
        <w:t>could even be an opportunity to change the ownership structure</w:t>
      </w:r>
      <w:r w:rsidR="00B25489" w:rsidRPr="00EA6D59">
        <w:rPr>
          <w:b/>
          <w:bCs/>
        </w:rPr>
        <w:t xml:space="preserve"> completely</w:t>
      </w:r>
      <w:r w:rsidR="00214711" w:rsidRPr="00EA6D59">
        <w:rPr>
          <w:b/>
          <w:bCs/>
        </w:rPr>
        <w:t xml:space="preserve"> “Voldemort’s soul style” and </w:t>
      </w:r>
      <w:r w:rsidR="005E7E32" w:rsidRPr="00EA6D59">
        <w:rPr>
          <w:b/>
          <w:bCs/>
        </w:rPr>
        <w:t>assign different</w:t>
      </w:r>
      <w:r w:rsidR="006E0692" w:rsidRPr="00EA6D59">
        <w:rPr>
          <w:b/>
          <w:bCs/>
        </w:rPr>
        <w:t xml:space="preserve"> segments to each </w:t>
      </w:r>
      <w:r w:rsidR="006E0692" w:rsidRPr="00EA6D59">
        <w:rPr>
          <w:b/>
          <w:bCs/>
        </w:rPr>
        <w:lastRenderedPageBreak/>
        <w:t xml:space="preserve">spouse to maximise </w:t>
      </w:r>
      <w:r w:rsidR="00B25489" w:rsidRPr="00EA6D59">
        <w:rPr>
          <w:b/>
          <w:bCs/>
        </w:rPr>
        <w:t xml:space="preserve">personal tax allowances and exemptions. However, this is complex, and </w:t>
      </w:r>
      <w:r w:rsidR="000869D6" w:rsidRPr="00EA6D59">
        <w:rPr>
          <w:b/>
          <w:bCs/>
        </w:rPr>
        <w:t xml:space="preserve">gifts need to be absolute. One spouse can’t gift a bond to the other, and then </w:t>
      </w:r>
      <w:r w:rsidR="00EA6D59" w:rsidRPr="00EA6D59">
        <w:rPr>
          <w:b/>
          <w:bCs/>
        </w:rPr>
        <w:t>on encashment reap the benefit of half the proceeds.</w:t>
      </w:r>
    </w:p>
    <w:p w14:paraId="35A13CA7" w14:textId="77777777" w:rsidR="0068122B" w:rsidRDefault="0068122B" w:rsidP="009F69E0"/>
    <w:p w14:paraId="4EFC01F9" w14:textId="48DF0B95" w:rsidR="00BE7F2E" w:rsidRDefault="0068122B" w:rsidP="0068122B">
      <w:r>
        <w:t>Where a bond is jointly owned, and one of the policyholders dies, full ownership transfers to the survivor on first death. When the other policyholder dies, the whole gain will be assessed on them as if they’d owned the bond outright the whole time. T</w:t>
      </w:r>
      <w:r w:rsidR="00324F9A">
        <w:t>he t</w:t>
      </w:r>
      <w:r w:rsidR="006B49A8">
        <w:t>ax is assessed on th</w:t>
      </w:r>
      <w:r>
        <w:t>e last to die</w:t>
      </w:r>
      <w:r w:rsidR="006B49A8">
        <w:t xml:space="preserve"> in the tax year of death.</w:t>
      </w:r>
      <w:r w:rsidR="001E6A5A">
        <w:t xml:space="preserve"> Where two policyholders die simultaneously and it’s impossible to determine the order of death (e.g., in a car accident) the oldest is deemed to have died first.</w:t>
      </w:r>
    </w:p>
    <w:p w14:paraId="3E13B532" w14:textId="77777777" w:rsidR="0068122B" w:rsidRDefault="0068122B" w:rsidP="0068122B"/>
    <w:p w14:paraId="052374CC" w14:textId="58ABE41F" w:rsidR="004F5693" w:rsidRDefault="008C6B28" w:rsidP="00BB21D8">
      <w:r>
        <w:t xml:space="preserve">Where a bond is owned by a single policyholder, and the person dies, but the bond continues due to the survival of the life assured, the policyholder’s Personal Representatives may decide to encash the policy. If they do, they will be liable to Income Tax at 20% of the chargeable gain. </w:t>
      </w:r>
      <w:r w:rsidRPr="0068122B">
        <w:rPr>
          <w:i/>
          <w:iCs/>
        </w:rPr>
        <w:t>Note that for UK bonds, the charge is effectively nil as it’s covered by the 20% onshore tax credit.</w:t>
      </w:r>
      <w:r w:rsidR="0068122B" w:rsidRPr="0068122B">
        <w:rPr>
          <w:i/>
          <w:iCs/>
        </w:rPr>
        <w:t xml:space="preserve"> Further, there’s no top-slicing relief available.</w:t>
      </w:r>
      <w:r w:rsidR="0068122B">
        <w:t xml:space="preserve"> </w:t>
      </w:r>
      <w:r>
        <w:t xml:space="preserve">Therefore, it may be simpler for the Personal Representatives to use Deeds of Assignment to assign bond segments to the beneficiaries (hoping that the number of </w:t>
      </w:r>
      <w:r w:rsidR="002416A8">
        <w:t>segments</w:t>
      </w:r>
      <w:r>
        <w:t xml:space="preserve"> is divisible by the number of </w:t>
      </w:r>
      <w:r w:rsidR="002416A8">
        <w:t>beneficiaries</w:t>
      </w:r>
      <w:r>
        <w:t>!)</w:t>
      </w:r>
    </w:p>
    <w:p w14:paraId="79545314" w14:textId="77777777" w:rsidR="00BD5EF9" w:rsidRDefault="00BD5EF9" w:rsidP="00BB21D8"/>
    <w:p w14:paraId="5BAB1DC2" w14:textId="27C7606E" w:rsidR="00BD5EF9" w:rsidRPr="004F5693" w:rsidRDefault="00BD5EF9" w:rsidP="00BD5EF9">
      <w:pPr>
        <w:spacing w:after="160"/>
      </w:pPr>
    </w:p>
    <w:sectPr w:rsidR="00BD5EF9" w:rsidRPr="004F5693" w:rsidSect="00713850">
      <w:footerReference w:type="defaul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5FFB" w14:textId="77777777" w:rsidR="002E2DBA" w:rsidRDefault="002E2DBA" w:rsidP="00D07B3E">
      <w:r>
        <w:separator/>
      </w:r>
    </w:p>
    <w:p w14:paraId="090AE439" w14:textId="77777777" w:rsidR="002E2DBA" w:rsidRDefault="002E2DBA" w:rsidP="00D07B3E"/>
  </w:endnote>
  <w:endnote w:type="continuationSeparator" w:id="0">
    <w:p w14:paraId="5878EB67" w14:textId="77777777" w:rsidR="002E2DBA" w:rsidRDefault="002E2DBA" w:rsidP="00D07B3E">
      <w:r>
        <w:continuationSeparator/>
      </w:r>
    </w:p>
    <w:p w14:paraId="31EBA2B7" w14:textId="77777777" w:rsidR="002E2DBA" w:rsidRDefault="002E2DBA" w:rsidP="00D07B3E"/>
  </w:endnote>
  <w:endnote w:type="continuationNotice" w:id="1">
    <w:p w14:paraId="796A3F14" w14:textId="77777777" w:rsidR="002E2DBA" w:rsidRDefault="002E2D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5075" w14:textId="68A96623" w:rsidR="7974F802" w:rsidRDefault="001C4891" w:rsidP="00D07B3E">
    <w:pPr>
      <w:pStyle w:val="Footer"/>
    </w:pPr>
    <w:r>
      <w:t>P</w:t>
    </w:r>
    <w:r w:rsidR="00B02CD6">
      <w:t>FE Online Training</w:t>
    </w:r>
    <w:r w:rsidR="00713850" w:rsidRPr="00713850">
      <w:ptab w:relativeTo="margin" w:alignment="center" w:leader="none"/>
    </w:r>
    <w:r w:rsidR="00B02CD6">
      <w:t>Investment Bonds (Jan 202</w:t>
    </w:r>
    <w:r w:rsidR="00BD5EF9">
      <w:t>5</w:t>
    </w:r>
    <w:r w:rsidR="00B02CD6">
      <w:t>)</w:t>
    </w:r>
    <w:r w:rsidR="00713850" w:rsidRPr="00713850">
      <w:ptab w:relativeTo="margin" w:alignment="right" w:leader="none"/>
    </w:r>
    <w:r w:rsidR="00713850" w:rsidRPr="00713850">
      <w:fldChar w:fldCharType="begin"/>
    </w:r>
    <w:r w:rsidR="00713850" w:rsidRPr="00713850">
      <w:instrText xml:space="preserve"> PAGE   \* MERGEFORMAT </w:instrText>
    </w:r>
    <w:r w:rsidR="00713850" w:rsidRPr="00713850">
      <w:fldChar w:fldCharType="separate"/>
    </w:r>
    <w:r w:rsidR="00713850" w:rsidRPr="00713850">
      <w:rPr>
        <w:noProof/>
      </w:rPr>
      <w:t>1</w:t>
    </w:r>
    <w:r w:rsidR="00713850" w:rsidRPr="00713850">
      <w:rPr>
        <w:noProof/>
      </w:rPr>
      <w:fldChar w:fldCharType="end"/>
    </w:r>
  </w:p>
  <w:p w14:paraId="0F4F4A32" w14:textId="77777777" w:rsidR="001740C5" w:rsidRDefault="001740C5" w:rsidP="00D07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ADD4" w14:textId="77777777" w:rsidR="002E2DBA" w:rsidRDefault="002E2DBA" w:rsidP="00D07B3E">
      <w:r>
        <w:separator/>
      </w:r>
    </w:p>
    <w:p w14:paraId="19018E09" w14:textId="77777777" w:rsidR="002E2DBA" w:rsidRDefault="002E2DBA" w:rsidP="00D07B3E"/>
  </w:footnote>
  <w:footnote w:type="continuationSeparator" w:id="0">
    <w:p w14:paraId="4247C676" w14:textId="77777777" w:rsidR="002E2DBA" w:rsidRDefault="002E2DBA" w:rsidP="00D07B3E">
      <w:r>
        <w:continuationSeparator/>
      </w:r>
    </w:p>
    <w:p w14:paraId="569566F8" w14:textId="77777777" w:rsidR="002E2DBA" w:rsidRDefault="002E2DBA" w:rsidP="00D07B3E"/>
  </w:footnote>
  <w:footnote w:type="continuationNotice" w:id="1">
    <w:p w14:paraId="4E1A84F3" w14:textId="77777777" w:rsidR="002E2DBA" w:rsidRDefault="002E2D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685D"/>
    <w:multiLevelType w:val="hybridMultilevel"/>
    <w:tmpl w:val="3078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42D31"/>
    <w:multiLevelType w:val="hybridMultilevel"/>
    <w:tmpl w:val="D2F6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C1120"/>
    <w:multiLevelType w:val="hybridMultilevel"/>
    <w:tmpl w:val="F5C40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2660D"/>
    <w:multiLevelType w:val="hybridMultilevel"/>
    <w:tmpl w:val="7A3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90921"/>
    <w:multiLevelType w:val="hybridMultilevel"/>
    <w:tmpl w:val="4D16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71C93"/>
    <w:multiLevelType w:val="hybridMultilevel"/>
    <w:tmpl w:val="EC2A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F4591"/>
    <w:multiLevelType w:val="hybridMultilevel"/>
    <w:tmpl w:val="2514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E155B"/>
    <w:multiLevelType w:val="hybridMultilevel"/>
    <w:tmpl w:val="F94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C4B7D"/>
    <w:multiLevelType w:val="hybridMultilevel"/>
    <w:tmpl w:val="8518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F4AC5"/>
    <w:multiLevelType w:val="hybridMultilevel"/>
    <w:tmpl w:val="4FA0F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109747">
    <w:abstractNumId w:val="9"/>
  </w:num>
  <w:num w:numId="2" w16cid:durableId="837965459">
    <w:abstractNumId w:val="1"/>
  </w:num>
  <w:num w:numId="3" w16cid:durableId="1811898475">
    <w:abstractNumId w:val="3"/>
  </w:num>
  <w:num w:numId="4" w16cid:durableId="561795743">
    <w:abstractNumId w:val="7"/>
  </w:num>
  <w:num w:numId="5" w16cid:durableId="241531464">
    <w:abstractNumId w:val="2"/>
  </w:num>
  <w:num w:numId="6" w16cid:durableId="1466047820">
    <w:abstractNumId w:val="0"/>
  </w:num>
  <w:num w:numId="7" w16cid:durableId="1972899442">
    <w:abstractNumId w:val="5"/>
  </w:num>
  <w:num w:numId="8" w16cid:durableId="2007434531">
    <w:abstractNumId w:val="4"/>
  </w:num>
  <w:num w:numId="9" w16cid:durableId="1567109325">
    <w:abstractNumId w:val="8"/>
  </w:num>
  <w:num w:numId="10" w16cid:durableId="182304147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F068B6"/>
    <w:rsid w:val="000009AD"/>
    <w:rsid w:val="000031F0"/>
    <w:rsid w:val="00004781"/>
    <w:rsid w:val="00004D53"/>
    <w:rsid w:val="000060CE"/>
    <w:rsid w:val="00006941"/>
    <w:rsid w:val="00007AD4"/>
    <w:rsid w:val="00010767"/>
    <w:rsid w:val="00010B63"/>
    <w:rsid w:val="000157F7"/>
    <w:rsid w:val="000224BF"/>
    <w:rsid w:val="00024612"/>
    <w:rsid w:val="00025DBD"/>
    <w:rsid w:val="00031758"/>
    <w:rsid w:val="00031D1C"/>
    <w:rsid w:val="00034D5B"/>
    <w:rsid w:val="0003645F"/>
    <w:rsid w:val="000368B3"/>
    <w:rsid w:val="000379D6"/>
    <w:rsid w:val="00037AB9"/>
    <w:rsid w:val="00041FD1"/>
    <w:rsid w:val="00042540"/>
    <w:rsid w:val="000443AB"/>
    <w:rsid w:val="00044815"/>
    <w:rsid w:val="00044ABF"/>
    <w:rsid w:val="00044D6D"/>
    <w:rsid w:val="00046716"/>
    <w:rsid w:val="00046CB0"/>
    <w:rsid w:val="00047BE2"/>
    <w:rsid w:val="00047EF0"/>
    <w:rsid w:val="000503DF"/>
    <w:rsid w:val="00050BCE"/>
    <w:rsid w:val="000547B0"/>
    <w:rsid w:val="000548F0"/>
    <w:rsid w:val="00057668"/>
    <w:rsid w:val="0006189F"/>
    <w:rsid w:val="00061CDC"/>
    <w:rsid w:val="000627B6"/>
    <w:rsid w:val="0006319C"/>
    <w:rsid w:val="00064935"/>
    <w:rsid w:val="0006501A"/>
    <w:rsid w:val="000658B9"/>
    <w:rsid w:val="0006765B"/>
    <w:rsid w:val="00072418"/>
    <w:rsid w:val="00075B12"/>
    <w:rsid w:val="000809BF"/>
    <w:rsid w:val="00082262"/>
    <w:rsid w:val="00083EE8"/>
    <w:rsid w:val="000869D6"/>
    <w:rsid w:val="00087049"/>
    <w:rsid w:val="00092484"/>
    <w:rsid w:val="00092BAE"/>
    <w:rsid w:val="000A0411"/>
    <w:rsid w:val="000A66B5"/>
    <w:rsid w:val="000A689C"/>
    <w:rsid w:val="000A6A71"/>
    <w:rsid w:val="000A7149"/>
    <w:rsid w:val="000A7A4B"/>
    <w:rsid w:val="000B02FD"/>
    <w:rsid w:val="000B0BA9"/>
    <w:rsid w:val="000B3925"/>
    <w:rsid w:val="000B6D5C"/>
    <w:rsid w:val="000C035D"/>
    <w:rsid w:val="000C0646"/>
    <w:rsid w:val="000C0FD5"/>
    <w:rsid w:val="000C593C"/>
    <w:rsid w:val="000C5A13"/>
    <w:rsid w:val="000C7B0C"/>
    <w:rsid w:val="000D09B3"/>
    <w:rsid w:val="000D14F0"/>
    <w:rsid w:val="000D2218"/>
    <w:rsid w:val="000D2F49"/>
    <w:rsid w:val="000D438E"/>
    <w:rsid w:val="000D5042"/>
    <w:rsid w:val="000E3073"/>
    <w:rsid w:val="000E3837"/>
    <w:rsid w:val="000F0243"/>
    <w:rsid w:val="000F2D2C"/>
    <w:rsid w:val="000F3A84"/>
    <w:rsid w:val="001032CA"/>
    <w:rsid w:val="00104151"/>
    <w:rsid w:val="00111F02"/>
    <w:rsid w:val="001128AD"/>
    <w:rsid w:val="00113F09"/>
    <w:rsid w:val="00114EAD"/>
    <w:rsid w:val="0011510B"/>
    <w:rsid w:val="0012299F"/>
    <w:rsid w:val="00127D2A"/>
    <w:rsid w:val="001319B3"/>
    <w:rsid w:val="00132D27"/>
    <w:rsid w:val="00136E39"/>
    <w:rsid w:val="00137C5B"/>
    <w:rsid w:val="00141E3A"/>
    <w:rsid w:val="001431F9"/>
    <w:rsid w:val="00143C93"/>
    <w:rsid w:val="00145733"/>
    <w:rsid w:val="00150CEA"/>
    <w:rsid w:val="00153EE4"/>
    <w:rsid w:val="00154A67"/>
    <w:rsid w:val="00155CCB"/>
    <w:rsid w:val="0015640A"/>
    <w:rsid w:val="00156AA2"/>
    <w:rsid w:val="00156CBA"/>
    <w:rsid w:val="00157C28"/>
    <w:rsid w:val="00162D44"/>
    <w:rsid w:val="001639C6"/>
    <w:rsid w:val="0017309F"/>
    <w:rsid w:val="001740C5"/>
    <w:rsid w:val="00177A49"/>
    <w:rsid w:val="00182BB1"/>
    <w:rsid w:val="001830B1"/>
    <w:rsid w:val="0018587B"/>
    <w:rsid w:val="00191DF2"/>
    <w:rsid w:val="00192D3C"/>
    <w:rsid w:val="00192D5A"/>
    <w:rsid w:val="00193BC2"/>
    <w:rsid w:val="00197629"/>
    <w:rsid w:val="001A2F9B"/>
    <w:rsid w:val="001A5639"/>
    <w:rsid w:val="001B0041"/>
    <w:rsid w:val="001B1637"/>
    <w:rsid w:val="001B2366"/>
    <w:rsid w:val="001B3480"/>
    <w:rsid w:val="001B4EE6"/>
    <w:rsid w:val="001C167A"/>
    <w:rsid w:val="001C3889"/>
    <w:rsid w:val="001C4891"/>
    <w:rsid w:val="001C5748"/>
    <w:rsid w:val="001C64F4"/>
    <w:rsid w:val="001C68A2"/>
    <w:rsid w:val="001D3BE0"/>
    <w:rsid w:val="001D5766"/>
    <w:rsid w:val="001D5EAA"/>
    <w:rsid w:val="001D603F"/>
    <w:rsid w:val="001E0ACE"/>
    <w:rsid w:val="001E0BF9"/>
    <w:rsid w:val="001E6A5A"/>
    <w:rsid w:val="001E6B45"/>
    <w:rsid w:val="001E701D"/>
    <w:rsid w:val="001F3C08"/>
    <w:rsid w:val="001F3D36"/>
    <w:rsid w:val="001F4F33"/>
    <w:rsid w:val="001F709D"/>
    <w:rsid w:val="0020074F"/>
    <w:rsid w:val="00201024"/>
    <w:rsid w:val="00202E7C"/>
    <w:rsid w:val="00203F56"/>
    <w:rsid w:val="00204052"/>
    <w:rsid w:val="00204E07"/>
    <w:rsid w:val="00207063"/>
    <w:rsid w:val="002073C7"/>
    <w:rsid w:val="00214711"/>
    <w:rsid w:val="00215222"/>
    <w:rsid w:val="0021624E"/>
    <w:rsid w:val="00216613"/>
    <w:rsid w:val="00216D41"/>
    <w:rsid w:val="002220D8"/>
    <w:rsid w:val="0022219E"/>
    <w:rsid w:val="00222F84"/>
    <w:rsid w:val="00224824"/>
    <w:rsid w:val="00231677"/>
    <w:rsid w:val="00235A79"/>
    <w:rsid w:val="0023727D"/>
    <w:rsid w:val="0023755A"/>
    <w:rsid w:val="0023781B"/>
    <w:rsid w:val="00237B51"/>
    <w:rsid w:val="00237FEF"/>
    <w:rsid w:val="002416A8"/>
    <w:rsid w:val="002428E3"/>
    <w:rsid w:val="00243142"/>
    <w:rsid w:val="00245F44"/>
    <w:rsid w:val="002468E8"/>
    <w:rsid w:val="00252541"/>
    <w:rsid w:val="00253CEF"/>
    <w:rsid w:val="002553FE"/>
    <w:rsid w:val="002610DE"/>
    <w:rsid w:val="0026118E"/>
    <w:rsid w:val="00262152"/>
    <w:rsid w:val="002623B1"/>
    <w:rsid w:val="002624F4"/>
    <w:rsid w:val="00262F8B"/>
    <w:rsid w:val="00263783"/>
    <w:rsid w:val="00263DCC"/>
    <w:rsid w:val="00266CFC"/>
    <w:rsid w:val="002750C7"/>
    <w:rsid w:val="00275A41"/>
    <w:rsid w:val="0027612D"/>
    <w:rsid w:val="002766C5"/>
    <w:rsid w:val="002827D3"/>
    <w:rsid w:val="00282DBE"/>
    <w:rsid w:val="00283DBD"/>
    <w:rsid w:val="00286A2F"/>
    <w:rsid w:val="002870E2"/>
    <w:rsid w:val="00287AF9"/>
    <w:rsid w:val="00290A92"/>
    <w:rsid w:val="00292539"/>
    <w:rsid w:val="00293168"/>
    <w:rsid w:val="00293862"/>
    <w:rsid w:val="00293D76"/>
    <w:rsid w:val="00297441"/>
    <w:rsid w:val="0029771C"/>
    <w:rsid w:val="002A1130"/>
    <w:rsid w:val="002A1285"/>
    <w:rsid w:val="002B029B"/>
    <w:rsid w:val="002B59FD"/>
    <w:rsid w:val="002B662D"/>
    <w:rsid w:val="002B704A"/>
    <w:rsid w:val="002B76A0"/>
    <w:rsid w:val="002B76ED"/>
    <w:rsid w:val="002C05DE"/>
    <w:rsid w:val="002C0BD2"/>
    <w:rsid w:val="002C1344"/>
    <w:rsid w:val="002C347F"/>
    <w:rsid w:val="002D06F5"/>
    <w:rsid w:val="002D166C"/>
    <w:rsid w:val="002D3C4C"/>
    <w:rsid w:val="002D4859"/>
    <w:rsid w:val="002D5FE4"/>
    <w:rsid w:val="002E04D8"/>
    <w:rsid w:val="002E0C5D"/>
    <w:rsid w:val="002E2DBA"/>
    <w:rsid w:val="002E4E05"/>
    <w:rsid w:val="002E7DCF"/>
    <w:rsid w:val="002F0C67"/>
    <w:rsid w:val="002F2287"/>
    <w:rsid w:val="002F4038"/>
    <w:rsid w:val="002F4428"/>
    <w:rsid w:val="002F49B1"/>
    <w:rsid w:val="00300B71"/>
    <w:rsid w:val="00305A4E"/>
    <w:rsid w:val="00306CD5"/>
    <w:rsid w:val="003119AC"/>
    <w:rsid w:val="00312A3C"/>
    <w:rsid w:val="0031489E"/>
    <w:rsid w:val="00316B74"/>
    <w:rsid w:val="00316E7C"/>
    <w:rsid w:val="003209BB"/>
    <w:rsid w:val="00324F9A"/>
    <w:rsid w:val="0032528F"/>
    <w:rsid w:val="00326BAE"/>
    <w:rsid w:val="00340FE4"/>
    <w:rsid w:val="00341045"/>
    <w:rsid w:val="003458D9"/>
    <w:rsid w:val="00346D45"/>
    <w:rsid w:val="00351065"/>
    <w:rsid w:val="003519C9"/>
    <w:rsid w:val="0035628C"/>
    <w:rsid w:val="00357009"/>
    <w:rsid w:val="003611BA"/>
    <w:rsid w:val="00361ADD"/>
    <w:rsid w:val="00365B6F"/>
    <w:rsid w:val="003755DE"/>
    <w:rsid w:val="00377128"/>
    <w:rsid w:val="00377C6C"/>
    <w:rsid w:val="00380D31"/>
    <w:rsid w:val="0038363B"/>
    <w:rsid w:val="00386C4E"/>
    <w:rsid w:val="003900E8"/>
    <w:rsid w:val="00390EDC"/>
    <w:rsid w:val="00391615"/>
    <w:rsid w:val="00393AF7"/>
    <w:rsid w:val="00394118"/>
    <w:rsid w:val="0039463E"/>
    <w:rsid w:val="00394B90"/>
    <w:rsid w:val="00396B14"/>
    <w:rsid w:val="003A7FBC"/>
    <w:rsid w:val="003B5131"/>
    <w:rsid w:val="003B65C8"/>
    <w:rsid w:val="003B7640"/>
    <w:rsid w:val="003C0AA6"/>
    <w:rsid w:val="003C0D22"/>
    <w:rsid w:val="003C1AEB"/>
    <w:rsid w:val="003C32F0"/>
    <w:rsid w:val="003C4D01"/>
    <w:rsid w:val="003C4E9C"/>
    <w:rsid w:val="003C4FB8"/>
    <w:rsid w:val="003C6611"/>
    <w:rsid w:val="003C67D3"/>
    <w:rsid w:val="003C69FD"/>
    <w:rsid w:val="003C7F89"/>
    <w:rsid w:val="003D31C6"/>
    <w:rsid w:val="003D65C1"/>
    <w:rsid w:val="003E5784"/>
    <w:rsid w:val="003E58F8"/>
    <w:rsid w:val="003E7BEE"/>
    <w:rsid w:val="003F0295"/>
    <w:rsid w:val="003F0353"/>
    <w:rsid w:val="003F2939"/>
    <w:rsid w:val="003F2FC6"/>
    <w:rsid w:val="003F38B9"/>
    <w:rsid w:val="003F57A7"/>
    <w:rsid w:val="003F59B2"/>
    <w:rsid w:val="003F78BD"/>
    <w:rsid w:val="00402067"/>
    <w:rsid w:val="00403284"/>
    <w:rsid w:val="00403555"/>
    <w:rsid w:val="00405AC8"/>
    <w:rsid w:val="00405D75"/>
    <w:rsid w:val="0040707F"/>
    <w:rsid w:val="004071BD"/>
    <w:rsid w:val="00412F03"/>
    <w:rsid w:val="00413EBD"/>
    <w:rsid w:val="0041625F"/>
    <w:rsid w:val="00416791"/>
    <w:rsid w:val="0041766D"/>
    <w:rsid w:val="0042013E"/>
    <w:rsid w:val="00420C68"/>
    <w:rsid w:val="004226F7"/>
    <w:rsid w:val="00425B1E"/>
    <w:rsid w:val="00427DFC"/>
    <w:rsid w:val="004304E1"/>
    <w:rsid w:val="00430D8E"/>
    <w:rsid w:val="00432173"/>
    <w:rsid w:val="00432CC1"/>
    <w:rsid w:val="00436897"/>
    <w:rsid w:val="00442B02"/>
    <w:rsid w:val="00444963"/>
    <w:rsid w:val="00445445"/>
    <w:rsid w:val="0045075D"/>
    <w:rsid w:val="004511F9"/>
    <w:rsid w:val="00452C80"/>
    <w:rsid w:val="004567D0"/>
    <w:rsid w:val="00456C4E"/>
    <w:rsid w:val="00460E32"/>
    <w:rsid w:val="004619E5"/>
    <w:rsid w:val="0046309E"/>
    <w:rsid w:val="004651D8"/>
    <w:rsid w:val="0046623C"/>
    <w:rsid w:val="00470B5B"/>
    <w:rsid w:val="00474B9F"/>
    <w:rsid w:val="00475948"/>
    <w:rsid w:val="00476E86"/>
    <w:rsid w:val="004819CD"/>
    <w:rsid w:val="004902F8"/>
    <w:rsid w:val="00491B5B"/>
    <w:rsid w:val="004921DB"/>
    <w:rsid w:val="004A0423"/>
    <w:rsid w:val="004A10B2"/>
    <w:rsid w:val="004A5C9C"/>
    <w:rsid w:val="004A7F2A"/>
    <w:rsid w:val="004B099E"/>
    <w:rsid w:val="004B3D5D"/>
    <w:rsid w:val="004C2A04"/>
    <w:rsid w:val="004C322F"/>
    <w:rsid w:val="004C5D05"/>
    <w:rsid w:val="004D0416"/>
    <w:rsid w:val="004D1124"/>
    <w:rsid w:val="004D13E5"/>
    <w:rsid w:val="004D2477"/>
    <w:rsid w:val="004D6FDA"/>
    <w:rsid w:val="004E3F3C"/>
    <w:rsid w:val="004E45B9"/>
    <w:rsid w:val="004E4803"/>
    <w:rsid w:val="004E65B3"/>
    <w:rsid w:val="004F1591"/>
    <w:rsid w:val="004F178B"/>
    <w:rsid w:val="004F2048"/>
    <w:rsid w:val="004F3D1A"/>
    <w:rsid w:val="004F5693"/>
    <w:rsid w:val="004F69BF"/>
    <w:rsid w:val="00501420"/>
    <w:rsid w:val="00501F21"/>
    <w:rsid w:val="0050506B"/>
    <w:rsid w:val="00505559"/>
    <w:rsid w:val="00505AAD"/>
    <w:rsid w:val="00506074"/>
    <w:rsid w:val="00506C04"/>
    <w:rsid w:val="0050706E"/>
    <w:rsid w:val="00507809"/>
    <w:rsid w:val="00514A6A"/>
    <w:rsid w:val="00515CC9"/>
    <w:rsid w:val="00517F69"/>
    <w:rsid w:val="00522980"/>
    <w:rsid w:val="005258A3"/>
    <w:rsid w:val="00525E41"/>
    <w:rsid w:val="00530AB6"/>
    <w:rsid w:val="0053195A"/>
    <w:rsid w:val="00533F26"/>
    <w:rsid w:val="0053417D"/>
    <w:rsid w:val="00535D68"/>
    <w:rsid w:val="00536814"/>
    <w:rsid w:val="00540368"/>
    <w:rsid w:val="0054286A"/>
    <w:rsid w:val="0054374B"/>
    <w:rsid w:val="00543CA8"/>
    <w:rsid w:val="00547D96"/>
    <w:rsid w:val="00547DE5"/>
    <w:rsid w:val="00552E38"/>
    <w:rsid w:val="00553DCD"/>
    <w:rsid w:val="00555AEB"/>
    <w:rsid w:val="00556D11"/>
    <w:rsid w:val="005602E0"/>
    <w:rsid w:val="00560719"/>
    <w:rsid w:val="00561DBF"/>
    <w:rsid w:val="00563324"/>
    <w:rsid w:val="0057480F"/>
    <w:rsid w:val="00575259"/>
    <w:rsid w:val="00575396"/>
    <w:rsid w:val="00580539"/>
    <w:rsid w:val="00580AC7"/>
    <w:rsid w:val="00583BBA"/>
    <w:rsid w:val="00584B63"/>
    <w:rsid w:val="00586385"/>
    <w:rsid w:val="00586872"/>
    <w:rsid w:val="00590630"/>
    <w:rsid w:val="00592051"/>
    <w:rsid w:val="00592E74"/>
    <w:rsid w:val="0059468B"/>
    <w:rsid w:val="00595CC2"/>
    <w:rsid w:val="005976D1"/>
    <w:rsid w:val="005A0DB1"/>
    <w:rsid w:val="005A13F1"/>
    <w:rsid w:val="005A4E23"/>
    <w:rsid w:val="005A617A"/>
    <w:rsid w:val="005A7384"/>
    <w:rsid w:val="005B1513"/>
    <w:rsid w:val="005B1C66"/>
    <w:rsid w:val="005B2981"/>
    <w:rsid w:val="005B3771"/>
    <w:rsid w:val="005B58D4"/>
    <w:rsid w:val="005B6627"/>
    <w:rsid w:val="005B7C7A"/>
    <w:rsid w:val="005C0241"/>
    <w:rsid w:val="005C0A7D"/>
    <w:rsid w:val="005C1128"/>
    <w:rsid w:val="005C4373"/>
    <w:rsid w:val="005C4B31"/>
    <w:rsid w:val="005C5258"/>
    <w:rsid w:val="005C5C33"/>
    <w:rsid w:val="005D0E24"/>
    <w:rsid w:val="005D6FB8"/>
    <w:rsid w:val="005E0153"/>
    <w:rsid w:val="005E1091"/>
    <w:rsid w:val="005E7E32"/>
    <w:rsid w:val="005F201F"/>
    <w:rsid w:val="005F39AA"/>
    <w:rsid w:val="005F3E40"/>
    <w:rsid w:val="005F5E70"/>
    <w:rsid w:val="005F6BAE"/>
    <w:rsid w:val="00601A9F"/>
    <w:rsid w:val="0060305E"/>
    <w:rsid w:val="00603761"/>
    <w:rsid w:val="00605EEB"/>
    <w:rsid w:val="006112B4"/>
    <w:rsid w:val="006113F9"/>
    <w:rsid w:val="00612860"/>
    <w:rsid w:val="00613D11"/>
    <w:rsid w:val="0061552D"/>
    <w:rsid w:val="00621684"/>
    <w:rsid w:val="0062183E"/>
    <w:rsid w:val="00621848"/>
    <w:rsid w:val="0062287F"/>
    <w:rsid w:val="00623047"/>
    <w:rsid w:val="00623E4D"/>
    <w:rsid w:val="00625119"/>
    <w:rsid w:val="00627BA9"/>
    <w:rsid w:val="00630F78"/>
    <w:rsid w:val="00631A97"/>
    <w:rsid w:val="00631F71"/>
    <w:rsid w:val="0063421A"/>
    <w:rsid w:val="00634722"/>
    <w:rsid w:val="00634B45"/>
    <w:rsid w:val="00643D82"/>
    <w:rsid w:val="00644F44"/>
    <w:rsid w:val="0064505F"/>
    <w:rsid w:val="00645D37"/>
    <w:rsid w:val="00646726"/>
    <w:rsid w:val="00650E89"/>
    <w:rsid w:val="00651814"/>
    <w:rsid w:val="00651AD3"/>
    <w:rsid w:val="00653BD6"/>
    <w:rsid w:val="00656A65"/>
    <w:rsid w:val="00657390"/>
    <w:rsid w:val="00661243"/>
    <w:rsid w:val="006640E6"/>
    <w:rsid w:val="0066440D"/>
    <w:rsid w:val="00665775"/>
    <w:rsid w:val="00666CE9"/>
    <w:rsid w:val="00666E01"/>
    <w:rsid w:val="00667168"/>
    <w:rsid w:val="0067561E"/>
    <w:rsid w:val="00680530"/>
    <w:rsid w:val="006805BD"/>
    <w:rsid w:val="0068122B"/>
    <w:rsid w:val="00687954"/>
    <w:rsid w:val="00695ABA"/>
    <w:rsid w:val="006972D1"/>
    <w:rsid w:val="006A069E"/>
    <w:rsid w:val="006A0B1F"/>
    <w:rsid w:val="006A2662"/>
    <w:rsid w:val="006A5860"/>
    <w:rsid w:val="006A5875"/>
    <w:rsid w:val="006B02FF"/>
    <w:rsid w:val="006B136C"/>
    <w:rsid w:val="006B2673"/>
    <w:rsid w:val="006B38B6"/>
    <w:rsid w:val="006B4740"/>
    <w:rsid w:val="006B49A8"/>
    <w:rsid w:val="006B4C1F"/>
    <w:rsid w:val="006B4D0D"/>
    <w:rsid w:val="006B4DA9"/>
    <w:rsid w:val="006C299F"/>
    <w:rsid w:val="006C2B08"/>
    <w:rsid w:val="006C2E57"/>
    <w:rsid w:val="006C441A"/>
    <w:rsid w:val="006C4929"/>
    <w:rsid w:val="006C5A3C"/>
    <w:rsid w:val="006D09CE"/>
    <w:rsid w:val="006D0E4E"/>
    <w:rsid w:val="006D2675"/>
    <w:rsid w:val="006D39B2"/>
    <w:rsid w:val="006D40E3"/>
    <w:rsid w:val="006E0692"/>
    <w:rsid w:val="006E2B69"/>
    <w:rsid w:val="006E35E5"/>
    <w:rsid w:val="006E6E7E"/>
    <w:rsid w:val="006E774A"/>
    <w:rsid w:val="0070037D"/>
    <w:rsid w:val="00702B8F"/>
    <w:rsid w:val="0070557A"/>
    <w:rsid w:val="00710CE0"/>
    <w:rsid w:val="00713850"/>
    <w:rsid w:val="00713866"/>
    <w:rsid w:val="007139A2"/>
    <w:rsid w:val="0071686A"/>
    <w:rsid w:val="00717675"/>
    <w:rsid w:val="007215F5"/>
    <w:rsid w:val="00722613"/>
    <w:rsid w:val="007239F6"/>
    <w:rsid w:val="00726F09"/>
    <w:rsid w:val="00730F44"/>
    <w:rsid w:val="00731276"/>
    <w:rsid w:val="00731B9A"/>
    <w:rsid w:val="00733248"/>
    <w:rsid w:val="007340FF"/>
    <w:rsid w:val="00737EF3"/>
    <w:rsid w:val="0074003D"/>
    <w:rsid w:val="00746259"/>
    <w:rsid w:val="00746D6D"/>
    <w:rsid w:val="00752E5C"/>
    <w:rsid w:val="0075624F"/>
    <w:rsid w:val="00756FEB"/>
    <w:rsid w:val="00757826"/>
    <w:rsid w:val="00767E14"/>
    <w:rsid w:val="00770282"/>
    <w:rsid w:val="00770D84"/>
    <w:rsid w:val="0077179A"/>
    <w:rsid w:val="00774386"/>
    <w:rsid w:val="00775685"/>
    <w:rsid w:val="00783E90"/>
    <w:rsid w:val="00784512"/>
    <w:rsid w:val="00784CFD"/>
    <w:rsid w:val="007855F8"/>
    <w:rsid w:val="0078613B"/>
    <w:rsid w:val="00786649"/>
    <w:rsid w:val="00793614"/>
    <w:rsid w:val="00795BC1"/>
    <w:rsid w:val="0079651C"/>
    <w:rsid w:val="007972C5"/>
    <w:rsid w:val="00797FB3"/>
    <w:rsid w:val="007A00BB"/>
    <w:rsid w:val="007A0238"/>
    <w:rsid w:val="007A2FD5"/>
    <w:rsid w:val="007A2FFA"/>
    <w:rsid w:val="007A7EB5"/>
    <w:rsid w:val="007B0E86"/>
    <w:rsid w:val="007B135F"/>
    <w:rsid w:val="007B499D"/>
    <w:rsid w:val="007B50AD"/>
    <w:rsid w:val="007C08C1"/>
    <w:rsid w:val="007C2FBE"/>
    <w:rsid w:val="007C4040"/>
    <w:rsid w:val="007D3D45"/>
    <w:rsid w:val="007D5CB1"/>
    <w:rsid w:val="007D6952"/>
    <w:rsid w:val="007D7D54"/>
    <w:rsid w:val="007D7FE7"/>
    <w:rsid w:val="007E25C2"/>
    <w:rsid w:val="007E26E4"/>
    <w:rsid w:val="007E2CA5"/>
    <w:rsid w:val="007E30D0"/>
    <w:rsid w:val="007E4C96"/>
    <w:rsid w:val="007E7408"/>
    <w:rsid w:val="007E757E"/>
    <w:rsid w:val="007F17EF"/>
    <w:rsid w:val="007F2952"/>
    <w:rsid w:val="007F51B2"/>
    <w:rsid w:val="007F77CA"/>
    <w:rsid w:val="007F79BB"/>
    <w:rsid w:val="0080061F"/>
    <w:rsid w:val="00802F60"/>
    <w:rsid w:val="00804974"/>
    <w:rsid w:val="0081252C"/>
    <w:rsid w:val="00813827"/>
    <w:rsid w:val="00815133"/>
    <w:rsid w:val="00820C2A"/>
    <w:rsid w:val="00822981"/>
    <w:rsid w:val="008248E9"/>
    <w:rsid w:val="008253E6"/>
    <w:rsid w:val="00826C83"/>
    <w:rsid w:val="00831749"/>
    <w:rsid w:val="008336F5"/>
    <w:rsid w:val="00834328"/>
    <w:rsid w:val="0083620D"/>
    <w:rsid w:val="00836F59"/>
    <w:rsid w:val="00840AE7"/>
    <w:rsid w:val="008416CA"/>
    <w:rsid w:val="00843E26"/>
    <w:rsid w:val="00844241"/>
    <w:rsid w:val="00850919"/>
    <w:rsid w:val="00854EE2"/>
    <w:rsid w:val="00857148"/>
    <w:rsid w:val="00863A42"/>
    <w:rsid w:val="00863C37"/>
    <w:rsid w:val="00865375"/>
    <w:rsid w:val="008679CA"/>
    <w:rsid w:val="00871940"/>
    <w:rsid w:val="00882553"/>
    <w:rsid w:val="00886058"/>
    <w:rsid w:val="008872D5"/>
    <w:rsid w:val="008A3450"/>
    <w:rsid w:val="008A4E64"/>
    <w:rsid w:val="008A5C53"/>
    <w:rsid w:val="008A6BF4"/>
    <w:rsid w:val="008A73F1"/>
    <w:rsid w:val="008B11AC"/>
    <w:rsid w:val="008B7096"/>
    <w:rsid w:val="008C179D"/>
    <w:rsid w:val="008C1F60"/>
    <w:rsid w:val="008C2DBC"/>
    <w:rsid w:val="008C57C7"/>
    <w:rsid w:val="008C6B28"/>
    <w:rsid w:val="008C6C94"/>
    <w:rsid w:val="008C70EE"/>
    <w:rsid w:val="008C75EF"/>
    <w:rsid w:val="008D06EC"/>
    <w:rsid w:val="008D0EDF"/>
    <w:rsid w:val="008D3B89"/>
    <w:rsid w:val="008D7DBF"/>
    <w:rsid w:val="008E4628"/>
    <w:rsid w:val="008E7787"/>
    <w:rsid w:val="008F07B8"/>
    <w:rsid w:val="008F0E1D"/>
    <w:rsid w:val="008F50AC"/>
    <w:rsid w:val="008F5EBF"/>
    <w:rsid w:val="008F70BD"/>
    <w:rsid w:val="008F747E"/>
    <w:rsid w:val="009006E7"/>
    <w:rsid w:val="00903B13"/>
    <w:rsid w:val="0090431C"/>
    <w:rsid w:val="0091099F"/>
    <w:rsid w:val="009119DF"/>
    <w:rsid w:val="009122B0"/>
    <w:rsid w:val="0091369B"/>
    <w:rsid w:val="00915D52"/>
    <w:rsid w:val="00916C34"/>
    <w:rsid w:val="00917E5D"/>
    <w:rsid w:val="009254EE"/>
    <w:rsid w:val="0093212D"/>
    <w:rsid w:val="00940E33"/>
    <w:rsid w:val="00942EFC"/>
    <w:rsid w:val="0094414E"/>
    <w:rsid w:val="009512BE"/>
    <w:rsid w:val="00951B82"/>
    <w:rsid w:val="00954C84"/>
    <w:rsid w:val="00955306"/>
    <w:rsid w:val="0096115F"/>
    <w:rsid w:val="00963548"/>
    <w:rsid w:val="009673E6"/>
    <w:rsid w:val="00981047"/>
    <w:rsid w:val="009850E8"/>
    <w:rsid w:val="00985C9A"/>
    <w:rsid w:val="009938D3"/>
    <w:rsid w:val="00994446"/>
    <w:rsid w:val="00995E3B"/>
    <w:rsid w:val="009963DE"/>
    <w:rsid w:val="00996508"/>
    <w:rsid w:val="0099779C"/>
    <w:rsid w:val="009A0175"/>
    <w:rsid w:val="009A0993"/>
    <w:rsid w:val="009A1124"/>
    <w:rsid w:val="009A53E9"/>
    <w:rsid w:val="009B092C"/>
    <w:rsid w:val="009B3C19"/>
    <w:rsid w:val="009B50E3"/>
    <w:rsid w:val="009B5AF2"/>
    <w:rsid w:val="009C742B"/>
    <w:rsid w:val="009D2D52"/>
    <w:rsid w:val="009D3CDA"/>
    <w:rsid w:val="009D5527"/>
    <w:rsid w:val="009D6055"/>
    <w:rsid w:val="009E187A"/>
    <w:rsid w:val="009E2BD0"/>
    <w:rsid w:val="009E5CCE"/>
    <w:rsid w:val="009E7B06"/>
    <w:rsid w:val="009F017D"/>
    <w:rsid w:val="009F0ED8"/>
    <w:rsid w:val="009F43DA"/>
    <w:rsid w:val="009F690E"/>
    <w:rsid w:val="009F69E0"/>
    <w:rsid w:val="009F6C45"/>
    <w:rsid w:val="00A00714"/>
    <w:rsid w:val="00A01751"/>
    <w:rsid w:val="00A0520C"/>
    <w:rsid w:val="00A06D63"/>
    <w:rsid w:val="00A073FF"/>
    <w:rsid w:val="00A138D5"/>
    <w:rsid w:val="00A15DAF"/>
    <w:rsid w:val="00A2067C"/>
    <w:rsid w:val="00A244C8"/>
    <w:rsid w:val="00A26EFE"/>
    <w:rsid w:val="00A3169C"/>
    <w:rsid w:val="00A31B38"/>
    <w:rsid w:val="00A35275"/>
    <w:rsid w:val="00A36087"/>
    <w:rsid w:val="00A4135F"/>
    <w:rsid w:val="00A41A15"/>
    <w:rsid w:val="00A4378E"/>
    <w:rsid w:val="00A44546"/>
    <w:rsid w:val="00A45CB2"/>
    <w:rsid w:val="00A46834"/>
    <w:rsid w:val="00A46F4A"/>
    <w:rsid w:val="00A521AF"/>
    <w:rsid w:val="00A52279"/>
    <w:rsid w:val="00A60C1A"/>
    <w:rsid w:val="00A61DFF"/>
    <w:rsid w:val="00A64B0F"/>
    <w:rsid w:val="00A65636"/>
    <w:rsid w:val="00A66E61"/>
    <w:rsid w:val="00A7346B"/>
    <w:rsid w:val="00A73CC2"/>
    <w:rsid w:val="00A747AB"/>
    <w:rsid w:val="00A75C4F"/>
    <w:rsid w:val="00A76AD9"/>
    <w:rsid w:val="00A77752"/>
    <w:rsid w:val="00A816BD"/>
    <w:rsid w:val="00A8200B"/>
    <w:rsid w:val="00A848C5"/>
    <w:rsid w:val="00A85960"/>
    <w:rsid w:val="00A879C3"/>
    <w:rsid w:val="00A87D88"/>
    <w:rsid w:val="00A9561F"/>
    <w:rsid w:val="00A96E55"/>
    <w:rsid w:val="00AA076A"/>
    <w:rsid w:val="00AA13A2"/>
    <w:rsid w:val="00AA4CE1"/>
    <w:rsid w:val="00AA5FD4"/>
    <w:rsid w:val="00AB3333"/>
    <w:rsid w:val="00AB3C42"/>
    <w:rsid w:val="00AB44EA"/>
    <w:rsid w:val="00AB4E54"/>
    <w:rsid w:val="00AB54B1"/>
    <w:rsid w:val="00AB55ED"/>
    <w:rsid w:val="00AB5B02"/>
    <w:rsid w:val="00AB5EC7"/>
    <w:rsid w:val="00AC271E"/>
    <w:rsid w:val="00AC2B2B"/>
    <w:rsid w:val="00AC2F7B"/>
    <w:rsid w:val="00AC3401"/>
    <w:rsid w:val="00AC3A8E"/>
    <w:rsid w:val="00AC6205"/>
    <w:rsid w:val="00AC72A9"/>
    <w:rsid w:val="00AD15E7"/>
    <w:rsid w:val="00AD1FB8"/>
    <w:rsid w:val="00AD4258"/>
    <w:rsid w:val="00AD44C5"/>
    <w:rsid w:val="00AD4C6A"/>
    <w:rsid w:val="00AD6486"/>
    <w:rsid w:val="00AD6510"/>
    <w:rsid w:val="00AE0F8C"/>
    <w:rsid w:val="00AE2F2B"/>
    <w:rsid w:val="00AE31C3"/>
    <w:rsid w:val="00AE7244"/>
    <w:rsid w:val="00AF1059"/>
    <w:rsid w:val="00AF3E23"/>
    <w:rsid w:val="00AF5432"/>
    <w:rsid w:val="00B00559"/>
    <w:rsid w:val="00B02CD6"/>
    <w:rsid w:val="00B04765"/>
    <w:rsid w:val="00B04C63"/>
    <w:rsid w:val="00B1173E"/>
    <w:rsid w:val="00B118DD"/>
    <w:rsid w:val="00B13D4F"/>
    <w:rsid w:val="00B145CD"/>
    <w:rsid w:val="00B14772"/>
    <w:rsid w:val="00B14FD1"/>
    <w:rsid w:val="00B21403"/>
    <w:rsid w:val="00B216E9"/>
    <w:rsid w:val="00B21B92"/>
    <w:rsid w:val="00B25489"/>
    <w:rsid w:val="00B30333"/>
    <w:rsid w:val="00B319E5"/>
    <w:rsid w:val="00B3536A"/>
    <w:rsid w:val="00B40634"/>
    <w:rsid w:val="00B40899"/>
    <w:rsid w:val="00B42C88"/>
    <w:rsid w:val="00B50ECA"/>
    <w:rsid w:val="00B51AB2"/>
    <w:rsid w:val="00B56D02"/>
    <w:rsid w:val="00B6060C"/>
    <w:rsid w:val="00B621CD"/>
    <w:rsid w:val="00B675DB"/>
    <w:rsid w:val="00B76124"/>
    <w:rsid w:val="00B763EC"/>
    <w:rsid w:val="00B81768"/>
    <w:rsid w:val="00B81C36"/>
    <w:rsid w:val="00B81F09"/>
    <w:rsid w:val="00B8459B"/>
    <w:rsid w:val="00B84F61"/>
    <w:rsid w:val="00B87705"/>
    <w:rsid w:val="00B90A4C"/>
    <w:rsid w:val="00B915ED"/>
    <w:rsid w:val="00B92178"/>
    <w:rsid w:val="00B97AFF"/>
    <w:rsid w:val="00BB0F19"/>
    <w:rsid w:val="00BB21D8"/>
    <w:rsid w:val="00BB332D"/>
    <w:rsid w:val="00BB3A85"/>
    <w:rsid w:val="00BC2705"/>
    <w:rsid w:val="00BC2C32"/>
    <w:rsid w:val="00BC43BA"/>
    <w:rsid w:val="00BD4956"/>
    <w:rsid w:val="00BD5EF9"/>
    <w:rsid w:val="00BE04DE"/>
    <w:rsid w:val="00BE31CC"/>
    <w:rsid w:val="00BE62A9"/>
    <w:rsid w:val="00BE6946"/>
    <w:rsid w:val="00BE7F2E"/>
    <w:rsid w:val="00BF2ECB"/>
    <w:rsid w:val="00BF5CD3"/>
    <w:rsid w:val="00BF6E20"/>
    <w:rsid w:val="00C00568"/>
    <w:rsid w:val="00C01EDF"/>
    <w:rsid w:val="00C10958"/>
    <w:rsid w:val="00C13C2B"/>
    <w:rsid w:val="00C14795"/>
    <w:rsid w:val="00C171FD"/>
    <w:rsid w:val="00C176E8"/>
    <w:rsid w:val="00C24BA9"/>
    <w:rsid w:val="00C26536"/>
    <w:rsid w:val="00C265DE"/>
    <w:rsid w:val="00C27D1A"/>
    <w:rsid w:val="00C3258A"/>
    <w:rsid w:val="00C46CE3"/>
    <w:rsid w:val="00C46E42"/>
    <w:rsid w:val="00C53D67"/>
    <w:rsid w:val="00C5466C"/>
    <w:rsid w:val="00C6117E"/>
    <w:rsid w:val="00C70512"/>
    <w:rsid w:val="00C74E37"/>
    <w:rsid w:val="00C771A1"/>
    <w:rsid w:val="00C80373"/>
    <w:rsid w:val="00C83014"/>
    <w:rsid w:val="00C83B73"/>
    <w:rsid w:val="00C84F97"/>
    <w:rsid w:val="00C87C4E"/>
    <w:rsid w:val="00C91CFB"/>
    <w:rsid w:val="00C96058"/>
    <w:rsid w:val="00CA156C"/>
    <w:rsid w:val="00CA361E"/>
    <w:rsid w:val="00CA5A14"/>
    <w:rsid w:val="00CA76E9"/>
    <w:rsid w:val="00CB156F"/>
    <w:rsid w:val="00CB24ED"/>
    <w:rsid w:val="00CB4445"/>
    <w:rsid w:val="00CC07E9"/>
    <w:rsid w:val="00CC12E0"/>
    <w:rsid w:val="00CC2586"/>
    <w:rsid w:val="00CC3189"/>
    <w:rsid w:val="00CC5A1C"/>
    <w:rsid w:val="00CC670E"/>
    <w:rsid w:val="00CD09D5"/>
    <w:rsid w:val="00CD4C58"/>
    <w:rsid w:val="00CD554D"/>
    <w:rsid w:val="00CD7648"/>
    <w:rsid w:val="00CD79C8"/>
    <w:rsid w:val="00CE0368"/>
    <w:rsid w:val="00CE19C9"/>
    <w:rsid w:val="00CE4650"/>
    <w:rsid w:val="00CF3FB1"/>
    <w:rsid w:val="00CF42B8"/>
    <w:rsid w:val="00CF5371"/>
    <w:rsid w:val="00CF6748"/>
    <w:rsid w:val="00D00E77"/>
    <w:rsid w:val="00D01F30"/>
    <w:rsid w:val="00D05C8B"/>
    <w:rsid w:val="00D07B3E"/>
    <w:rsid w:val="00D16677"/>
    <w:rsid w:val="00D2113C"/>
    <w:rsid w:val="00D30918"/>
    <w:rsid w:val="00D32B50"/>
    <w:rsid w:val="00D32ECC"/>
    <w:rsid w:val="00D34917"/>
    <w:rsid w:val="00D34D59"/>
    <w:rsid w:val="00D34E12"/>
    <w:rsid w:val="00D3522D"/>
    <w:rsid w:val="00D36725"/>
    <w:rsid w:val="00D40FD0"/>
    <w:rsid w:val="00D41184"/>
    <w:rsid w:val="00D429C6"/>
    <w:rsid w:val="00D44F83"/>
    <w:rsid w:val="00D45C80"/>
    <w:rsid w:val="00D47441"/>
    <w:rsid w:val="00D5068D"/>
    <w:rsid w:val="00D5442F"/>
    <w:rsid w:val="00D54A84"/>
    <w:rsid w:val="00D571EE"/>
    <w:rsid w:val="00D61CBC"/>
    <w:rsid w:val="00D66CF0"/>
    <w:rsid w:val="00D67409"/>
    <w:rsid w:val="00D67A22"/>
    <w:rsid w:val="00D7000A"/>
    <w:rsid w:val="00D72841"/>
    <w:rsid w:val="00D742FD"/>
    <w:rsid w:val="00D74F40"/>
    <w:rsid w:val="00D801D1"/>
    <w:rsid w:val="00D81456"/>
    <w:rsid w:val="00D81EC6"/>
    <w:rsid w:val="00D85ED8"/>
    <w:rsid w:val="00D87CA7"/>
    <w:rsid w:val="00D953CB"/>
    <w:rsid w:val="00DA1A0D"/>
    <w:rsid w:val="00DA2CAD"/>
    <w:rsid w:val="00DB26F8"/>
    <w:rsid w:val="00DB6CFE"/>
    <w:rsid w:val="00DC1946"/>
    <w:rsid w:val="00DC19D9"/>
    <w:rsid w:val="00DC38F1"/>
    <w:rsid w:val="00DC3EAB"/>
    <w:rsid w:val="00DC48F5"/>
    <w:rsid w:val="00DC55FF"/>
    <w:rsid w:val="00DC782E"/>
    <w:rsid w:val="00DD5877"/>
    <w:rsid w:val="00DD7B18"/>
    <w:rsid w:val="00DE16BD"/>
    <w:rsid w:val="00DE18F7"/>
    <w:rsid w:val="00DE7550"/>
    <w:rsid w:val="00DF620D"/>
    <w:rsid w:val="00DF65C6"/>
    <w:rsid w:val="00DF677E"/>
    <w:rsid w:val="00DF750C"/>
    <w:rsid w:val="00DF7790"/>
    <w:rsid w:val="00E00A3E"/>
    <w:rsid w:val="00E01DB6"/>
    <w:rsid w:val="00E06C12"/>
    <w:rsid w:val="00E06FCB"/>
    <w:rsid w:val="00E14824"/>
    <w:rsid w:val="00E165DB"/>
    <w:rsid w:val="00E202C1"/>
    <w:rsid w:val="00E20AB7"/>
    <w:rsid w:val="00E2143C"/>
    <w:rsid w:val="00E215C5"/>
    <w:rsid w:val="00E25275"/>
    <w:rsid w:val="00E30864"/>
    <w:rsid w:val="00E3267E"/>
    <w:rsid w:val="00E3716E"/>
    <w:rsid w:val="00E375F3"/>
    <w:rsid w:val="00E41E3A"/>
    <w:rsid w:val="00E439A0"/>
    <w:rsid w:val="00E4780F"/>
    <w:rsid w:val="00E52CDA"/>
    <w:rsid w:val="00E53090"/>
    <w:rsid w:val="00E57B0C"/>
    <w:rsid w:val="00E64706"/>
    <w:rsid w:val="00E65A59"/>
    <w:rsid w:val="00E676E2"/>
    <w:rsid w:val="00E67BAE"/>
    <w:rsid w:val="00E705F8"/>
    <w:rsid w:val="00E72733"/>
    <w:rsid w:val="00E73248"/>
    <w:rsid w:val="00E74225"/>
    <w:rsid w:val="00E7455B"/>
    <w:rsid w:val="00E76E38"/>
    <w:rsid w:val="00E776DE"/>
    <w:rsid w:val="00E82A89"/>
    <w:rsid w:val="00E83684"/>
    <w:rsid w:val="00E871BE"/>
    <w:rsid w:val="00E8748B"/>
    <w:rsid w:val="00E907AC"/>
    <w:rsid w:val="00E93C0C"/>
    <w:rsid w:val="00E96C2A"/>
    <w:rsid w:val="00E975CB"/>
    <w:rsid w:val="00EA1467"/>
    <w:rsid w:val="00EA1B3A"/>
    <w:rsid w:val="00EA6529"/>
    <w:rsid w:val="00EA6D59"/>
    <w:rsid w:val="00EB0A85"/>
    <w:rsid w:val="00EB1A08"/>
    <w:rsid w:val="00EB4656"/>
    <w:rsid w:val="00EB64C3"/>
    <w:rsid w:val="00EB68E2"/>
    <w:rsid w:val="00EB714B"/>
    <w:rsid w:val="00EB73A5"/>
    <w:rsid w:val="00EB7BE0"/>
    <w:rsid w:val="00EC2CAF"/>
    <w:rsid w:val="00EC4000"/>
    <w:rsid w:val="00EC5102"/>
    <w:rsid w:val="00EC7672"/>
    <w:rsid w:val="00ED0E01"/>
    <w:rsid w:val="00ED31CB"/>
    <w:rsid w:val="00EE388D"/>
    <w:rsid w:val="00EE50A5"/>
    <w:rsid w:val="00EF054F"/>
    <w:rsid w:val="00EF265D"/>
    <w:rsid w:val="00EF2861"/>
    <w:rsid w:val="00EF5664"/>
    <w:rsid w:val="00EF58BF"/>
    <w:rsid w:val="00F008BC"/>
    <w:rsid w:val="00F01F1F"/>
    <w:rsid w:val="00F02832"/>
    <w:rsid w:val="00F032F6"/>
    <w:rsid w:val="00F04227"/>
    <w:rsid w:val="00F11379"/>
    <w:rsid w:val="00F12A9B"/>
    <w:rsid w:val="00F12F79"/>
    <w:rsid w:val="00F234FF"/>
    <w:rsid w:val="00F2430F"/>
    <w:rsid w:val="00F27939"/>
    <w:rsid w:val="00F32F5F"/>
    <w:rsid w:val="00F33814"/>
    <w:rsid w:val="00F35EEB"/>
    <w:rsid w:val="00F421DC"/>
    <w:rsid w:val="00F4507D"/>
    <w:rsid w:val="00F450CE"/>
    <w:rsid w:val="00F46244"/>
    <w:rsid w:val="00F4709F"/>
    <w:rsid w:val="00F50050"/>
    <w:rsid w:val="00F50CAE"/>
    <w:rsid w:val="00F526FF"/>
    <w:rsid w:val="00F53A16"/>
    <w:rsid w:val="00F53B7C"/>
    <w:rsid w:val="00F548F3"/>
    <w:rsid w:val="00F55FF1"/>
    <w:rsid w:val="00F57DE6"/>
    <w:rsid w:val="00F60D0B"/>
    <w:rsid w:val="00F621BE"/>
    <w:rsid w:val="00F62B31"/>
    <w:rsid w:val="00F659DF"/>
    <w:rsid w:val="00F72455"/>
    <w:rsid w:val="00F75AE2"/>
    <w:rsid w:val="00F75BBD"/>
    <w:rsid w:val="00F7657C"/>
    <w:rsid w:val="00F77ABE"/>
    <w:rsid w:val="00F82AC9"/>
    <w:rsid w:val="00F83B7D"/>
    <w:rsid w:val="00F84ADF"/>
    <w:rsid w:val="00F90BC1"/>
    <w:rsid w:val="00F922C0"/>
    <w:rsid w:val="00F931EB"/>
    <w:rsid w:val="00F93745"/>
    <w:rsid w:val="00FA0B19"/>
    <w:rsid w:val="00FA286A"/>
    <w:rsid w:val="00FA5439"/>
    <w:rsid w:val="00FB00A8"/>
    <w:rsid w:val="00FB0C98"/>
    <w:rsid w:val="00FB16F4"/>
    <w:rsid w:val="00FB3D10"/>
    <w:rsid w:val="00FB586F"/>
    <w:rsid w:val="00FC1551"/>
    <w:rsid w:val="00FC26D9"/>
    <w:rsid w:val="00FC3BFB"/>
    <w:rsid w:val="00FC5686"/>
    <w:rsid w:val="00FC6983"/>
    <w:rsid w:val="00FD4A27"/>
    <w:rsid w:val="00FD75B0"/>
    <w:rsid w:val="00FE2BFE"/>
    <w:rsid w:val="00FE4C6B"/>
    <w:rsid w:val="00FE65BD"/>
    <w:rsid w:val="00FF169F"/>
    <w:rsid w:val="00FF1DAC"/>
    <w:rsid w:val="00FF283D"/>
    <w:rsid w:val="00FF38D0"/>
    <w:rsid w:val="00FF3BE8"/>
    <w:rsid w:val="00FF47D3"/>
    <w:rsid w:val="00FF6468"/>
    <w:rsid w:val="00FF7DC4"/>
    <w:rsid w:val="0567A59E"/>
    <w:rsid w:val="05C9315F"/>
    <w:rsid w:val="070375FF"/>
    <w:rsid w:val="09C732EB"/>
    <w:rsid w:val="1113640C"/>
    <w:rsid w:val="17F4345F"/>
    <w:rsid w:val="18CADCBA"/>
    <w:rsid w:val="1B2BD521"/>
    <w:rsid w:val="225896A3"/>
    <w:rsid w:val="29AE1610"/>
    <w:rsid w:val="2A99EB7D"/>
    <w:rsid w:val="32327179"/>
    <w:rsid w:val="3391414A"/>
    <w:rsid w:val="3B6F4CD4"/>
    <w:rsid w:val="4445B6B6"/>
    <w:rsid w:val="4AF1412E"/>
    <w:rsid w:val="4FF068B6"/>
    <w:rsid w:val="529EFE10"/>
    <w:rsid w:val="553F6794"/>
    <w:rsid w:val="6058E5F7"/>
    <w:rsid w:val="64C1E1B4"/>
    <w:rsid w:val="75F76432"/>
    <w:rsid w:val="7974F802"/>
    <w:rsid w:val="7AC38042"/>
    <w:rsid w:val="7C80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68B6"/>
  <w15:chartTrackingRefBased/>
  <w15:docId w15:val="{D5C723BB-E11B-4C00-82C7-7FE1B64F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B3E"/>
    <w:pPr>
      <w:spacing w:after="0"/>
    </w:pPr>
  </w:style>
  <w:style w:type="paragraph" w:styleId="Heading1">
    <w:name w:val="heading 1"/>
    <w:basedOn w:val="Normal"/>
    <w:next w:val="Normal"/>
    <w:link w:val="Heading1Char"/>
    <w:uiPriority w:val="9"/>
    <w:qFormat/>
    <w:rsid w:val="003611BA"/>
    <w:pPr>
      <w:outlineLvl w:val="0"/>
    </w:pPr>
    <w:rPr>
      <w:rFonts w:ascii="Century Gothic" w:eastAsia="Century Gothic" w:hAnsi="Century Gothic" w:cs="Century Gothic"/>
      <w:sz w:val="72"/>
      <w:szCs w:val="72"/>
    </w:rPr>
  </w:style>
  <w:style w:type="paragraph" w:styleId="Heading2">
    <w:name w:val="heading 2"/>
    <w:basedOn w:val="Normal"/>
    <w:next w:val="Normal"/>
    <w:link w:val="Heading2Char"/>
    <w:uiPriority w:val="9"/>
    <w:unhideWhenUsed/>
    <w:qFormat/>
    <w:rsid w:val="00AB55ED"/>
    <w:pPr>
      <w:outlineLvl w:val="1"/>
    </w:pPr>
    <w:rPr>
      <w:rFonts w:ascii="Century Gothic" w:hAnsi="Century Gothic"/>
      <w:sz w:val="48"/>
      <w:szCs w:val="48"/>
    </w:rPr>
  </w:style>
  <w:style w:type="paragraph" w:styleId="Heading3">
    <w:name w:val="heading 3"/>
    <w:basedOn w:val="Normal"/>
    <w:next w:val="Normal"/>
    <w:link w:val="Heading3Char"/>
    <w:uiPriority w:val="9"/>
    <w:unhideWhenUsed/>
    <w:qFormat/>
    <w:rsid w:val="00137C5B"/>
    <w:pPr>
      <w:keepNext/>
      <w:keepLines/>
      <w:spacing w:before="40"/>
      <w:outlineLvl w:val="2"/>
    </w:pPr>
    <w:rPr>
      <w:rFonts w:ascii="Century Gothic" w:eastAsiaTheme="majorEastAsia" w:hAnsi="Century Gothic" w:cstheme="majorBidi"/>
      <w:sz w:val="24"/>
      <w:szCs w:val="24"/>
    </w:rPr>
  </w:style>
  <w:style w:type="paragraph" w:styleId="Heading4">
    <w:name w:val="heading 4"/>
    <w:basedOn w:val="Normal"/>
    <w:next w:val="Normal"/>
    <w:link w:val="Heading4Char"/>
    <w:uiPriority w:val="9"/>
    <w:semiHidden/>
    <w:unhideWhenUsed/>
    <w:qFormat/>
    <w:rsid w:val="000F02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TitleChar">
    <w:name w:val="Title Char"/>
    <w:basedOn w:val="DefaultParagraphFont"/>
    <w:link w:val="Title"/>
    <w:uiPriority w:val="10"/>
    <w:rsid w:val="00530AB6"/>
    <w:rPr>
      <w:rFonts w:ascii="Century Gothic" w:eastAsia="Century Gothic" w:hAnsi="Century Gothic" w:cs="Century Gothic"/>
      <w:color w:val="FFFFFF" w:themeColor="background1"/>
      <w:spacing w:val="-10"/>
      <w:kern w:val="28"/>
      <w:sz w:val="104"/>
      <w:szCs w:val="104"/>
    </w:rPr>
  </w:style>
  <w:style w:type="paragraph" w:styleId="Title">
    <w:name w:val="Title"/>
    <w:basedOn w:val="Normal"/>
    <w:next w:val="Normal"/>
    <w:link w:val="TitleChar"/>
    <w:uiPriority w:val="10"/>
    <w:qFormat/>
    <w:rsid w:val="00530AB6"/>
    <w:pPr>
      <w:spacing w:line="240" w:lineRule="auto"/>
      <w:contextualSpacing/>
      <w:jc w:val="center"/>
    </w:pPr>
    <w:rPr>
      <w:rFonts w:ascii="Century Gothic" w:eastAsia="Century Gothic" w:hAnsi="Century Gothic" w:cs="Century Gothic"/>
      <w:color w:val="FFFFFF" w:themeColor="background1"/>
      <w:spacing w:val="-10"/>
      <w:kern w:val="28"/>
      <w:sz w:val="104"/>
      <w:szCs w:val="104"/>
    </w:rPr>
  </w:style>
  <w:style w:type="paragraph" w:styleId="NoSpacing">
    <w:name w:val="No Spacing"/>
    <w:link w:val="NoSpacingChar"/>
    <w:uiPriority w:val="1"/>
    <w:qFormat/>
    <w:rsid w:val="00A41A15"/>
    <w:pPr>
      <w:spacing w:after="0" w:line="240" w:lineRule="auto"/>
    </w:pPr>
    <w:rPr>
      <w:rFonts w:eastAsiaTheme="minorEastAsia"/>
    </w:rPr>
  </w:style>
  <w:style w:type="character" w:customStyle="1" w:styleId="NoSpacingChar">
    <w:name w:val="No Spacing Char"/>
    <w:basedOn w:val="DefaultParagraphFont"/>
    <w:link w:val="NoSpacing"/>
    <w:uiPriority w:val="1"/>
    <w:rsid w:val="00A41A15"/>
    <w:rPr>
      <w:rFonts w:eastAsiaTheme="minorEastAsia"/>
    </w:rPr>
  </w:style>
  <w:style w:type="character" w:customStyle="1" w:styleId="Heading1Char">
    <w:name w:val="Heading 1 Char"/>
    <w:basedOn w:val="DefaultParagraphFont"/>
    <w:link w:val="Heading1"/>
    <w:uiPriority w:val="9"/>
    <w:rsid w:val="003611BA"/>
    <w:rPr>
      <w:rFonts w:ascii="Century Gothic" w:eastAsia="Century Gothic" w:hAnsi="Century Gothic" w:cs="Century Gothic"/>
      <w:sz w:val="72"/>
      <w:szCs w:val="72"/>
    </w:rPr>
  </w:style>
  <w:style w:type="paragraph" w:styleId="Subtitle">
    <w:name w:val="Subtitle"/>
    <w:basedOn w:val="Normal"/>
    <w:next w:val="Normal"/>
    <w:link w:val="SubtitleChar"/>
    <w:uiPriority w:val="11"/>
    <w:qFormat/>
    <w:rsid w:val="00D07B3E"/>
    <w:pPr>
      <w:jc w:val="center"/>
    </w:pPr>
    <w:rPr>
      <w:rFonts w:ascii="Century Gothic" w:eastAsia="Century Gothic" w:hAnsi="Century Gothic" w:cs="Century Gothic"/>
      <w:color w:val="B2B2B2"/>
      <w:sz w:val="25"/>
      <w:szCs w:val="25"/>
    </w:rPr>
  </w:style>
  <w:style w:type="character" w:customStyle="1" w:styleId="SubtitleChar">
    <w:name w:val="Subtitle Char"/>
    <w:basedOn w:val="DefaultParagraphFont"/>
    <w:link w:val="Subtitle"/>
    <w:uiPriority w:val="11"/>
    <w:rsid w:val="00D07B3E"/>
    <w:rPr>
      <w:rFonts w:ascii="Century Gothic" w:eastAsia="Century Gothic" w:hAnsi="Century Gothic" w:cs="Century Gothic"/>
      <w:color w:val="B2B2B2"/>
      <w:sz w:val="25"/>
      <w:szCs w:val="25"/>
    </w:rPr>
  </w:style>
  <w:style w:type="character" w:customStyle="1" w:styleId="Heading2Char">
    <w:name w:val="Heading 2 Char"/>
    <w:basedOn w:val="DefaultParagraphFont"/>
    <w:link w:val="Heading2"/>
    <w:uiPriority w:val="9"/>
    <w:rsid w:val="00AB55ED"/>
    <w:rPr>
      <w:rFonts w:ascii="Century Gothic" w:hAnsi="Century Gothic"/>
      <w:sz w:val="48"/>
      <w:szCs w:val="48"/>
    </w:rPr>
  </w:style>
  <w:style w:type="paragraph" w:styleId="ListParagraph">
    <w:name w:val="List Paragraph"/>
    <w:basedOn w:val="Normal"/>
    <w:uiPriority w:val="34"/>
    <w:qFormat/>
    <w:rsid w:val="00547D96"/>
    <w:pPr>
      <w:ind w:left="720"/>
      <w:contextualSpacing/>
    </w:pPr>
  </w:style>
  <w:style w:type="character" w:styleId="Hyperlink">
    <w:name w:val="Hyperlink"/>
    <w:basedOn w:val="DefaultParagraphFont"/>
    <w:uiPriority w:val="99"/>
    <w:unhideWhenUsed/>
    <w:rsid w:val="00403284"/>
    <w:rPr>
      <w:color w:val="0563C1" w:themeColor="hyperlink"/>
      <w:u w:val="single"/>
    </w:rPr>
  </w:style>
  <w:style w:type="character" w:styleId="UnresolvedMention">
    <w:name w:val="Unresolved Mention"/>
    <w:basedOn w:val="DefaultParagraphFont"/>
    <w:uiPriority w:val="99"/>
    <w:semiHidden/>
    <w:unhideWhenUsed/>
    <w:rsid w:val="00403284"/>
    <w:rPr>
      <w:color w:val="605E5C"/>
      <w:shd w:val="clear" w:color="auto" w:fill="E1DFDD"/>
    </w:rPr>
  </w:style>
  <w:style w:type="paragraph" w:styleId="NormalWeb">
    <w:name w:val="Normal (Web)"/>
    <w:basedOn w:val="Normal"/>
    <w:uiPriority w:val="99"/>
    <w:semiHidden/>
    <w:unhideWhenUsed/>
    <w:rsid w:val="00156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37C5B"/>
    <w:rPr>
      <w:rFonts w:ascii="Century Gothic" w:eastAsiaTheme="majorEastAsia" w:hAnsi="Century Gothic" w:cstheme="majorBidi"/>
      <w:sz w:val="24"/>
      <w:szCs w:val="24"/>
    </w:rPr>
  </w:style>
  <w:style w:type="table" w:customStyle="1" w:styleId="TableGrid1">
    <w:name w:val="Table Grid1"/>
    <w:basedOn w:val="TableNormal"/>
    <w:next w:val="TableGrid"/>
    <w:uiPriority w:val="59"/>
    <w:rsid w:val="00B0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F0243"/>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9561F"/>
    <w:pPr>
      <w:keepNext/>
      <w:keepLines/>
      <w:spacing w:before="240"/>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A9561F"/>
    <w:pPr>
      <w:spacing w:after="100"/>
    </w:pPr>
  </w:style>
  <w:style w:type="paragraph" w:styleId="TOC2">
    <w:name w:val="toc 2"/>
    <w:basedOn w:val="Normal"/>
    <w:next w:val="Normal"/>
    <w:autoRedefine/>
    <w:uiPriority w:val="39"/>
    <w:unhideWhenUsed/>
    <w:rsid w:val="00A9561F"/>
    <w:pPr>
      <w:spacing w:after="100"/>
      <w:ind w:left="220"/>
    </w:pPr>
  </w:style>
  <w:style w:type="paragraph" w:styleId="TOC3">
    <w:name w:val="toc 3"/>
    <w:basedOn w:val="Normal"/>
    <w:next w:val="Normal"/>
    <w:autoRedefine/>
    <w:uiPriority w:val="39"/>
    <w:unhideWhenUsed/>
    <w:rsid w:val="00A956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360">
      <w:bodyDiv w:val="1"/>
      <w:marLeft w:val="0"/>
      <w:marRight w:val="0"/>
      <w:marTop w:val="0"/>
      <w:marBottom w:val="0"/>
      <w:divBdr>
        <w:top w:val="none" w:sz="0" w:space="0" w:color="auto"/>
        <w:left w:val="none" w:sz="0" w:space="0" w:color="auto"/>
        <w:bottom w:val="none" w:sz="0" w:space="0" w:color="auto"/>
        <w:right w:val="none" w:sz="0" w:space="0" w:color="auto"/>
      </w:divBdr>
      <w:divsChild>
        <w:div w:id="372656076">
          <w:marLeft w:val="0"/>
          <w:marRight w:val="0"/>
          <w:marTop w:val="0"/>
          <w:marBottom w:val="0"/>
          <w:divBdr>
            <w:top w:val="none" w:sz="0" w:space="0" w:color="auto"/>
            <w:left w:val="none" w:sz="0" w:space="0" w:color="auto"/>
            <w:bottom w:val="none" w:sz="0" w:space="0" w:color="auto"/>
            <w:right w:val="none" w:sz="0" w:space="0" w:color="auto"/>
          </w:divBdr>
        </w:div>
      </w:divsChild>
    </w:div>
    <w:div w:id="133647688">
      <w:bodyDiv w:val="1"/>
      <w:marLeft w:val="0"/>
      <w:marRight w:val="0"/>
      <w:marTop w:val="0"/>
      <w:marBottom w:val="0"/>
      <w:divBdr>
        <w:top w:val="none" w:sz="0" w:space="0" w:color="auto"/>
        <w:left w:val="none" w:sz="0" w:space="0" w:color="auto"/>
        <w:bottom w:val="none" w:sz="0" w:space="0" w:color="auto"/>
        <w:right w:val="none" w:sz="0" w:space="0" w:color="auto"/>
      </w:divBdr>
    </w:div>
    <w:div w:id="350840189">
      <w:bodyDiv w:val="1"/>
      <w:marLeft w:val="0"/>
      <w:marRight w:val="0"/>
      <w:marTop w:val="0"/>
      <w:marBottom w:val="0"/>
      <w:divBdr>
        <w:top w:val="none" w:sz="0" w:space="0" w:color="auto"/>
        <w:left w:val="none" w:sz="0" w:space="0" w:color="auto"/>
        <w:bottom w:val="none" w:sz="0" w:space="0" w:color="auto"/>
        <w:right w:val="none" w:sz="0" w:space="0" w:color="auto"/>
      </w:divBdr>
      <w:divsChild>
        <w:div w:id="1453597112">
          <w:marLeft w:val="0"/>
          <w:marRight w:val="0"/>
          <w:marTop w:val="0"/>
          <w:marBottom w:val="0"/>
          <w:divBdr>
            <w:top w:val="none" w:sz="0" w:space="0" w:color="auto"/>
            <w:left w:val="none" w:sz="0" w:space="0" w:color="auto"/>
            <w:bottom w:val="none" w:sz="0" w:space="0" w:color="auto"/>
            <w:right w:val="none" w:sz="0" w:space="0" w:color="auto"/>
          </w:divBdr>
          <w:divsChild>
            <w:div w:id="804002725">
              <w:marLeft w:val="0"/>
              <w:marRight w:val="0"/>
              <w:marTop w:val="480"/>
              <w:marBottom w:val="480"/>
              <w:divBdr>
                <w:top w:val="none" w:sz="0" w:space="0" w:color="auto"/>
                <w:left w:val="single" w:sz="48" w:space="12" w:color="B1B4B6"/>
                <w:bottom w:val="none" w:sz="0" w:space="0" w:color="auto"/>
                <w:right w:val="none" w:sz="0" w:space="0" w:color="auto"/>
              </w:divBdr>
            </w:div>
            <w:div w:id="616182913">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510535382">
      <w:bodyDiv w:val="1"/>
      <w:marLeft w:val="0"/>
      <w:marRight w:val="0"/>
      <w:marTop w:val="0"/>
      <w:marBottom w:val="0"/>
      <w:divBdr>
        <w:top w:val="none" w:sz="0" w:space="0" w:color="auto"/>
        <w:left w:val="none" w:sz="0" w:space="0" w:color="auto"/>
        <w:bottom w:val="none" w:sz="0" w:space="0" w:color="auto"/>
        <w:right w:val="none" w:sz="0" w:space="0" w:color="auto"/>
      </w:divBdr>
    </w:div>
    <w:div w:id="598952367">
      <w:bodyDiv w:val="1"/>
      <w:marLeft w:val="0"/>
      <w:marRight w:val="0"/>
      <w:marTop w:val="0"/>
      <w:marBottom w:val="0"/>
      <w:divBdr>
        <w:top w:val="none" w:sz="0" w:space="0" w:color="auto"/>
        <w:left w:val="none" w:sz="0" w:space="0" w:color="auto"/>
        <w:bottom w:val="none" w:sz="0" w:space="0" w:color="auto"/>
        <w:right w:val="none" w:sz="0" w:space="0" w:color="auto"/>
      </w:divBdr>
    </w:div>
    <w:div w:id="935527379">
      <w:bodyDiv w:val="1"/>
      <w:marLeft w:val="0"/>
      <w:marRight w:val="0"/>
      <w:marTop w:val="0"/>
      <w:marBottom w:val="0"/>
      <w:divBdr>
        <w:top w:val="none" w:sz="0" w:space="0" w:color="auto"/>
        <w:left w:val="none" w:sz="0" w:space="0" w:color="auto"/>
        <w:bottom w:val="none" w:sz="0" w:space="0" w:color="auto"/>
        <w:right w:val="none" w:sz="0" w:space="0" w:color="auto"/>
      </w:divBdr>
    </w:div>
    <w:div w:id="1152257288">
      <w:bodyDiv w:val="1"/>
      <w:marLeft w:val="0"/>
      <w:marRight w:val="0"/>
      <w:marTop w:val="0"/>
      <w:marBottom w:val="0"/>
      <w:divBdr>
        <w:top w:val="none" w:sz="0" w:space="0" w:color="auto"/>
        <w:left w:val="none" w:sz="0" w:space="0" w:color="auto"/>
        <w:bottom w:val="none" w:sz="0" w:space="0" w:color="auto"/>
        <w:right w:val="none" w:sz="0" w:space="0" w:color="auto"/>
      </w:divBdr>
    </w:div>
    <w:div w:id="1254819217">
      <w:bodyDiv w:val="1"/>
      <w:marLeft w:val="0"/>
      <w:marRight w:val="0"/>
      <w:marTop w:val="0"/>
      <w:marBottom w:val="0"/>
      <w:divBdr>
        <w:top w:val="none" w:sz="0" w:space="0" w:color="auto"/>
        <w:left w:val="none" w:sz="0" w:space="0" w:color="auto"/>
        <w:bottom w:val="none" w:sz="0" w:space="0" w:color="auto"/>
        <w:right w:val="none" w:sz="0" w:space="0" w:color="auto"/>
      </w:divBdr>
    </w:div>
    <w:div w:id="1273123356">
      <w:bodyDiv w:val="1"/>
      <w:marLeft w:val="0"/>
      <w:marRight w:val="0"/>
      <w:marTop w:val="0"/>
      <w:marBottom w:val="0"/>
      <w:divBdr>
        <w:top w:val="none" w:sz="0" w:space="0" w:color="auto"/>
        <w:left w:val="none" w:sz="0" w:space="0" w:color="auto"/>
        <w:bottom w:val="none" w:sz="0" w:space="0" w:color="auto"/>
        <w:right w:val="none" w:sz="0" w:space="0" w:color="auto"/>
      </w:divBdr>
    </w:div>
    <w:div w:id="1583880202">
      <w:bodyDiv w:val="1"/>
      <w:marLeft w:val="0"/>
      <w:marRight w:val="0"/>
      <w:marTop w:val="0"/>
      <w:marBottom w:val="0"/>
      <w:divBdr>
        <w:top w:val="none" w:sz="0" w:space="0" w:color="auto"/>
        <w:left w:val="none" w:sz="0" w:space="0" w:color="auto"/>
        <w:bottom w:val="none" w:sz="0" w:space="0" w:color="auto"/>
        <w:right w:val="none" w:sz="0" w:space="0" w:color="auto"/>
      </w:divBdr>
      <w:divsChild>
        <w:div w:id="1148934662">
          <w:marLeft w:val="0"/>
          <w:marRight w:val="0"/>
          <w:marTop w:val="480"/>
          <w:marBottom w:val="480"/>
          <w:divBdr>
            <w:top w:val="none" w:sz="0" w:space="0" w:color="auto"/>
            <w:left w:val="single" w:sz="48" w:space="12" w:color="B1B4B6"/>
            <w:bottom w:val="none" w:sz="0" w:space="0" w:color="auto"/>
            <w:right w:val="none" w:sz="0" w:space="0" w:color="auto"/>
          </w:divBdr>
        </w:div>
        <w:div w:id="1939555876">
          <w:marLeft w:val="0"/>
          <w:marRight w:val="0"/>
          <w:marTop w:val="480"/>
          <w:marBottom w:val="480"/>
          <w:divBdr>
            <w:top w:val="none" w:sz="0" w:space="0" w:color="auto"/>
            <w:left w:val="single" w:sz="48" w:space="12" w:color="B1B4B6"/>
            <w:bottom w:val="none" w:sz="0" w:space="0" w:color="auto"/>
            <w:right w:val="none" w:sz="0" w:space="0" w:color="auto"/>
          </w:divBdr>
        </w:div>
      </w:divsChild>
    </w:div>
    <w:div w:id="1831679825">
      <w:bodyDiv w:val="1"/>
      <w:marLeft w:val="0"/>
      <w:marRight w:val="0"/>
      <w:marTop w:val="0"/>
      <w:marBottom w:val="0"/>
      <w:divBdr>
        <w:top w:val="none" w:sz="0" w:space="0" w:color="auto"/>
        <w:left w:val="none" w:sz="0" w:space="0" w:color="auto"/>
        <w:bottom w:val="none" w:sz="0" w:space="0" w:color="auto"/>
        <w:right w:val="none" w:sz="0" w:space="0" w:color="auto"/>
      </w:divBdr>
    </w:div>
    <w:div w:id="1982886232">
      <w:bodyDiv w:val="1"/>
      <w:marLeft w:val="0"/>
      <w:marRight w:val="0"/>
      <w:marTop w:val="0"/>
      <w:marBottom w:val="0"/>
      <w:divBdr>
        <w:top w:val="none" w:sz="0" w:space="0" w:color="auto"/>
        <w:left w:val="none" w:sz="0" w:space="0" w:color="auto"/>
        <w:bottom w:val="none" w:sz="0" w:space="0" w:color="auto"/>
        <w:right w:val="none" w:sz="0" w:space="0" w:color="auto"/>
      </w:divBdr>
    </w:div>
    <w:div w:id="2040427925">
      <w:bodyDiv w:val="1"/>
      <w:marLeft w:val="0"/>
      <w:marRight w:val="0"/>
      <w:marTop w:val="0"/>
      <w:marBottom w:val="0"/>
      <w:divBdr>
        <w:top w:val="none" w:sz="0" w:space="0" w:color="auto"/>
        <w:left w:val="none" w:sz="0" w:space="0" w:color="auto"/>
        <w:bottom w:val="none" w:sz="0" w:space="0" w:color="auto"/>
        <w:right w:val="none" w:sz="0" w:space="0" w:color="auto"/>
      </w:divBdr>
      <w:divsChild>
        <w:div w:id="1580825078">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544D87-9352-4201-9F29-735998AB6B03}"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en-GB"/>
        </a:p>
      </dgm:t>
    </dgm:pt>
    <dgm:pt modelId="{C6E2C4F0-ADD2-4449-9514-F0563D57C161}">
      <dgm:prSet phldrT="[Text]" custT="1"/>
      <dgm:spPr/>
      <dgm:t>
        <a:bodyPr/>
        <a:lstStyle/>
        <a:p>
          <a:r>
            <a:rPr lang="en-GB" sz="1100"/>
            <a:t>£10,000 gain (UK bond)</a:t>
          </a:r>
        </a:p>
      </dgm:t>
    </dgm:pt>
    <dgm:pt modelId="{2F316C7F-EA99-411F-A08D-F70C8C52E534}" type="parTrans" cxnId="{9E519E6A-E6D3-4367-9D49-4A6169B7E2EF}">
      <dgm:prSet/>
      <dgm:spPr/>
      <dgm:t>
        <a:bodyPr/>
        <a:lstStyle/>
        <a:p>
          <a:endParaRPr lang="en-GB" sz="1100"/>
        </a:p>
      </dgm:t>
    </dgm:pt>
    <dgm:pt modelId="{951F28A6-158D-47ED-A2F6-24D1C5C5843F}" type="sibTrans" cxnId="{9E519E6A-E6D3-4367-9D49-4A6169B7E2EF}">
      <dgm:prSet/>
      <dgm:spPr/>
      <dgm:t>
        <a:bodyPr/>
        <a:lstStyle/>
        <a:p>
          <a:endParaRPr lang="en-GB" sz="1100"/>
        </a:p>
      </dgm:t>
    </dgm:pt>
    <dgm:pt modelId="{8B767EFA-1CE4-4237-A853-9FC24D0A6FF7}">
      <dgm:prSet phldrT="[Text]" custT="1"/>
      <dgm:spPr/>
      <dgm:t>
        <a:bodyPr/>
        <a:lstStyle/>
        <a:p>
          <a:r>
            <a:rPr lang="en-GB" sz="1100"/>
            <a:t>(Less 20% tax deemed paid within the life fund) = £8,000 chargeable gain</a:t>
          </a:r>
        </a:p>
      </dgm:t>
    </dgm:pt>
    <dgm:pt modelId="{D7CD6FF2-BF46-4E29-80BF-98BDF6083CC4}" type="parTrans" cxnId="{D427EE87-B048-4E0E-9E31-05ED4D3CDAB8}">
      <dgm:prSet/>
      <dgm:spPr/>
      <dgm:t>
        <a:bodyPr/>
        <a:lstStyle/>
        <a:p>
          <a:endParaRPr lang="en-GB" sz="1100"/>
        </a:p>
      </dgm:t>
    </dgm:pt>
    <dgm:pt modelId="{344AE28B-AF13-4E0E-9FFD-FF7C8FD73878}" type="sibTrans" cxnId="{D427EE87-B048-4E0E-9E31-05ED4D3CDAB8}">
      <dgm:prSet/>
      <dgm:spPr/>
      <dgm:t>
        <a:bodyPr/>
        <a:lstStyle/>
        <a:p>
          <a:endParaRPr lang="en-GB" sz="1100"/>
        </a:p>
      </dgm:t>
    </dgm:pt>
    <dgm:pt modelId="{F41C07C9-500A-4E7A-9C71-770822113C59}">
      <dgm:prSet phldrT="[Text]" custT="1"/>
      <dgm:spPr>
        <a:solidFill>
          <a:srgbClr val="FF0000">
            <a:alpha val="90000"/>
          </a:srgbClr>
        </a:solidFill>
      </dgm:spPr>
      <dgm:t>
        <a:bodyPr/>
        <a:lstStyle/>
        <a:p>
          <a:r>
            <a:rPr lang="en-GB" sz="1100"/>
            <a:t>(Less personal Income Tax at 0% of £8,000 (£0)) = £8,000. </a:t>
          </a:r>
          <a:r>
            <a:rPr lang="en-GB" sz="1100" b="1"/>
            <a:t>Non-taxpayers cannot reclaim the 20% tax paid within the life fund</a:t>
          </a:r>
        </a:p>
      </dgm:t>
    </dgm:pt>
    <dgm:pt modelId="{EC490073-1862-4319-9E3A-01516C8F123B}" type="parTrans" cxnId="{8D6779BB-CD30-4CFF-BCAE-29498297C33F}">
      <dgm:prSet/>
      <dgm:spPr/>
      <dgm:t>
        <a:bodyPr/>
        <a:lstStyle/>
        <a:p>
          <a:endParaRPr lang="en-GB" sz="1100"/>
        </a:p>
      </dgm:t>
    </dgm:pt>
    <dgm:pt modelId="{5770CE14-0437-44A5-B370-1224B77ABE6B}" type="sibTrans" cxnId="{8D6779BB-CD30-4CFF-BCAE-29498297C33F}">
      <dgm:prSet/>
      <dgm:spPr/>
      <dgm:t>
        <a:bodyPr/>
        <a:lstStyle/>
        <a:p>
          <a:endParaRPr lang="en-GB" sz="1100"/>
        </a:p>
      </dgm:t>
    </dgm:pt>
    <dgm:pt modelId="{7CA6E4EA-3953-410D-B93C-AAFCB9050FB1}">
      <dgm:prSet phldrT="[Text]" custT="1"/>
      <dgm:spPr/>
      <dgm:t>
        <a:bodyPr/>
        <a:lstStyle/>
        <a:p>
          <a:r>
            <a:rPr lang="en-GB" sz="1100"/>
            <a:t>£10,000 chargeable gain (offshore bond)</a:t>
          </a:r>
        </a:p>
      </dgm:t>
    </dgm:pt>
    <dgm:pt modelId="{ADFEA1A3-A8A9-4129-A9DA-FCEF6364E1FF}" type="parTrans" cxnId="{229C45B7-131B-4138-A730-153AA0B8492C}">
      <dgm:prSet/>
      <dgm:spPr/>
      <dgm:t>
        <a:bodyPr/>
        <a:lstStyle/>
        <a:p>
          <a:endParaRPr lang="en-GB" sz="1100"/>
        </a:p>
      </dgm:t>
    </dgm:pt>
    <dgm:pt modelId="{F66E2260-ED2B-49DE-88ED-15FA68CB004C}" type="sibTrans" cxnId="{229C45B7-131B-4138-A730-153AA0B8492C}">
      <dgm:prSet/>
      <dgm:spPr/>
      <dgm:t>
        <a:bodyPr/>
        <a:lstStyle/>
        <a:p>
          <a:endParaRPr lang="en-GB" sz="1100"/>
        </a:p>
      </dgm:t>
    </dgm:pt>
    <dgm:pt modelId="{B635FC92-D11C-440C-8D9F-31A9FF0E13EF}">
      <dgm:prSet phldrT="[Text]" custT="1"/>
      <dgm:spPr>
        <a:solidFill>
          <a:srgbClr val="00B050">
            <a:alpha val="90000"/>
          </a:srgbClr>
        </a:solidFill>
      </dgm:spPr>
      <dgm:t>
        <a:bodyPr/>
        <a:lstStyle/>
        <a:p>
          <a:r>
            <a:rPr lang="en-GB" sz="1100"/>
            <a:t>(Less personal Income Tax at 0% (£0)) = £10,000</a:t>
          </a:r>
        </a:p>
      </dgm:t>
    </dgm:pt>
    <dgm:pt modelId="{976C527B-1E89-4530-A044-E1B1AC1DA02F}" type="parTrans" cxnId="{3C60A6B2-B0B4-464E-8AEF-971FCADE17C5}">
      <dgm:prSet/>
      <dgm:spPr/>
      <dgm:t>
        <a:bodyPr/>
        <a:lstStyle/>
        <a:p>
          <a:endParaRPr lang="en-GB" sz="1100"/>
        </a:p>
      </dgm:t>
    </dgm:pt>
    <dgm:pt modelId="{39906A55-ECB6-4846-877B-BB780554D2C0}" type="sibTrans" cxnId="{3C60A6B2-B0B4-464E-8AEF-971FCADE17C5}">
      <dgm:prSet/>
      <dgm:spPr/>
      <dgm:t>
        <a:bodyPr/>
        <a:lstStyle/>
        <a:p>
          <a:endParaRPr lang="en-GB" sz="1100"/>
        </a:p>
      </dgm:t>
    </dgm:pt>
    <dgm:pt modelId="{DE492876-8A6B-4135-83E2-D879600306EA}" type="pres">
      <dgm:prSet presAssocID="{E7544D87-9352-4201-9F29-735998AB6B03}" presName="Name0" presStyleCnt="0">
        <dgm:presLayoutVars>
          <dgm:dir/>
          <dgm:animLvl val="lvl"/>
          <dgm:resizeHandles val="exact"/>
        </dgm:presLayoutVars>
      </dgm:prSet>
      <dgm:spPr/>
    </dgm:pt>
    <dgm:pt modelId="{83D0EEA0-4E0E-4F2C-86D0-4872778AC753}" type="pres">
      <dgm:prSet presAssocID="{C6E2C4F0-ADD2-4449-9514-F0563D57C161}" presName="vertFlow" presStyleCnt="0"/>
      <dgm:spPr/>
    </dgm:pt>
    <dgm:pt modelId="{646BFD88-8DFD-4059-A4E4-8F944CC42C4B}" type="pres">
      <dgm:prSet presAssocID="{C6E2C4F0-ADD2-4449-9514-F0563D57C161}" presName="header" presStyleLbl="node1" presStyleIdx="0" presStyleCnt="2"/>
      <dgm:spPr/>
    </dgm:pt>
    <dgm:pt modelId="{084D405F-B7C8-47DC-B324-37D6B09ECA47}" type="pres">
      <dgm:prSet presAssocID="{D7CD6FF2-BF46-4E29-80BF-98BDF6083CC4}" presName="parTrans" presStyleLbl="sibTrans2D1" presStyleIdx="0" presStyleCnt="3"/>
      <dgm:spPr/>
    </dgm:pt>
    <dgm:pt modelId="{357B7650-E339-4647-9285-A7CD8853E35F}" type="pres">
      <dgm:prSet presAssocID="{8B767EFA-1CE4-4237-A853-9FC24D0A6FF7}" presName="child" presStyleLbl="alignAccFollowNode1" presStyleIdx="0" presStyleCnt="3">
        <dgm:presLayoutVars>
          <dgm:chMax val="0"/>
          <dgm:bulletEnabled val="1"/>
        </dgm:presLayoutVars>
      </dgm:prSet>
      <dgm:spPr/>
    </dgm:pt>
    <dgm:pt modelId="{01E3C7E3-E20C-493A-AA48-4A394F5077F0}" type="pres">
      <dgm:prSet presAssocID="{344AE28B-AF13-4E0E-9FFD-FF7C8FD73878}" presName="sibTrans" presStyleLbl="sibTrans2D1" presStyleIdx="1" presStyleCnt="3"/>
      <dgm:spPr/>
    </dgm:pt>
    <dgm:pt modelId="{A8C2EDBF-E800-445F-9DBE-98897B99DC4E}" type="pres">
      <dgm:prSet presAssocID="{F41C07C9-500A-4E7A-9C71-770822113C59}" presName="child" presStyleLbl="alignAccFollowNode1" presStyleIdx="1" presStyleCnt="3">
        <dgm:presLayoutVars>
          <dgm:chMax val="0"/>
          <dgm:bulletEnabled val="1"/>
        </dgm:presLayoutVars>
      </dgm:prSet>
      <dgm:spPr/>
    </dgm:pt>
    <dgm:pt modelId="{7D4D50F1-476B-4775-A9B4-303FEC43D3C6}" type="pres">
      <dgm:prSet presAssocID="{C6E2C4F0-ADD2-4449-9514-F0563D57C161}" presName="hSp" presStyleCnt="0"/>
      <dgm:spPr/>
    </dgm:pt>
    <dgm:pt modelId="{62ADC378-5A01-430B-8F06-82DCE55E4313}" type="pres">
      <dgm:prSet presAssocID="{7CA6E4EA-3953-410D-B93C-AAFCB9050FB1}" presName="vertFlow" presStyleCnt="0"/>
      <dgm:spPr/>
    </dgm:pt>
    <dgm:pt modelId="{1942BAE2-34C2-42AC-93E6-3675D90425FC}" type="pres">
      <dgm:prSet presAssocID="{7CA6E4EA-3953-410D-B93C-AAFCB9050FB1}" presName="header" presStyleLbl="node1" presStyleIdx="1" presStyleCnt="2"/>
      <dgm:spPr/>
    </dgm:pt>
    <dgm:pt modelId="{17150945-F2A5-4372-870F-A9088F326E8C}" type="pres">
      <dgm:prSet presAssocID="{976C527B-1E89-4530-A044-E1B1AC1DA02F}" presName="parTrans" presStyleLbl="sibTrans2D1" presStyleIdx="2" presStyleCnt="3"/>
      <dgm:spPr/>
    </dgm:pt>
    <dgm:pt modelId="{EBBFF18C-DF64-4B84-BEAF-FC1F4685F1AE}" type="pres">
      <dgm:prSet presAssocID="{B635FC92-D11C-440C-8D9F-31A9FF0E13EF}" presName="child" presStyleLbl="alignAccFollowNode1" presStyleIdx="2" presStyleCnt="3">
        <dgm:presLayoutVars>
          <dgm:chMax val="0"/>
          <dgm:bulletEnabled val="1"/>
        </dgm:presLayoutVars>
      </dgm:prSet>
      <dgm:spPr/>
    </dgm:pt>
  </dgm:ptLst>
  <dgm:cxnLst>
    <dgm:cxn modelId="{495CEA1C-96AC-4B68-A333-5C8F0E123DB1}" type="presOf" srcId="{976C527B-1E89-4530-A044-E1B1AC1DA02F}" destId="{17150945-F2A5-4372-870F-A9088F326E8C}" srcOrd="0" destOrd="0" presId="urn:microsoft.com/office/officeart/2005/8/layout/lProcess1"/>
    <dgm:cxn modelId="{9E519E6A-E6D3-4367-9D49-4A6169B7E2EF}" srcId="{E7544D87-9352-4201-9F29-735998AB6B03}" destId="{C6E2C4F0-ADD2-4449-9514-F0563D57C161}" srcOrd="0" destOrd="0" parTransId="{2F316C7F-EA99-411F-A08D-F70C8C52E534}" sibTransId="{951F28A6-158D-47ED-A2F6-24D1C5C5843F}"/>
    <dgm:cxn modelId="{DDE3C254-5C23-4CDA-B838-7DD8712AB877}" type="presOf" srcId="{8B767EFA-1CE4-4237-A853-9FC24D0A6FF7}" destId="{357B7650-E339-4647-9285-A7CD8853E35F}" srcOrd="0" destOrd="0" presId="urn:microsoft.com/office/officeart/2005/8/layout/lProcess1"/>
    <dgm:cxn modelId="{59E45B7F-F0B7-4C67-BED0-FD97DF143720}" type="presOf" srcId="{F41C07C9-500A-4E7A-9C71-770822113C59}" destId="{A8C2EDBF-E800-445F-9DBE-98897B99DC4E}" srcOrd="0" destOrd="0" presId="urn:microsoft.com/office/officeart/2005/8/layout/lProcess1"/>
    <dgm:cxn modelId="{99524C80-53A9-4867-89B9-50AFD5CD5651}" type="presOf" srcId="{B635FC92-D11C-440C-8D9F-31A9FF0E13EF}" destId="{EBBFF18C-DF64-4B84-BEAF-FC1F4685F1AE}" srcOrd="0" destOrd="0" presId="urn:microsoft.com/office/officeart/2005/8/layout/lProcess1"/>
    <dgm:cxn modelId="{297C3381-992B-4DA3-B3BB-3FE5A07BABD0}" type="presOf" srcId="{344AE28B-AF13-4E0E-9FFD-FF7C8FD73878}" destId="{01E3C7E3-E20C-493A-AA48-4A394F5077F0}" srcOrd="0" destOrd="0" presId="urn:microsoft.com/office/officeart/2005/8/layout/lProcess1"/>
    <dgm:cxn modelId="{D427EE87-B048-4E0E-9E31-05ED4D3CDAB8}" srcId="{C6E2C4F0-ADD2-4449-9514-F0563D57C161}" destId="{8B767EFA-1CE4-4237-A853-9FC24D0A6FF7}" srcOrd="0" destOrd="0" parTransId="{D7CD6FF2-BF46-4E29-80BF-98BDF6083CC4}" sibTransId="{344AE28B-AF13-4E0E-9FFD-FF7C8FD73878}"/>
    <dgm:cxn modelId="{51BCF98D-8DE9-402F-928D-2E0E0B68A038}" type="presOf" srcId="{C6E2C4F0-ADD2-4449-9514-F0563D57C161}" destId="{646BFD88-8DFD-4059-A4E4-8F944CC42C4B}" srcOrd="0" destOrd="0" presId="urn:microsoft.com/office/officeart/2005/8/layout/lProcess1"/>
    <dgm:cxn modelId="{3CE01A98-6935-455E-855A-D6DCFFB1AF5D}" type="presOf" srcId="{D7CD6FF2-BF46-4E29-80BF-98BDF6083CC4}" destId="{084D405F-B7C8-47DC-B324-37D6B09ECA47}" srcOrd="0" destOrd="0" presId="urn:microsoft.com/office/officeart/2005/8/layout/lProcess1"/>
    <dgm:cxn modelId="{3C60A6B2-B0B4-464E-8AEF-971FCADE17C5}" srcId="{7CA6E4EA-3953-410D-B93C-AAFCB9050FB1}" destId="{B635FC92-D11C-440C-8D9F-31A9FF0E13EF}" srcOrd="0" destOrd="0" parTransId="{976C527B-1E89-4530-A044-E1B1AC1DA02F}" sibTransId="{39906A55-ECB6-4846-877B-BB780554D2C0}"/>
    <dgm:cxn modelId="{229C45B7-131B-4138-A730-153AA0B8492C}" srcId="{E7544D87-9352-4201-9F29-735998AB6B03}" destId="{7CA6E4EA-3953-410D-B93C-AAFCB9050FB1}" srcOrd="1" destOrd="0" parTransId="{ADFEA1A3-A8A9-4129-A9DA-FCEF6364E1FF}" sibTransId="{F66E2260-ED2B-49DE-88ED-15FA68CB004C}"/>
    <dgm:cxn modelId="{8D6779BB-CD30-4CFF-BCAE-29498297C33F}" srcId="{C6E2C4F0-ADD2-4449-9514-F0563D57C161}" destId="{F41C07C9-500A-4E7A-9C71-770822113C59}" srcOrd="1" destOrd="0" parTransId="{EC490073-1862-4319-9E3A-01516C8F123B}" sibTransId="{5770CE14-0437-44A5-B370-1224B77ABE6B}"/>
    <dgm:cxn modelId="{6E60D6E8-2582-452B-A96E-77B6B99B0D93}" type="presOf" srcId="{7CA6E4EA-3953-410D-B93C-AAFCB9050FB1}" destId="{1942BAE2-34C2-42AC-93E6-3675D90425FC}" srcOrd="0" destOrd="0" presId="urn:microsoft.com/office/officeart/2005/8/layout/lProcess1"/>
    <dgm:cxn modelId="{6EA8EBEC-CB41-4D15-AB3B-0946216AAC62}" type="presOf" srcId="{E7544D87-9352-4201-9F29-735998AB6B03}" destId="{DE492876-8A6B-4135-83E2-D879600306EA}" srcOrd="0" destOrd="0" presId="urn:microsoft.com/office/officeart/2005/8/layout/lProcess1"/>
    <dgm:cxn modelId="{59CE8206-39C5-4296-A6FB-46F69FFDFB58}" type="presParOf" srcId="{DE492876-8A6B-4135-83E2-D879600306EA}" destId="{83D0EEA0-4E0E-4F2C-86D0-4872778AC753}" srcOrd="0" destOrd="0" presId="urn:microsoft.com/office/officeart/2005/8/layout/lProcess1"/>
    <dgm:cxn modelId="{A404F463-585D-4436-85C9-337626FD9FD6}" type="presParOf" srcId="{83D0EEA0-4E0E-4F2C-86D0-4872778AC753}" destId="{646BFD88-8DFD-4059-A4E4-8F944CC42C4B}" srcOrd="0" destOrd="0" presId="urn:microsoft.com/office/officeart/2005/8/layout/lProcess1"/>
    <dgm:cxn modelId="{025F09ED-898D-497E-B8F8-6B4395EA62F9}" type="presParOf" srcId="{83D0EEA0-4E0E-4F2C-86D0-4872778AC753}" destId="{084D405F-B7C8-47DC-B324-37D6B09ECA47}" srcOrd="1" destOrd="0" presId="urn:microsoft.com/office/officeart/2005/8/layout/lProcess1"/>
    <dgm:cxn modelId="{FEBAD97C-7CA1-4223-96C2-9D881ABC9FE7}" type="presParOf" srcId="{83D0EEA0-4E0E-4F2C-86D0-4872778AC753}" destId="{357B7650-E339-4647-9285-A7CD8853E35F}" srcOrd="2" destOrd="0" presId="urn:microsoft.com/office/officeart/2005/8/layout/lProcess1"/>
    <dgm:cxn modelId="{F0285CA7-5C71-4271-8B1B-6799F8E31064}" type="presParOf" srcId="{83D0EEA0-4E0E-4F2C-86D0-4872778AC753}" destId="{01E3C7E3-E20C-493A-AA48-4A394F5077F0}" srcOrd="3" destOrd="0" presId="urn:microsoft.com/office/officeart/2005/8/layout/lProcess1"/>
    <dgm:cxn modelId="{E797D976-ACE5-4AE5-B7D9-A6EF0AD9D893}" type="presParOf" srcId="{83D0EEA0-4E0E-4F2C-86D0-4872778AC753}" destId="{A8C2EDBF-E800-445F-9DBE-98897B99DC4E}" srcOrd="4" destOrd="0" presId="urn:microsoft.com/office/officeart/2005/8/layout/lProcess1"/>
    <dgm:cxn modelId="{817CA0E1-096C-4022-9E81-36D4A804C178}" type="presParOf" srcId="{DE492876-8A6B-4135-83E2-D879600306EA}" destId="{7D4D50F1-476B-4775-A9B4-303FEC43D3C6}" srcOrd="1" destOrd="0" presId="urn:microsoft.com/office/officeart/2005/8/layout/lProcess1"/>
    <dgm:cxn modelId="{6918F19A-94FD-4A38-82E8-BD9510B44188}" type="presParOf" srcId="{DE492876-8A6B-4135-83E2-D879600306EA}" destId="{62ADC378-5A01-430B-8F06-82DCE55E4313}" srcOrd="2" destOrd="0" presId="urn:microsoft.com/office/officeart/2005/8/layout/lProcess1"/>
    <dgm:cxn modelId="{73AEA167-B1B1-4ACE-92F1-98EF7E163960}" type="presParOf" srcId="{62ADC378-5A01-430B-8F06-82DCE55E4313}" destId="{1942BAE2-34C2-42AC-93E6-3675D90425FC}" srcOrd="0" destOrd="0" presId="urn:microsoft.com/office/officeart/2005/8/layout/lProcess1"/>
    <dgm:cxn modelId="{D34137D4-BB21-48FC-955E-B567CD0EBF69}" type="presParOf" srcId="{62ADC378-5A01-430B-8F06-82DCE55E4313}" destId="{17150945-F2A5-4372-870F-A9088F326E8C}" srcOrd="1" destOrd="0" presId="urn:microsoft.com/office/officeart/2005/8/layout/lProcess1"/>
    <dgm:cxn modelId="{857C7AA9-A120-47C6-830D-AA20D7E09A71}" type="presParOf" srcId="{62ADC378-5A01-430B-8F06-82DCE55E4313}" destId="{EBBFF18C-DF64-4B84-BEAF-FC1F4685F1AE}" srcOrd="2" destOrd="0" presId="urn:microsoft.com/office/officeart/2005/8/layout/l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544D87-9352-4201-9F29-735998AB6B03}"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en-GB"/>
        </a:p>
      </dgm:t>
    </dgm:pt>
    <dgm:pt modelId="{C6E2C4F0-ADD2-4449-9514-F0563D57C161}">
      <dgm:prSet phldrT="[Text]" custT="1"/>
      <dgm:spPr/>
      <dgm:t>
        <a:bodyPr/>
        <a:lstStyle/>
        <a:p>
          <a:r>
            <a:rPr lang="en-GB" sz="1100"/>
            <a:t>£10,000 gain (UK bond)</a:t>
          </a:r>
        </a:p>
      </dgm:t>
    </dgm:pt>
    <dgm:pt modelId="{2F316C7F-EA99-411F-A08D-F70C8C52E534}" type="parTrans" cxnId="{9E519E6A-E6D3-4367-9D49-4A6169B7E2EF}">
      <dgm:prSet/>
      <dgm:spPr/>
      <dgm:t>
        <a:bodyPr/>
        <a:lstStyle/>
        <a:p>
          <a:endParaRPr lang="en-GB" sz="1100"/>
        </a:p>
      </dgm:t>
    </dgm:pt>
    <dgm:pt modelId="{951F28A6-158D-47ED-A2F6-24D1C5C5843F}" type="sibTrans" cxnId="{9E519E6A-E6D3-4367-9D49-4A6169B7E2EF}">
      <dgm:prSet/>
      <dgm:spPr/>
      <dgm:t>
        <a:bodyPr/>
        <a:lstStyle/>
        <a:p>
          <a:endParaRPr lang="en-GB" sz="1100"/>
        </a:p>
      </dgm:t>
    </dgm:pt>
    <dgm:pt modelId="{8B767EFA-1CE4-4237-A853-9FC24D0A6FF7}">
      <dgm:prSet phldrT="[Text]" custT="1"/>
      <dgm:spPr/>
      <dgm:t>
        <a:bodyPr/>
        <a:lstStyle/>
        <a:p>
          <a:r>
            <a:rPr lang="en-GB" sz="1100"/>
            <a:t>(Less 20% tax deemed paid within the life fund) = £8,000 chargeable gain</a:t>
          </a:r>
        </a:p>
      </dgm:t>
    </dgm:pt>
    <dgm:pt modelId="{D7CD6FF2-BF46-4E29-80BF-98BDF6083CC4}" type="parTrans" cxnId="{D427EE87-B048-4E0E-9E31-05ED4D3CDAB8}">
      <dgm:prSet/>
      <dgm:spPr/>
      <dgm:t>
        <a:bodyPr/>
        <a:lstStyle/>
        <a:p>
          <a:endParaRPr lang="en-GB" sz="1100"/>
        </a:p>
      </dgm:t>
    </dgm:pt>
    <dgm:pt modelId="{344AE28B-AF13-4E0E-9FFD-FF7C8FD73878}" type="sibTrans" cxnId="{D427EE87-B048-4E0E-9E31-05ED4D3CDAB8}">
      <dgm:prSet/>
      <dgm:spPr/>
      <dgm:t>
        <a:bodyPr/>
        <a:lstStyle/>
        <a:p>
          <a:endParaRPr lang="en-GB" sz="1100"/>
        </a:p>
      </dgm:t>
    </dgm:pt>
    <dgm:pt modelId="{F41C07C9-500A-4E7A-9C71-770822113C59}">
      <dgm:prSet phldrT="[Text]" custT="1"/>
      <dgm:spPr/>
      <dgm:t>
        <a:bodyPr/>
        <a:lstStyle/>
        <a:p>
          <a:r>
            <a:rPr lang="en-GB" sz="1100"/>
            <a:t>(Less personal Income Tax at 20% of £8,000 (£1,600)) = £6,400</a:t>
          </a:r>
        </a:p>
      </dgm:t>
    </dgm:pt>
    <dgm:pt modelId="{EC490073-1862-4319-9E3A-01516C8F123B}" type="parTrans" cxnId="{8D6779BB-CD30-4CFF-BCAE-29498297C33F}">
      <dgm:prSet/>
      <dgm:spPr/>
      <dgm:t>
        <a:bodyPr/>
        <a:lstStyle/>
        <a:p>
          <a:endParaRPr lang="en-GB" sz="1100"/>
        </a:p>
      </dgm:t>
    </dgm:pt>
    <dgm:pt modelId="{5770CE14-0437-44A5-B370-1224B77ABE6B}" type="sibTrans" cxnId="{8D6779BB-CD30-4CFF-BCAE-29498297C33F}">
      <dgm:prSet/>
      <dgm:spPr/>
      <dgm:t>
        <a:bodyPr/>
        <a:lstStyle/>
        <a:p>
          <a:endParaRPr lang="en-GB" sz="1100"/>
        </a:p>
      </dgm:t>
    </dgm:pt>
    <dgm:pt modelId="{7CA6E4EA-3953-410D-B93C-AAFCB9050FB1}">
      <dgm:prSet phldrT="[Text]" custT="1"/>
      <dgm:spPr/>
      <dgm:t>
        <a:bodyPr/>
        <a:lstStyle/>
        <a:p>
          <a:r>
            <a:rPr lang="en-GB" sz="1100"/>
            <a:t>£10,000 chargeable gain (offshore bond)</a:t>
          </a:r>
        </a:p>
      </dgm:t>
    </dgm:pt>
    <dgm:pt modelId="{ADFEA1A3-A8A9-4129-A9DA-FCEF6364E1FF}" type="parTrans" cxnId="{229C45B7-131B-4138-A730-153AA0B8492C}">
      <dgm:prSet/>
      <dgm:spPr/>
      <dgm:t>
        <a:bodyPr/>
        <a:lstStyle/>
        <a:p>
          <a:endParaRPr lang="en-GB" sz="1100"/>
        </a:p>
      </dgm:t>
    </dgm:pt>
    <dgm:pt modelId="{F66E2260-ED2B-49DE-88ED-15FA68CB004C}" type="sibTrans" cxnId="{229C45B7-131B-4138-A730-153AA0B8492C}">
      <dgm:prSet/>
      <dgm:spPr/>
      <dgm:t>
        <a:bodyPr/>
        <a:lstStyle/>
        <a:p>
          <a:endParaRPr lang="en-GB" sz="1100"/>
        </a:p>
      </dgm:t>
    </dgm:pt>
    <dgm:pt modelId="{B635FC92-D11C-440C-8D9F-31A9FF0E13EF}">
      <dgm:prSet phldrT="[Text]" custT="1"/>
      <dgm:spPr>
        <a:solidFill>
          <a:srgbClr val="FFFF00">
            <a:alpha val="90000"/>
          </a:srgbClr>
        </a:solidFill>
      </dgm:spPr>
      <dgm:t>
        <a:bodyPr/>
        <a:lstStyle/>
        <a:p>
          <a:r>
            <a:rPr lang="en-GB" sz="1100"/>
            <a:t>(Less personal Income Tax at 20% (£2,000)) = £8,000</a:t>
          </a:r>
        </a:p>
      </dgm:t>
    </dgm:pt>
    <dgm:pt modelId="{976C527B-1E89-4530-A044-E1B1AC1DA02F}" type="parTrans" cxnId="{3C60A6B2-B0B4-464E-8AEF-971FCADE17C5}">
      <dgm:prSet/>
      <dgm:spPr/>
      <dgm:t>
        <a:bodyPr/>
        <a:lstStyle/>
        <a:p>
          <a:endParaRPr lang="en-GB" sz="1100"/>
        </a:p>
      </dgm:t>
    </dgm:pt>
    <dgm:pt modelId="{39906A55-ECB6-4846-877B-BB780554D2C0}" type="sibTrans" cxnId="{3C60A6B2-B0B4-464E-8AEF-971FCADE17C5}">
      <dgm:prSet/>
      <dgm:spPr/>
      <dgm:t>
        <a:bodyPr/>
        <a:lstStyle/>
        <a:p>
          <a:endParaRPr lang="en-GB" sz="1100"/>
        </a:p>
      </dgm:t>
    </dgm:pt>
    <dgm:pt modelId="{68DA9564-C1D0-49A2-8AB0-7580E111E192}">
      <dgm:prSet custT="1"/>
      <dgm:spPr>
        <a:solidFill>
          <a:srgbClr val="FFFF00">
            <a:alpha val="90000"/>
          </a:srgbClr>
        </a:solidFill>
      </dgm:spPr>
      <dgm:t>
        <a:bodyPr/>
        <a:lstStyle/>
        <a:p>
          <a:r>
            <a:rPr lang="en-GB" sz="1100"/>
            <a:t>Add back the onshore tax credit of 20% of £1,600 = £8,000</a:t>
          </a:r>
        </a:p>
      </dgm:t>
    </dgm:pt>
    <dgm:pt modelId="{9B77E0C1-E967-493F-BE8B-52A8C3044092}" type="parTrans" cxnId="{17D82A2C-C590-4622-AA4D-5FB4A4DA0C57}">
      <dgm:prSet/>
      <dgm:spPr/>
      <dgm:t>
        <a:bodyPr/>
        <a:lstStyle/>
        <a:p>
          <a:endParaRPr lang="en-GB"/>
        </a:p>
      </dgm:t>
    </dgm:pt>
    <dgm:pt modelId="{85772C5F-6186-4EE7-90B2-7400D72879B8}" type="sibTrans" cxnId="{17D82A2C-C590-4622-AA4D-5FB4A4DA0C57}">
      <dgm:prSet/>
      <dgm:spPr/>
      <dgm:t>
        <a:bodyPr/>
        <a:lstStyle/>
        <a:p>
          <a:endParaRPr lang="en-GB"/>
        </a:p>
      </dgm:t>
    </dgm:pt>
    <dgm:pt modelId="{DE492876-8A6B-4135-83E2-D879600306EA}" type="pres">
      <dgm:prSet presAssocID="{E7544D87-9352-4201-9F29-735998AB6B03}" presName="Name0" presStyleCnt="0">
        <dgm:presLayoutVars>
          <dgm:dir/>
          <dgm:animLvl val="lvl"/>
          <dgm:resizeHandles val="exact"/>
        </dgm:presLayoutVars>
      </dgm:prSet>
      <dgm:spPr/>
    </dgm:pt>
    <dgm:pt modelId="{83D0EEA0-4E0E-4F2C-86D0-4872778AC753}" type="pres">
      <dgm:prSet presAssocID="{C6E2C4F0-ADD2-4449-9514-F0563D57C161}" presName="vertFlow" presStyleCnt="0"/>
      <dgm:spPr/>
    </dgm:pt>
    <dgm:pt modelId="{646BFD88-8DFD-4059-A4E4-8F944CC42C4B}" type="pres">
      <dgm:prSet presAssocID="{C6E2C4F0-ADD2-4449-9514-F0563D57C161}" presName="header" presStyleLbl="node1" presStyleIdx="0" presStyleCnt="2"/>
      <dgm:spPr/>
    </dgm:pt>
    <dgm:pt modelId="{084D405F-B7C8-47DC-B324-37D6B09ECA47}" type="pres">
      <dgm:prSet presAssocID="{D7CD6FF2-BF46-4E29-80BF-98BDF6083CC4}" presName="parTrans" presStyleLbl="sibTrans2D1" presStyleIdx="0" presStyleCnt="4"/>
      <dgm:spPr/>
    </dgm:pt>
    <dgm:pt modelId="{357B7650-E339-4647-9285-A7CD8853E35F}" type="pres">
      <dgm:prSet presAssocID="{8B767EFA-1CE4-4237-A853-9FC24D0A6FF7}" presName="child" presStyleLbl="alignAccFollowNode1" presStyleIdx="0" presStyleCnt="4">
        <dgm:presLayoutVars>
          <dgm:chMax val="0"/>
          <dgm:bulletEnabled val="1"/>
        </dgm:presLayoutVars>
      </dgm:prSet>
      <dgm:spPr/>
    </dgm:pt>
    <dgm:pt modelId="{01E3C7E3-E20C-493A-AA48-4A394F5077F0}" type="pres">
      <dgm:prSet presAssocID="{344AE28B-AF13-4E0E-9FFD-FF7C8FD73878}" presName="sibTrans" presStyleLbl="sibTrans2D1" presStyleIdx="1" presStyleCnt="4"/>
      <dgm:spPr/>
    </dgm:pt>
    <dgm:pt modelId="{A8C2EDBF-E800-445F-9DBE-98897B99DC4E}" type="pres">
      <dgm:prSet presAssocID="{F41C07C9-500A-4E7A-9C71-770822113C59}" presName="child" presStyleLbl="alignAccFollowNode1" presStyleIdx="1" presStyleCnt="4">
        <dgm:presLayoutVars>
          <dgm:chMax val="0"/>
          <dgm:bulletEnabled val="1"/>
        </dgm:presLayoutVars>
      </dgm:prSet>
      <dgm:spPr/>
    </dgm:pt>
    <dgm:pt modelId="{DEB71963-E5D1-4B3F-BAE7-017C1B4BB88B}" type="pres">
      <dgm:prSet presAssocID="{5770CE14-0437-44A5-B370-1224B77ABE6B}" presName="sibTrans" presStyleLbl="sibTrans2D1" presStyleIdx="2" presStyleCnt="4"/>
      <dgm:spPr/>
    </dgm:pt>
    <dgm:pt modelId="{A6600176-EB52-4F59-B532-59EE5943C3F7}" type="pres">
      <dgm:prSet presAssocID="{68DA9564-C1D0-49A2-8AB0-7580E111E192}" presName="child" presStyleLbl="alignAccFollowNode1" presStyleIdx="2" presStyleCnt="4">
        <dgm:presLayoutVars>
          <dgm:chMax val="0"/>
          <dgm:bulletEnabled val="1"/>
        </dgm:presLayoutVars>
      </dgm:prSet>
      <dgm:spPr/>
    </dgm:pt>
    <dgm:pt modelId="{7D4D50F1-476B-4775-A9B4-303FEC43D3C6}" type="pres">
      <dgm:prSet presAssocID="{C6E2C4F0-ADD2-4449-9514-F0563D57C161}" presName="hSp" presStyleCnt="0"/>
      <dgm:spPr/>
    </dgm:pt>
    <dgm:pt modelId="{62ADC378-5A01-430B-8F06-82DCE55E4313}" type="pres">
      <dgm:prSet presAssocID="{7CA6E4EA-3953-410D-B93C-AAFCB9050FB1}" presName="vertFlow" presStyleCnt="0"/>
      <dgm:spPr/>
    </dgm:pt>
    <dgm:pt modelId="{1942BAE2-34C2-42AC-93E6-3675D90425FC}" type="pres">
      <dgm:prSet presAssocID="{7CA6E4EA-3953-410D-B93C-AAFCB9050FB1}" presName="header" presStyleLbl="node1" presStyleIdx="1" presStyleCnt="2"/>
      <dgm:spPr/>
    </dgm:pt>
    <dgm:pt modelId="{17150945-F2A5-4372-870F-A9088F326E8C}" type="pres">
      <dgm:prSet presAssocID="{976C527B-1E89-4530-A044-E1B1AC1DA02F}" presName="parTrans" presStyleLbl="sibTrans2D1" presStyleIdx="3" presStyleCnt="4"/>
      <dgm:spPr/>
    </dgm:pt>
    <dgm:pt modelId="{EBBFF18C-DF64-4B84-BEAF-FC1F4685F1AE}" type="pres">
      <dgm:prSet presAssocID="{B635FC92-D11C-440C-8D9F-31A9FF0E13EF}" presName="child" presStyleLbl="alignAccFollowNode1" presStyleIdx="3" presStyleCnt="4">
        <dgm:presLayoutVars>
          <dgm:chMax val="0"/>
          <dgm:bulletEnabled val="1"/>
        </dgm:presLayoutVars>
      </dgm:prSet>
      <dgm:spPr/>
    </dgm:pt>
  </dgm:ptLst>
  <dgm:cxnLst>
    <dgm:cxn modelId="{495CEA1C-96AC-4B68-A333-5C8F0E123DB1}" type="presOf" srcId="{976C527B-1E89-4530-A044-E1B1AC1DA02F}" destId="{17150945-F2A5-4372-870F-A9088F326E8C}" srcOrd="0" destOrd="0" presId="urn:microsoft.com/office/officeart/2005/8/layout/lProcess1"/>
    <dgm:cxn modelId="{17D82A2C-C590-4622-AA4D-5FB4A4DA0C57}" srcId="{C6E2C4F0-ADD2-4449-9514-F0563D57C161}" destId="{68DA9564-C1D0-49A2-8AB0-7580E111E192}" srcOrd="2" destOrd="0" parTransId="{9B77E0C1-E967-493F-BE8B-52A8C3044092}" sibTransId="{85772C5F-6186-4EE7-90B2-7400D72879B8}"/>
    <dgm:cxn modelId="{9E519E6A-E6D3-4367-9D49-4A6169B7E2EF}" srcId="{E7544D87-9352-4201-9F29-735998AB6B03}" destId="{C6E2C4F0-ADD2-4449-9514-F0563D57C161}" srcOrd="0" destOrd="0" parTransId="{2F316C7F-EA99-411F-A08D-F70C8C52E534}" sibTransId="{951F28A6-158D-47ED-A2F6-24D1C5C5843F}"/>
    <dgm:cxn modelId="{DDE3C254-5C23-4CDA-B838-7DD8712AB877}" type="presOf" srcId="{8B767EFA-1CE4-4237-A853-9FC24D0A6FF7}" destId="{357B7650-E339-4647-9285-A7CD8853E35F}" srcOrd="0" destOrd="0" presId="urn:microsoft.com/office/officeart/2005/8/layout/lProcess1"/>
    <dgm:cxn modelId="{CC030A7B-798C-4137-9A5F-9160567B31D6}" type="presOf" srcId="{68DA9564-C1D0-49A2-8AB0-7580E111E192}" destId="{A6600176-EB52-4F59-B532-59EE5943C3F7}" srcOrd="0" destOrd="0" presId="urn:microsoft.com/office/officeart/2005/8/layout/lProcess1"/>
    <dgm:cxn modelId="{59E45B7F-F0B7-4C67-BED0-FD97DF143720}" type="presOf" srcId="{F41C07C9-500A-4E7A-9C71-770822113C59}" destId="{A8C2EDBF-E800-445F-9DBE-98897B99DC4E}" srcOrd="0" destOrd="0" presId="urn:microsoft.com/office/officeart/2005/8/layout/lProcess1"/>
    <dgm:cxn modelId="{99524C80-53A9-4867-89B9-50AFD5CD5651}" type="presOf" srcId="{B635FC92-D11C-440C-8D9F-31A9FF0E13EF}" destId="{EBBFF18C-DF64-4B84-BEAF-FC1F4685F1AE}" srcOrd="0" destOrd="0" presId="urn:microsoft.com/office/officeart/2005/8/layout/lProcess1"/>
    <dgm:cxn modelId="{297C3381-992B-4DA3-B3BB-3FE5A07BABD0}" type="presOf" srcId="{344AE28B-AF13-4E0E-9FFD-FF7C8FD73878}" destId="{01E3C7E3-E20C-493A-AA48-4A394F5077F0}" srcOrd="0" destOrd="0" presId="urn:microsoft.com/office/officeart/2005/8/layout/lProcess1"/>
    <dgm:cxn modelId="{48F1DE81-47A3-465E-BA74-C1C5E2D0FE82}" type="presOf" srcId="{5770CE14-0437-44A5-B370-1224B77ABE6B}" destId="{DEB71963-E5D1-4B3F-BAE7-017C1B4BB88B}" srcOrd="0" destOrd="0" presId="urn:microsoft.com/office/officeart/2005/8/layout/lProcess1"/>
    <dgm:cxn modelId="{D427EE87-B048-4E0E-9E31-05ED4D3CDAB8}" srcId="{C6E2C4F0-ADD2-4449-9514-F0563D57C161}" destId="{8B767EFA-1CE4-4237-A853-9FC24D0A6FF7}" srcOrd="0" destOrd="0" parTransId="{D7CD6FF2-BF46-4E29-80BF-98BDF6083CC4}" sibTransId="{344AE28B-AF13-4E0E-9FFD-FF7C8FD73878}"/>
    <dgm:cxn modelId="{51BCF98D-8DE9-402F-928D-2E0E0B68A038}" type="presOf" srcId="{C6E2C4F0-ADD2-4449-9514-F0563D57C161}" destId="{646BFD88-8DFD-4059-A4E4-8F944CC42C4B}" srcOrd="0" destOrd="0" presId="urn:microsoft.com/office/officeart/2005/8/layout/lProcess1"/>
    <dgm:cxn modelId="{3CE01A98-6935-455E-855A-D6DCFFB1AF5D}" type="presOf" srcId="{D7CD6FF2-BF46-4E29-80BF-98BDF6083CC4}" destId="{084D405F-B7C8-47DC-B324-37D6B09ECA47}" srcOrd="0" destOrd="0" presId="urn:microsoft.com/office/officeart/2005/8/layout/lProcess1"/>
    <dgm:cxn modelId="{3C60A6B2-B0B4-464E-8AEF-971FCADE17C5}" srcId="{7CA6E4EA-3953-410D-B93C-AAFCB9050FB1}" destId="{B635FC92-D11C-440C-8D9F-31A9FF0E13EF}" srcOrd="0" destOrd="0" parTransId="{976C527B-1E89-4530-A044-E1B1AC1DA02F}" sibTransId="{39906A55-ECB6-4846-877B-BB780554D2C0}"/>
    <dgm:cxn modelId="{229C45B7-131B-4138-A730-153AA0B8492C}" srcId="{E7544D87-9352-4201-9F29-735998AB6B03}" destId="{7CA6E4EA-3953-410D-B93C-AAFCB9050FB1}" srcOrd="1" destOrd="0" parTransId="{ADFEA1A3-A8A9-4129-A9DA-FCEF6364E1FF}" sibTransId="{F66E2260-ED2B-49DE-88ED-15FA68CB004C}"/>
    <dgm:cxn modelId="{8D6779BB-CD30-4CFF-BCAE-29498297C33F}" srcId="{C6E2C4F0-ADD2-4449-9514-F0563D57C161}" destId="{F41C07C9-500A-4E7A-9C71-770822113C59}" srcOrd="1" destOrd="0" parTransId="{EC490073-1862-4319-9E3A-01516C8F123B}" sibTransId="{5770CE14-0437-44A5-B370-1224B77ABE6B}"/>
    <dgm:cxn modelId="{6E60D6E8-2582-452B-A96E-77B6B99B0D93}" type="presOf" srcId="{7CA6E4EA-3953-410D-B93C-AAFCB9050FB1}" destId="{1942BAE2-34C2-42AC-93E6-3675D90425FC}" srcOrd="0" destOrd="0" presId="urn:microsoft.com/office/officeart/2005/8/layout/lProcess1"/>
    <dgm:cxn modelId="{6EA8EBEC-CB41-4D15-AB3B-0946216AAC62}" type="presOf" srcId="{E7544D87-9352-4201-9F29-735998AB6B03}" destId="{DE492876-8A6B-4135-83E2-D879600306EA}" srcOrd="0" destOrd="0" presId="urn:microsoft.com/office/officeart/2005/8/layout/lProcess1"/>
    <dgm:cxn modelId="{59CE8206-39C5-4296-A6FB-46F69FFDFB58}" type="presParOf" srcId="{DE492876-8A6B-4135-83E2-D879600306EA}" destId="{83D0EEA0-4E0E-4F2C-86D0-4872778AC753}" srcOrd="0" destOrd="0" presId="urn:microsoft.com/office/officeart/2005/8/layout/lProcess1"/>
    <dgm:cxn modelId="{A404F463-585D-4436-85C9-337626FD9FD6}" type="presParOf" srcId="{83D0EEA0-4E0E-4F2C-86D0-4872778AC753}" destId="{646BFD88-8DFD-4059-A4E4-8F944CC42C4B}" srcOrd="0" destOrd="0" presId="urn:microsoft.com/office/officeart/2005/8/layout/lProcess1"/>
    <dgm:cxn modelId="{025F09ED-898D-497E-B8F8-6B4395EA62F9}" type="presParOf" srcId="{83D0EEA0-4E0E-4F2C-86D0-4872778AC753}" destId="{084D405F-B7C8-47DC-B324-37D6B09ECA47}" srcOrd="1" destOrd="0" presId="urn:microsoft.com/office/officeart/2005/8/layout/lProcess1"/>
    <dgm:cxn modelId="{FEBAD97C-7CA1-4223-96C2-9D881ABC9FE7}" type="presParOf" srcId="{83D0EEA0-4E0E-4F2C-86D0-4872778AC753}" destId="{357B7650-E339-4647-9285-A7CD8853E35F}" srcOrd="2" destOrd="0" presId="urn:microsoft.com/office/officeart/2005/8/layout/lProcess1"/>
    <dgm:cxn modelId="{F0285CA7-5C71-4271-8B1B-6799F8E31064}" type="presParOf" srcId="{83D0EEA0-4E0E-4F2C-86D0-4872778AC753}" destId="{01E3C7E3-E20C-493A-AA48-4A394F5077F0}" srcOrd="3" destOrd="0" presId="urn:microsoft.com/office/officeart/2005/8/layout/lProcess1"/>
    <dgm:cxn modelId="{E797D976-ACE5-4AE5-B7D9-A6EF0AD9D893}" type="presParOf" srcId="{83D0EEA0-4E0E-4F2C-86D0-4872778AC753}" destId="{A8C2EDBF-E800-445F-9DBE-98897B99DC4E}" srcOrd="4" destOrd="0" presId="urn:microsoft.com/office/officeart/2005/8/layout/lProcess1"/>
    <dgm:cxn modelId="{4C591D1A-FA10-42F6-B93F-88692276B02B}" type="presParOf" srcId="{83D0EEA0-4E0E-4F2C-86D0-4872778AC753}" destId="{DEB71963-E5D1-4B3F-BAE7-017C1B4BB88B}" srcOrd="5" destOrd="0" presId="urn:microsoft.com/office/officeart/2005/8/layout/lProcess1"/>
    <dgm:cxn modelId="{D9CCF00D-99F5-4B71-BCA7-4337552BE7D0}" type="presParOf" srcId="{83D0EEA0-4E0E-4F2C-86D0-4872778AC753}" destId="{A6600176-EB52-4F59-B532-59EE5943C3F7}" srcOrd="6" destOrd="0" presId="urn:microsoft.com/office/officeart/2005/8/layout/lProcess1"/>
    <dgm:cxn modelId="{817CA0E1-096C-4022-9E81-36D4A804C178}" type="presParOf" srcId="{DE492876-8A6B-4135-83E2-D879600306EA}" destId="{7D4D50F1-476B-4775-A9B4-303FEC43D3C6}" srcOrd="1" destOrd="0" presId="urn:microsoft.com/office/officeart/2005/8/layout/lProcess1"/>
    <dgm:cxn modelId="{6918F19A-94FD-4A38-82E8-BD9510B44188}" type="presParOf" srcId="{DE492876-8A6B-4135-83E2-D879600306EA}" destId="{62ADC378-5A01-430B-8F06-82DCE55E4313}" srcOrd="2" destOrd="0" presId="urn:microsoft.com/office/officeart/2005/8/layout/lProcess1"/>
    <dgm:cxn modelId="{73AEA167-B1B1-4ACE-92F1-98EF7E163960}" type="presParOf" srcId="{62ADC378-5A01-430B-8F06-82DCE55E4313}" destId="{1942BAE2-34C2-42AC-93E6-3675D90425FC}" srcOrd="0" destOrd="0" presId="urn:microsoft.com/office/officeart/2005/8/layout/lProcess1"/>
    <dgm:cxn modelId="{D34137D4-BB21-48FC-955E-B567CD0EBF69}" type="presParOf" srcId="{62ADC378-5A01-430B-8F06-82DCE55E4313}" destId="{17150945-F2A5-4372-870F-A9088F326E8C}" srcOrd="1" destOrd="0" presId="urn:microsoft.com/office/officeart/2005/8/layout/lProcess1"/>
    <dgm:cxn modelId="{857C7AA9-A120-47C6-830D-AA20D7E09A71}" type="presParOf" srcId="{62ADC378-5A01-430B-8F06-82DCE55E4313}" destId="{EBBFF18C-DF64-4B84-BEAF-FC1F4685F1AE}" srcOrd="2" destOrd="0" presId="urn:microsoft.com/office/officeart/2005/8/layout/l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7544D87-9352-4201-9F29-735998AB6B03}"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en-GB"/>
        </a:p>
      </dgm:t>
    </dgm:pt>
    <dgm:pt modelId="{C6E2C4F0-ADD2-4449-9514-F0563D57C161}">
      <dgm:prSet phldrT="[Text]" custT="1"/>
      <dgm:spPr/>
      <dgm:t>
        <a:bodyPr/>
        <a:lstStyle/>
        <a:p>
          <a:r>
            <a:rPr lang="en-GB" sz="1100"/>
            <a:t>£10,000 gain (UK bond)</a:t>
          </a:r>
        </a:p>
      </dgm:t>
    </dgm:pt>
    <dgm:pt modelId="{2F316C7F-EA99-411F-A08D-F70C8C52E534}" type="parTrans" cxnId="{9E519E6A-E6D3-4367-9D49-4A6169B7E2EF}">
      <dgm:prSet/>
      <dgm:spPr/>
      <dgm:t>
        <a:bodyPr/>
        <a:lstStyle/>
        <a:p>
          <a:endParaRPr lang="en-GB" sz="1100"/>
        </a:p>
      </dgm:t>
    </dgm:pt>
    <dgm:pt modelId="{951F28A6-158D-47ED-A2F6-24D1C5C5843F}" type="sibTrans" cxnId="{9E519E6A-E6D3-4367-9D49-4A6169B7E2EF}">
      <dgm:prSet/>
      <dgm:spPr/>
      <dgm:t>
        <a:bodyPr/>
        <a:lstStyle/>
        <a:p>
          <a:endParaRPr lang="en-GB" sz="1100"/>
        </a:p>
      </dgm:t>
    </dgm:pt>
    <dgm:pt modelId="{8B767EFA-1CE4-4237-A853-9FC24D0A6FF7}">
      <dgm:prSet phldrT="[Text]" custT="1"/>
      <dgm:spPr/>
      <dgm:t>
        <a:bodyPr/>
        <a:lstStyle/>
        <a:p>
          <a:r>
            <a:rPr lang="en-GB" sz="1100"/>
            <a:t>(Less 20% tax deemed paid within the life fund) = £8,000 chargeable gain</a:t>
          </a:r>
        </a:p>
      </dgm:t>
    </dgm:pt>
    <dgm:pt modelId="{D7CD6FF2-BF46-4E29-80BF-98BDF6083CC4}" type="parTrans" cxnId="{D427EE87-B048-4E0E-9E31-05ED4D3CDAB8}">
      <dgm:prSet/>
      <dgm:spPr/>
      <dgm:t>
        <a:bodyPr/>
        <a:lstStyle/>
        <a:p>
          <a:endParaRPr lang="en-GB" sz="1100"/>
        </a:p>
      </dgm:t>
    </dgm:pt>
    <dgm:pt modelId="{344AE28B-AF13-4E0E-9FFD-FF7C8FD73878}" type="sibTrans" cxnId="{D427EE87-B048-4E0E-9E31-05ED4D3CDAB8}">
      <dgm:prSet/>
      <dgm:spPr/>
      <dgm:t>
        <a:bodyPr/>
        <a:lstStyle/>
        <a:p>
          <a:endParaRPr lang="en-GB" sz="1100"/>
        </a:p>
      </dgm:t>
    </dgm:pt>
    <dgm:pt modelId="{F41C07C9-500A-4E7A-9C71-770822113C59}">
      <dgm:prSet phldrT="[Text]" custT="1"/>
      <dgm:spPr/>
      <dgm:t>
        <a:bodyPr/>
        <a:lstStyle/>
        <a:p>
          <a:r>
            <a:rPr lang="en-GB" sz="1100"/>
            <a:t>(Less personal Income Tax at 40% of £8,000 (£3,200)) = £4,800</a:t>
          </a:r>
        </a:p>
      </dgm:t>
    </dgm:pt>
    <dgm:pt modelId="{EC490073-1862-4319-9E3A-01516C8F123B}" type="parTrans" cxnId="{8D6779BB-CD30-4CFF-BCAE-29498297C33F}">
      <dgm:prSet/>
      <dgm:spPr/>
      <dgm:t>
        <a:bodyPr/>
        <a:lstStyle/>
        <a:p>
          <a:endParaRPr lang="en-GB" sz="1100"/>
        </a:p>
      </dgm:t>
    </dgm:pt>
    <dgm:pt modelId="{5770CE14-0437-44A5-B370-1224B77ABE6B}" type="sibTrans" cxnId="{8D6779BB-CD30-4CFF-BCAE-29498297C33F}">
      <dgm:prSet/>
      <dgm:spPr/>
      <dgm:t>
        <a:bodyPr/>
        <a:lstStyle/>
        <a:p>
          <a:endParaRPr lang="en-GB" sz="1100"/>
        </a:p>
      </dgm:t>
    </dgm:pt>
    <dgm:pt modelId="{7CA6E4EA-3953-410D-B93C-AAFCB9050FB1}">
      <dgm:prSet phldrT="[Text]" custT="1"/>
      <dgm:spPr/>
      <dgm:t>
        <a:bodyPr/>
        <a:lstStyle/>
        <a:p>
          <a:r>
            <a:rPr lang="en-GB" sz="1100"/>
            <a:t>£10,000 chargeable gain (offshore bond)</a:t>
          </a:r>
        </a:p>
      </dgm:t>
    </dgm:pt>
    <dgm:pt modelId="{ADFEA1A3-A8A9-4129-A9DA-FCEF6364E1FF}" type="parTrans" cxnId="{229C45B7-131B-4138-A730-153AA0B8492C}">
      <dgm:prSet/>
      <dgm:spPr/>
      <dgm:t>
        <a:bodyPr/>
        <a:lstStyle/>
        <a:p>
          <a:endParaRPr lang="en-GB" sz="1100"/>
        </a:p>
      </dgm:t>
    </dgm:pt>
    <dgm:pt modelId="{F66E2260-ED2B-49DE-88ED-15FA68CB004C}" type="sibTrans" cxnId="{229C45B7-131B-4138-A730-153AA0B8492C}">
      <dgm:prSet/>
      <dgm:spPr/>
      <dgm:t>
        <a:bodyPr/>
        <a:lstStyle/>
        <a:p>
          <a:endParaRPr lang="en-GB" sz="1100"/>
        </a:p>
      </dgm:t>
    </dgm:pt>
    <dgm:pt modelId="{B635FC92-D11C-440C-8D9F-31A9FF0E13EF}">
      <dgm:prSet phldrT="[Text]" custT="1"/>
      <dgm:spPr>
        <a:solidFill>
          <a:srgbClr val="FF0000">
            <a:alpha val="90000"/>
          </a:srgbClr>
        </a:solidFill>
      </dgm:spPr>
      <dgm:t>
        <a:bodyPr/>
        <a:lstStyle/>
        <a:p>
          <a:r>
            <a:rPr lang="en-GB" sz="1100"/>
            <a:t>(Less personal Income Tax at 40% (£4,000)) = £6,000</a:t>
          </a:r>
        </a:p>
      </dgm:t>
    </dgm:pt>
    <dgm:pt modelId="{976C527B-1E89-4530-A044-E1B1AC1DA02F}" type="parTrans" cxnId="{3C60A6B2-B0B4-464E-8AEF-971FCADE17C5}">
      <dgm:prSet/>
      <dgm:spPr/>
      <dgm:t>
        <a:bodyPr/>
        <a:lstStyle/>
        <a:p>
          <a:endParaRPr lang="en-GB" sz="1100"/>
        </a:p>
      </dgm:t>
    </dgm:pt>
    <dgm:pt modelId="{39906A55-ECB6-4846-877B-BB780554D2C0}" type="sibTrans" cxnId="{3C60A6B2-B0B4-464E-8AEF-971FCADE17C5}">
      <dgm:prSet/>
      <dgm:spPr/>
      <dgm:t>
        <a:bodyPr/>
        <a:lstStyle/>
        <a:p>
          <a:endParaRPr lang="en-GB" sz="1100"/>
        </a:p>
      </dgm:t>
    </dgm:pt>
    <dgm:pt modelId="{68DA9564-C1D0-49A2-8AB0-7580E111E192}">
      <dgm:prSet custT="1"/>
      <dgm:spPr>
        <a:solidFill>
          <a:srgbClr val="00B050">
            <a:alpha val="90000"/>
          </a:srgbClr>
        </a:solidFill>
      </dgm:spPr>
      <dgm:t>
        <a:bodyPr/>
        <a:lstStyle/>
        <a:p>
          <a:r>
            <a:rPr lang="en-GB" sz="1100"/>
            <a:t>Add back the onshore tax credit of 20% of £1,600 = £6,400</a:t>
          </a:r>
        </a:p>
      </dgm:t>
    </dgm:pt>
    <dgm:pt modelId="{9B77E0C1-E967-493F-BE8B-52A8C3044092}" type="parTrans" cxnId="{17D82A2C-C590-4622-AA4D-5FB4A4DA0C57}">
      <dgm:prSet/>
      <dgm:spPr/>
      <dgm:t>
        <a:bodyPr/>
        <a:lstStyle/>
        <a:p>
          <a:endParaRPr lang="en-GB"/>
        </a:p>
      </dgm:t>
    </dgm:pt>
    <dgm:pt modelId="{85772C5F-6186-4EE7-90B2-7400D72879B8}" type="sibTrans" cxnId="{17D82A2C-C590-4622-AA4D-5FB4A4DA0C57}">
      <dgm:prSet/>
      <dgm:spPr/>
      <dgm:t>
        <a:bodyPr/>
        <a:lstStyle/>
        <a:p>
          <a:endParaRPr lang="en-GB"/>
        </a:p>
      </dgm:t>
    </dgm:pt>
    <dgm:pt modelId="{DE492876-8A6B-4135-83E2-D879600306EA}" type="pres">
      <dgm:prSet presAssocID="{E7544D87-9352-4201-9F29-735998AB6B03}" presName="Name0" presStyleCnt="0">
        <dgm:presLayoutVars>
          <dgm:dir/>
          <dgm:animLvl val="lvl"/>
          <dgm:resizeHandles val="exact"/>
        </dgm:presLayoutVars>
      </dgm:prSet>
      <dgm:spPr/>
    </dgm:pt>
    <dgm:pt modelId="{83D0EEA0-4E0E-4F2C-86D0-4872778AC753}" type="pres">
      <dgm:prSet presAssocID="{C6E2C4F0-ADD2-4449-9514-F0563D57C161}" presName="vertFlow" presStyleCnt="0"/>
      <dgm:spPr/>
    </dgm:pt>
    <dgm:pt modelId="{646BFD88-8DFD-4059-A4E4-8F944CC42C4B}" type="pres">
      <dgm:prSet presAssocID="{C6E2C4F0-ADD2-4449-9514-F0563D57C161}" presName="header" presStyleLbl="node1" presStyleIdx="0" presStyleCnt="2"/>
      <dgm:spPr/>
    </dgm:pt>
    <dgm:pt modelId="{084D405F-B7C8-47DC-B324-37D6B09ECA47}" type="pres">
      <dgm:prSet presAssocID="{D7CD6FF2-BF46-4E29-80BF-98BDF6083CC4}" presName="parTrans" presStyleLbl="sibTrans2D1" presStyleIdx="0" presStyleCnt="4"/>
      <dgm:spPr/>
    </dgm:pt>
    <dgm:pt modelId="{357B7650-E339-4647-9285-A7CD8853E35F}" type="pres">
      <dgm:prSet presAssocID="{8B767EFA-1CE4-4237-A853-9FC24D0A6FF7}" presName="child" presStyleLbl="alignAccFollowNode1" presStyleIdx="0" presStyleCnt="4">
        <dgm:presLayoutVars>
          <dgm:chMax val="0"/>
          <dgm:bulletEnabled val="1"/>
        </dgm:presLayoutVars>
      </dgm:prSet>
      <dgm:spPr/>
    </dgm:pt>
    <dgm:pt modelId="{01E3C7E3-E20C-493A-AA48-4A394F5077F0}" type="pres">
      <dgm:prSet presAssocID="{344AE28B-AF13-4E0E-9FFD-FF7C8FD73878}" presName="sibTrans" presStyleLbl="sibTrans2D1" presStyleIdx="1" presStyleCnt="4"/>
      <dgm:spPr/>
    </dgm:pt>
    <dgm:pt modelId="{A8C2EDBF-E800-445F-9DBE-98897B99DC4E}" type="pres">
      <dgm:prSet presAssocID="{F41C07C9-500A-4E7A-9C71-770822113C59}" presName="child" presStyleLbl="alignAccFollowNode1" presStyleIdx="1" presStyleCnt="4">
        <dgm:presLayoutVars>
          <dgm:chMax val="0"/>
          <dgm:bulletEnabled val="1"/>
        </dgm:presLayoutVars>
      </dgm:prSet>
      <dgm:spPr/>
    </dgm:pt>
    <dgm:pt modelId="{DEB71963-E5D1-4B3F-BAE7-017C1B4BB88B}" type="pres">
      <dgm:prSet presAssocID="{5770CE14-0437-44A5-B370-1224B77ABE6B}" presName="sibTrans" presStyleLbl="sibTrans2D1" presStyleIdx="2" presStyleCnt="4"/>
      <dgm:spPr/>
    </dgm:pt>
    <dgm:pt modelId="{A6600176-EB52-4F59-B532-59EE5943C3F7}" type="pres">
      <dgm:prSet presAssocID="{68DA9564-C1D0-49A2-8AB0-7580E111E192}" presName="child" presStyleLbl="alignAccFollowNode1" presStyleIdx="2" presStyleCnt="4">
        <dgm:presLayoutVars>
          <dgm:chMax val="0"/>
          <dgm:bulletEnabled val="1"/>
        </dgm:presLayoutVars>
      </dgm:prSet>
      <dgm:spPr/>
    </dgm:pt>
    <dgm:pt modelId="{7D4D50F1-476B-4775-A9B4-303FEC43D3C6}" type="pres">
      <dgm:prSet presAssocID="{C6E2C4F0-ADD2-4449-9514-F0563D57C161}" presName="hSp" presStyleCnt="0"/>
      <dgm:spPr/>
    </dgm:pt>
    <dgm:pt modelId="{62ADC378-5A01-430B-8F06-82DCE55E4313}" type="pres">
      <dgm:prSet presAssocID="{7CA6E4EA-3953-410D-B93C-AAFCB9050FB1}" presName="vertFlow" presStyleCnt="0"/>
      <dgm:spPr/>
    </dgm:pt>
    <dgm:pt modelId="{1942BAE2-34C2-42AC-93E6-3675D90425FC}" type="pres">
      <dgm:prSet presAssocID="{7CA6E4EA-3953-410D-B93C-AAFCB9050FB1}" presName="header" presStyleLbl="node1" presStyleIdx="1" presStyleCnt="2"/>
      <dgm:spPr/>
    </dgm:pt>
    <dgm:pt modelId="{17150945-F2A5-4372-870F-A9088F326E8C}" type="pres">
      <dgm:prSet presAssocID="{976C527B-1E89-4530-A044-E1B1AC1DA02F}" presName="parTrans" presStyleLbl="sibTrans2D1" presStyleIdx="3" presStyleCnt="4"/>
      <dgm:spPr/>
    </dgm:pt>
    <dgm:pt modelId="{EBBFF18C-DF64-4B84-BEAF-FC1F4685F1AE}" type="pres">
      <dgm:prSet presAssocID="{B635FC92-D11C-440C-8D9F-31A9FF0E13EF}" presName="child" presStyleLbl="alignAccFollowNode1" presStyleIdx="3" presStyleCnt="4">
        <dgm:presLayoutVars>
          <dgm:chMax val="0"/>
          <dgm:bulletEnabled val="1"/>
        </dgm:presLayoutVars>
      </dgm:prSet>
      <dgm:spPr/>
    </dgm:pt>
  </dgm:ptLst>
  <dgm:cxnLst>
    <dgm:cxn modelId="{495CEA1C-96AC-4B68-A333-5C8F0E123DB1}" type="presOf" srcId="{976C527B-1E89-4530-A044-E1B1AC1DA02F}" destId="{17150945-F2A5-4372-870F-A9088F326E8C}" srcOrd="0" destOrd="0" presId="urn:microsoft.com/office/officeart/2005/8/layout/lProcess1"/>
    <dgm:cxn modelId="{17D82A2C-C590-4622-AA4D-5FB4A4DA0C57}" srcId="{C6E2C4F0-ADD2-4449-9514-F0563D57C161}" destId="{68DA9564-C1D0-49A2-8AB0-7580E111E192}" srcOrd="2" destOrd="0" parTransId="{9B77E0C1-E967-493F-BE8B-52A8C3044092}" sibTransId="{85772C5F-6186-4EE7-90B2-7400D72879B8}"/>
    <dgm:cxn modelId="{9E519E6A-E6D3-4367-9D49-4A6169B7E2EF}" srcId="{E7544D87-9352-4201-9F29-735998AB6B03}" destId="{C6E2C4F0-ADD2-4449-9514-F0563D57C161}" srcOrd="0" destOrd="0" parTransId="{2F316C7F-EA99-411F-A08D-F70C8C52E534}" sibTransId="{951F28A6-158D-47ED-A2F6-24D1C5C5843F}"/>
    <dgm:cxn modelId="{DDE3C254-5C23-4CDA-B838-7DD8712AB877}" type="presOf" srcId="{8B767EFA-1CE4-4237-A853-9FC24D0A6FF7}" destId="{357B7650-E339-4647-9285-A7CD8853E35F}" srcOrd="0" destOrd="0" presId="urn:microsoft.com/office/officeart/2005/8/layout/lProcess1"/>
    <dgm:cxn modelId="{CC030A7B-798C-4137-9A5F-9160567B31D6}" type="presOf" srcId="{68DA9564-C1D0-49A2-8AB0-7580E111E192}" destId="{A6600176-EB52-4F59-B532-59EE5943C3F7}" srcOrd="0" destOrd="0" presId="urn:microsoft.com/office/officeart/2005/8/layout/lProcess1"/>
    <dgm:cxn modelId="{59E45B7F-F0B7-4C67-BED0-FD97DF143720}" type="presOf" srcId="{F41C07C9-500A-4E7A-9C71-770822113C59}" destId="{A8C2EDBF-E800-445F-9DBE-98897B99DC4E}" srcOrd="0" destOrd="0" presId="urn:microsoft.com/office/officeart/2005/8/layout/lProcess1"/>
    <dgm:cxn modelId="{99524C80-53A9-4867-89B9-50AFD5CD5651}" type="presOf" srcId="{B635FC92-D11C-440C-8D9F-31A9FF0E13EF}" destId="{EBBFF18C-DF64-4B84-BEAF-FC1F4685F1AE}" srcOrd="0" destOrd="0" presId="urn:microsoft.com/office/officeart/2005/8/layout/lProcess1"/>
    <dgm:cxn modelId="{297C3381-992B-4DA3-B3BB-3FE5A07BABD0}" type="presOf" srcId="{344AE28B-AF13-4E0E-9FFD-FF7C8FD73878}" destId="{01E3C7E3-E20C-493A-AA48-4A394F5077F0}" srcOrd="0" destOrd="0" presId="urn:microsoft.com/office/officeart/2005/8/layout/lProcess1"/>
    <dgm:cxn modelId="{48F1DE81-47A3-465E-BA74-C1C5E2D0FE82}" type="presOf" srcId="{5770CE14-0437-44A5-B370-1224B77ABE6B}" destId="{DEB71963-E5D1-4B3F-BAE7-017C1B4BB88B}" srcOrd="0" destOrd="0" presId="urn:microsoft.com/office/officeart/2005/8/layout/lProcess1"/>
    <dgm:cxn modelId="{D427EE87-B048-4E0E-9E31-05ED4D3CDAB8}" srcId="{C6E2C4F0-ADD2-4449-9514-F0563D57C161}" destId="{8B767EFA-1CE4-4237-A853-9FC24D0A6FF7}" srcOrd="0" destOrd="0" parTransId="{D7CD6FF2-BF46-4E29-80BF-98BDF6083CC4}" sibTransId="{344AE28B-AF13-4E0E-9FFD-FF7C8FD73878}"/>
    <dgm:cxn modelId="{51BCF98D-8DE9-402F-928D-2E0E0B68A038}" type="presOf" srcId="{C6E2C4F0-ADD2-4449-9514-F0563D57C161}" destId="{646BFD88-8DFD-4059-A4E4-8F944CC42C4B}" srcOrd="0" destOrd="0" presId="urn:microsoft.com/office/officeart/2005/8/layout/lProcess1"/>
    <dgm:cxn modelId="{3CE01A98-6935-455E-855A-D6DCFFB1AF5D}" type="presOf" srcId="{D7CD6FF2-BF46-4E29-80BF-98BDF6083CC4}" destId="{084D405F-B7C8-47DC-B324-37D6B09ECA47}" srcOrd="0" destOrd="0" presId="urn:microsoft.com/office/officeart/2005/8/layout/lProcess1"/>
    <dgm:cxn modelId="{3C60A6B2-B0B4-464E-8AEF-971FCADE17C5}" srcId="{7CA6E4EA-3953-410D-B93C-AAFCB9050FB1}" destId="{B635FC92-D11C-440C-8D9F-31A9FF0E13EF}" srcOrd="0" destOrd="0" parTransId="{976C527B-1E89-4530-A044-E1B1AC1DA02F}" sibTransId="{39906A55-ECB6-4846-877B-BB780554D2C0}"/>
    <dgm:cxn modelId="{229C45B7-131B-4138-A730-153AA0B8492C}" srcId="{E7544D87-9352-4201-9F29-735998AB6B03}" destId="{7CA6E4EA-3953-410D-B93C-AAFCB9050FB1}" srcOrd="1" destOrd="0" parTransId="{ADFEA1A3-A8A9-4129-A9DA-FCEF6364E1FF}" sibTransId="{F66E2260-ED2B-49DE-88ED-15FA68CB004C}"/>
    <dgm:cxn modelId="{8D6779BB-CD30-4CFF-BCAE-29498297C33F}" srcId="{C6E2C4F0-ADD2-4449-9514-F0563D57C161}" destId="{F41C07C9-500A-4E7A-9C71-770822113C59}" srcOrd="1" destOrd="0" parTransId="{EC490073-1862-4319-9E3A-01516C8F123B}" sibTransId="{5770CE14-0437-44A5-B370-1224B77ABE6B}"/>
    <dgm:cxn modelId="{6E60D6E8-2582-452B-A96E-77B6B99B0D93}" type="presOf" srcId="{7CA6E4EA-3953-410D-B93C-AAFCB9050FB1}" destId="{1942BAE2-34C2-42AC-93E6-3675D90425FC}" srcOrd="0" destOrd="0" presId="urn:microsoft.com/office/officeart/2005/8/layout/lProcess1"/>
    <dgm:cxn modelId="{6EA8EBEC-CB41-4D15-AB3B-0946216AAC62}" type="presOf" srcId="{E7544D87-9352-4201-9F29-735998AB6B03}" destId="{DE492876-8A6B-4135-83E2-D879600306EA}" srcOrd="0" destOrd="0" presId="urn:microsoft.com/office/officeart/2005/8/layout/lProcess1"/>
    <dgm:cxn modelId="{59CE8206-39C5-4296-A6FB-46F69FFDFB58}" type="presParOf" srcId="{DE492876-8A6B-4135-83E2-D879600306EA}" destId="{83D0EEA0-4E0E-4F2C-86D0-4872778AC753}" srcOrd="0" destOrd="0" presId="urn:microsoft.com/office/officeart/2005/8/layout/lProcess1"/>
    <dgm:cxn modelId="{A404F463-585D-4436-85C9-337626FD9FD6}" type="presParOf" srcId="{83D0EEA0-4E0E-4F2C-86D0-4872778AC753}" destId="{646BFD88-8DFD-4059-A4E4-8F944CC42C4B}" srcOrd="0" destOrd="0" presId="urn:microsoft.com/office/officeart/2005/8/layout/lProcess1"/>
    <dgm:cxn modelId="{025F09ED-898D-497E-B8F8-6B4395EA62F9}" type="presParOf" srcId="{83D0EEA0-4E0E-4F2C-86D0-4872778AC753}" destId="{084D405F-B7C8-47DC-B324-37D6B09ECA47}" srcOrd="1" destOrd="0" presId="urn:microsoft.com/office/officeart/2005/8/layout/lProcess1"/>
    <dgm:cxn modelId="{FEBAD97C-7CA1-4223-96C2-9D881ABC9FE7}" type="presParOf" srcId="{83D0EEA0-4E0E-4F2C-86D0-4872778AC753}" destId="{357B7650-E339-4647-9285-A7CD8853E35F}" srcOrd="2" destOrd="0" presId="urn:microsoft.com/office/officeart/2005/8/layout/lProcess1"/>
    <dgm:cxn modelId="{F0285CA7-5C71-4271-8B1B-6799F8E31064}" type="presParOf" srcId="{83D0EEA0-4E0E-4F2C-86D0-4872778AC753}" destId="{01E3C7E3-E20C-493A-AA48-4A394F5077F0}" srcOrd="3" destOrd="0" presId="urn:microsoft.com/office/officeart/2005/8/layout/lProcess1"/>
    <dgm:cxn modelId="{E797D976-ACE5-4AE5-B7D9-A6EF0AD9D893}" type="presParOf" srcId="{83D0EEA0-4E0E-4F2C-86D0-4872778AC753}" destId="{A8C2EDBF-E800-445F-9DBE-98897B99DC4E}" srcOrd="4" destOrd="0" presId="urn:microsoft.com/office/officeart/2005/8/layout/lProcess1"/>
    <dgm:cxn modelId="{4C591D1A-FA10-42F6-B93F-88692276B02B}" type="presParOf" srcId="{83D0EEA0-4E0E-4F2C-86D0-4872778AC753}" destId="{DEB71963-E5D1-4B3F-BAE7-017C1B4BB88B}" srcOrd="5" destOrd="0" presId="urn:microsoft.com/office/officeart/2005/8/layout/lProcess1"/>
    <dgm:cxn modelId="{D9CCF00D-99F5-4B71-BCA7-4337552BE7D0}" type="presParOf" srcId="{83D0EEA0-4E0E-4F2C-86D0-4872778AC753}" destId="{A6600176-EB52-4F59-B532-59EE5943C3F7}" srcOrd="6" destOrd="0" presId="urn:microsoft.com/office/officeart/2005/8/layout/lProcess1"/>
    <dgm:cxn modelId="{817CA0E1-096C-4022-9E81-36D4A804C178}" type="presParOf" srcId="{DE492876-8A6B-4135-83E2-D879600306EA}" destId="{7D4D50F1-476B-4775-A9B4-303FEC43D3C6}" srcOrd="1" destOrd="0" presId="urn:microsoft.com/office/officeart/2005/8/layout/lProcess1"/>
    <dgm:cxn modelId="{6918F19A-94FD-4A38-82E8-BD9510B44188}" type="presParOf" srcId="{DE492876-8A6B-4135-83E2-D879600306EA}" destId="{62ADC378-5A01-430B-8F06-82DCE55E4313}" srcOrd="2" destOrd="0" presId="urn:microsoft.com/office/officeart/2005/8/layout/lProcess1"/>
    <dgm:cxn modelId="{73AEA167-B1B1-4ACE-92F1-98EF7E163960}" type="presParOf" srcId="{62ADC378-5A01-430B-8F06-82DCE55E4313}" destId="{1942BAE2-34C2-42AC-93E6-3675D90425FC}" srcOrd="0" destOrd="0" presId="urn:microsoft.com/office/officeart/2005/8/layout/lProcess1"/>
    <dgm:cxn modelId="{D34137D4-BB21-48FC-955E-B567CD0EBF69}" type="presParOf" srcId="{62ADC378-5A01-430B-8F06-82DCE55E4313}" destId="{17150945-F2A5-4372-870F-A9088F326E8C}" srcOrd="1" destOrd="0" presId="urn:microsoft.com/office/officeart/2005/8/layout/lProcess1"/>
    <dgm:cxn modelId="{857C7AA9-A120-47C6-830D-AA20D7E09A71}" type="presParOf" srcId="{62ADC378-5A01-430B-8F06-82DCE55E4313}" destId="{EBBFF18C-DF64-4B84-BEAF-FC1F4685F1AE}" srcOrd="2"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7544D87-9352-4201-9F29-735998AB6B03}"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en-GB"/>
        </a:p>
      </dgm:t>
    </dgm:pt>
    <dgm:pt modelId="{C6E2C4F0-ADD2-4449-9514-F0563D57C161}">
      <dgm:prSet phldrT="[Text]" custT="1"/>
      <dgm:spPr/>
      <dgm:t>
        <a:bodyPr/>
        <a:lstStyle/>
        <a:p>
          <a:r>
            <a:rPr lang="en-GB" sz="1100"/>
            <a:t>£10,000 gain (UK bond)</a:t>
          </a:r>
        </a:p>
      </dgm:t>
    </dgm:pt>
    <dgm:pt modelId="{2F316C7F-EA99-411F-A08D-F70C8C52E534}" type="parTrans" cxnId="{9E519E6A-E6D3-4367-9D49-4A6169B7E2EF}">
      <dgm:prSet/>
      <dgm:spPr/>
      <dgm:t>
        <a:bodyPr/>
        <a:lstStyle/>
        <a:p>
          <a:endParaRPr lang="en-GB" sz="1100"/>
        </a:p>
      </dgm:t>
    </dgm:pt>
    <dgm:pt modelId="{951F28A6-158D-47ED-A2F6-24D1C5C5843F}" type="sibTrans" cxnId="{9E519E6A-E6D3-4367-9D49-4A6169B7E2EF}">
      <dgm:prSet/>
      <dgm:spPr/>
      <dgm:t>
        <a:bodyPr/>
        <a:lstStyle/>
        <a:p>
          <a:endParaRPr lang="en-GB" sz="1100"/>
        </a:p>
      </dgm:t>
    </dgm:pt>
    <dgm:pt modelId="{8B767EFA-1CE4-4237-A853-9FC24D0A6FF7}">
      <dgm:prSet phldrT="[Text]" custT="1"/>
      <dgm:spPr/>
      <dgm:t>
        <a:bodyPr/>
        <a:lstStyle/>
        <a:p>
          <a:r>
            <a:rPr lang="en-GB" sz="1100"/>
            <a:t>(Less 20% tax deemed paid within the life fund) = £8,000 chargeable gain</a:t>
          </a:r>
        </a:p>
      </dgm:t>
    </dgm:pt>
    <dgm:pt modelId="{D7CD6FF2-BF46-4E29-80BF-98BDF6083CC4}" type="parTrans" cxnId="{D427EE87-B048-4E0E-9E31-05ED4D3CDAB8}">
      <dgm:prSet/>
      <dgm:spPr/>
      <dgm:t>
        <a:bodyPr/>
        <a:lstStyle/>
        <a:p>
          <a:endParaRPr lang="en-GB" sz="1100"/>
        </a:p>
      </dgm:t>
    </dgm:pt>
    <dgm:pt modelId="{344AE28B-AF13-4E0E-9FFD-FF7C8FD73878}" type="sibTrans" cxnId="{D427EE87-B048-4E0E-9E31-05ED4D3CDAB8}">
      <dgm:prSet/>
      <dgm:spPr/>
      <dgm:t>
        <a:bodyPr/>
        <a:lstStyle/>
        <a:p>
          <a:endParaRPr lang="en-GB" sz="1100"/>
        </a:p>
      </dgm:t>
    </dgm:pt>
    <dgm:pt modelId="{F41C07C9-500A-4E7A-9C71-770822113C59}">
      <dgm:prSet phldrT="[Text]" custT="1"/>
      <dgm:spPr/>
      <dgm:t>
        <a:bodyPr/>
        <a:lstStyle/>
        <a:p>
          <a:r>
            <a:rPr lang="en-GB" sz="1100"/>
            <a:t>(Less personal Income Tax at 45% of £8,000 (£3,600)) = £4,400</a:t>
          </a:r>
        </a:p>
      </dgm:t>
    </dgm:pt>
    <dgm:pt modelId="{EC490073-1862-4319-9E3A-01516C8F123B}" type="parTrans" cxnId="{8D6779BB-CD30-4CFF-BCAE-29498297C33F}">
      <dgm:prSet/>
      <dgm:spPr/>
      <dgm:t>
        <a:bodyPr/>
        <a:lstStyle/>
        <a:p>
          <a:endParaRPr lang="en-GB" sz="1100"/>
        </a:p>
      </dgm:t>
    </dgm:pt>
    <dgm:pt modelId="{5770CE14-0437-44A5-B370-1224B77ABE6B}" type="sibTrans" cxnId="{8D6779BB-CD30-4CFF-BCAE-29498297C33F}">
      <dgm:prSet/>
      <dgm:spPr/>
      <dgm:t>
        <a:bodyPr/>
        <a:lstStyle/>
        <a:p>
          <a:endParaRPr lang="en-GB" sz="1100"/>
        </a:p>
      </dgm:t>
    </dgm:pt>
    <dgm:pt modelId="{7CA6E4EA-3953-410D-B93C-AAFCB9050FB1}">
      <dgm:prSet phldrT="[Text]" custT="1"/>
      <dgm:spPr/>
      <dgm:t>
        <a:bodyPr/>
        <a:lstStyle/>
        <a:p>
          <a:r>
            <a:rPr lang="en-GB" sz="1100"/>
            <a:t>£10,000 chargeable gain (offshore bond)</a:t>
          </a:r>
        </a:p>
      </dgm:t>
    </dgm:pt>
    <dgm:pt modelId="{ADFEA1A3-A8A9-4129-A9DA-FCEF6364E1FF}" type="parTrans" cxnId="{229C45B7-131B-4138-A730-153AA0B8492C}">
      <dgm:prSet/>
      <dgm:spPr/>
      <dgm:t>
        <a:bodyPr/>
        <a:lstStyle/>
        <a:p>
          <a:endParaRPr lang="en-GB" sz="1100"/>
        </a:p>
      </dgm:t>
    </dgm:pt>
    <dgm:pt modelId="{F66E2260-ED2B-49DE-88ED-15FA68CB004C}" type="sibTrans" cxnId="{229C45B7-131B-4138-A730-153AA0B8492C}">
      <dgm:prSet/>
      <dgm:spPr/>
      <dgm:t>
        <a:bodyPr/>
        <a:lstStyle/>
        <a:p>
          <a:endParaRPr lang="en-GB" sz="1100"/>
        </a:p>
      </dgm:t>
    </dgm:pt>
    <dgm:pt modelId="{B635FC92-D11C-440C-8D9F-31A9FF0E13EF}">
      <dgm:prSet phldrT="[Text]" custT="1"/>
      <dgm:spPr>
        <a:solidFill>
          <a:srgbClr val="FF0000">
            <a:alpha val="90000"/>
          </a:srgbClr>
        </a:solidFill>
      </dgm:spPr>
      <dgm:t>
        <a:bodyPr/>
        <a:lstStyle/>
        <a:p>
          <a:r>
            <a:rPr lang="en-GB" sz="1100"/>
            <a:t>(Less personal Income Tax at 45% (£4,500)) = £5,500</a:t>
          </a:r>
        </a:p>
      </dgm:t>
    </dgm:pt>
    <dgm:pt modelId="{976C527B-1E89-4530-A044-E1B1AC1DA02F}" type="parTrans" cxnId="{3C60A6B2-B0B4-464E-8AEF-971FCADE17C5}">
      <dgm:prSet/>
      <dgm:spPr/>
      <dgm:t>
        <a:bodyPr/>
        <a:lstStyle/>
        <a:p>
          <a:endParaRPr lang="en-GB" sz="1100"/>
        </a:p>
      </dgm:t>
    </dgm:pt>
    <dgm:pt modelId="{39906A55-ECB6-4846-877B-BB780554D2C0}" type="sibTrans" cxnId="{3C60A6B2-B0B4-464E-8AEF-971FCADE17C5}">
      <dgm:prSet/>
      <dgm:spPr/>
      <dgm:t>
        <a:bodyPr/>
        <a:lstStyle/>
        <a:p>
          <a:endParaRPr lang="en-GB" sz="1100"/>
        </a:p>
      </dgm:t>
    </dgm:pt>
    <dgm:pt modelId="{68DA9564-C1D0-49A2-8AB0-7580E111E192}">
      <dgm:prSet custT="1"/>
      <dgm:spPr>
        <a:solidFill>
          <a:srgbClr val="00B050">
            <a:alpha val="90000"/>
          </a:srgbClr>
        </a:solidFill>
      </dgm:spPr>
      <dgm:t>
        <a:bodyPr/>
        <a:lstStyle/>
        <a:p>
          <a:r>
            <a:rPr lang="en-GB" sz="1100"/>
            <a:t>Add back the onshore tax credit of 20% of £1,600 = £6,000</a:t>
          </a:r>
        </a:p>
      </dgm:t>
    </dgm:pt>
    <dgm:pt modelId="{9B77E0C1-E967-493F-BE8B-52A8C3044092}" type="parTrans" cxnId="{17D82A2C-C590-4622-AA4D-5FB4A4DA0C57}">
      <dgm:prSet/>
      <dgm:spPr/>
      <dgm:t>
        <a:bodyPr/>
        <a:lstStyle/>
        <a:p>
          <a:endParaRPr lang="en-GB"/>
        </a:p>
      </dgm:t>
    </dgm:pt>
    <dgm:pt modelId="{85772C5F-6186-4EE7-90B2-7400D72879B8}" type="sibTrans" cxnId="{17D82A2C-C590-4622-AA4D-5FB4A4DA0C57}">
      <dgm:prSet/>
      <dgm:spPr/>
      <dgm:t>
        <a:bodyPr/>
        <a:lstStyle/>
        <a:p>
          <a:endParaRPr lang="en-GB"/>
        </a:p>
      </dgm:t>
    </dgm:pt>
    <dgm:pt modelId="{DE492876-8A6B-4135-83E2-D879600306EA}" type="pres">
      <dgm:prSet presAssocID="{E7544D87-9352-4201-9F29-735998AB6B03}" presName="Name0" presStyleCnt="0">
        <dgm:presLayoutVars>
          <dgm:dir/>
          <dgm:animLvl val="lvl"/>
          <dgm:resizeHandles val="exact"/>
        </dgm:presLayoutVars>
      </dgm:prSet>
      <dgm:spPr/>
    </dgm:pt>
    <dgm:pt modelId="{83D0EEA0-4E0E-4F2C-86D0-4872778AC753}" type="pres">
      <dgm:prSet presAssocID="{C6E2C4F0-ADD2-4449-9514-F0563D57C161}" presName="vertFlow" presStyleCnt="0"/>
      <dgm:spPr/>
    </dgm:pt>
    <dgm:pt modelId="{646BFD88-8DFD-4059-A4E4-8F944CC42C4B}" type="pres">
      <dgm:prSet presAssocID="{C6E2C4F0-ADD2-4449-9514-F0563D57C161}" presName="header" presStyleLbl="node1" presStyleIdx="0" presStyleCnt="2"/>
      <dgm:spPr/>
    </dgm:pt>
    <dgm:pt modelId="{084D405F-B7C8-47DC-B324-37D6B09ECA47}" type="pres">
      <dgm:prSet presAssocID="{D7CD6FF2-BF46-4E29-80BF-98BDF6083CC4}" presName="parTrans" presStyleLbl="sibTrans2D1" presStyleIdx="0" presStyleCnt="4"/>
      <dgm:spPr/>
    </dgm:pt>
    <dgm:pt modelId="{357B7650-E339-4647-9285-A7CD8853E35F}" type="pres">
      <dgm:prSet presAssocID="{8B767EFA-1CE4-4237-A853-9FC24D0A6FF7}" presName="child" presStyleLbl="alignAccFollowNode1" presStyleIdx="0" presStyleCnt="4">
        <dgm:presLayoutVars>
          <dgm:chMax val="0"/>
          <dgm:bulletEnabled val="1"/>
        </dgm:presLayoutVars>
      </dgm:prSet>
      <dgm:spPr/>
    </dgm:pt>
    <dgm:pt modelId="{01E3C7E3-E20C-493A-AA48-4A394F5077F0}" type="pres">
      <dgm:prSet presAssocID="{344AE28B-AF13-4E0E-9FFD-FF7C8FD73878}" presName="sibTrans" presStyleLbl="sibTrans2D1" presStyleIdx="1" presStyleCnt="4"/>
      <dgm:spPr/>
    </dgm:pt>
    <dgm:pt modelId="{A8C2EDBF-E800-445F-9DBE-98897B99DC4E}" type="pres">
      <dgm:prSet presAssocID="{F41C07C9-500A-4E7A-9C71-770822113C59}" presName="child" presStyleLbl="alignAccFollowNode1" presStyleIdx="1" presStyleCnt="4">
        <dgm:presLayoutVars>
          <dgm:chMax val="0"/>
          <dgm:bulletEnabled val="1"/>
        </dgm:presLayoutVars>
      </dgm:prSet>
      <dgm:spPr/>
    </dgm:pt>
    <dgm:pt modelId="{DEB71963-E5D1-4B3F-BAE7-017C1B4BB88B}" type="pres">
      <dgm:prSet presAssocID="{5770CE14-0437-44A5-B370-1224B77ABE6B}" presName="sibTrans" presStyleLbl="sibTrans2D1" presStyleIdx="2" presStyleCnt="4"/>
      <dgm:spPr/>
    </dgm:pt>
    <dgm:pt modelId="{A6600176-EB52-4F59-B532-59EE5943C3F7}" type="pres">
      <dgm:prSet presAssocID="{68DA9564-C1D0-49A2-8AB0-7580E111E192}" presName="child" presStyleLbl="alignAccFollowNode1" presStyleIdx="2" presStyleCnt="4">
        <dgm:presLayoutVars>
          <dgm:chMax val="0"/>
          <dgm:bulletEnabled val="1"/>
        </dgm:presLayoutVars>
      </dgm:prSet>
      <dgm:spPr/>
    </dgm:pt>
    <dgm:pt modelId="{7D4D50F1-476B-4775-A9B4-303FEC43D3C6}" type="pres">
      <dgm:prSet presAssocID="{C6E2C4F0-ADD2-4449-9514-F0563D57C161}" presName="hSp" presStyleCnt="0"/>
      <dgm:spPr/>
    </dgm:pt>
    <dgm:pt modelId="{62ADC378-5A01-430B-8F06-82DCE55E4313}" type="pres">
      <dgm:prSet presAssocID="{7CA6E4EA-3953-410D-B93C-AAFCB9050FB1}" presName="vertFlow" presStyleCnt="0"/>
      <dgm:spPr/>
    </dgm:pt>
    <dgm:pt modelId="{1942BAE2-34C2-42AC-93E6-3675D90425FC}" type="pres">
      <dgm:prSet presAssocID="{7CA6E4EA-3953-410D-B93C-AAFCB9050FB1}" presName="header" presStyleLbl="node1" presStyleIdx="1" presStyleCnt="2"/>
      <dgm:spPr/>
    </dgm:pt>
    <dgm:pt modelId="{17150945-F2A5-4372-870F-A9088F326E8C}" type="pres">
      <dgm:prSet presAssocID="{976C527B-1E89-4530-A044-E1B1AC1DA02F}" presName="parTrans" presStyleLbl="sibTrans2D1" presStyleIdx="3" presStyleCnt="4"/>
      <dgm:spPr/>
    </dgm:pt>
    <dgm:pt modelId="{EBBFF18C-DF64-4B84-BEAF-FC1F4685F1AE}" type="pres">
      <dgm:prSet presAssocID="{B635FC92-D11C-440C-8D9F-31A9FF0E13EF}" presName="child" presStyleLbl="alignAccFollowNode1" presStyleIdx="3" presStyleCnt="4">
        <dgm:presLayoutVars>
          <dgm:chMax val="0"/>
          <dgm:bulletEnabled val="1"/>
        </dgm:presLayoutVars>
      </dgm:prSet>
      <dgm:spPr/>
    </dgm:pt>
  </dgm:ptLst>
  <dgm:cxnLst>
    <dgm:cxn modelId="{495CEA1C-96AC-4B68-A333-5C8F0E123DB1}" type="presOf" srcId="{976C527B-1E89-4530-A044-E1B1AC1DA02F}" destId="{17150945-F2A5-4372-870F-A9088F326E8C}" srcOrd="0" destOrd="0" presId="urn:microsoft.com/office/officeart/2005/8/layout/lProcess1"/>
    <dgm:cxn modelId="{17D82A2C-C590-4622-AA4D-5FB4A4DA0C57}" srcId="{C6E2C4F0-ADD2-4449-9514-F0563D57C161}" destId="{68DA9564-C1D0-49A2-8AB0-7580E111E192}" srcOrd="2" destOrd="0" parTransId="{9B77E0C1-E967-493F-BE8B-52A8C3044092}" sibTransId="{85772C5F-6186-4EE7-90B2-7400D72879B8}"/>
    <dgm:cxn modelId="{9E519E6A-E6D3-4367-9D49-4A6169B7E2EF}" srcId="{E7544D87-9352-4201-9F29-735998AB6B03}" destId="{C6E2C4F0-ADD2-4449-9514-F0563D57C161}" srcOrd="0" destOrd="0" parTransId="{2F316C7F-EA99-411F-A08D-F70C8C52E534}" sibTransId="{951F28A6-158D-47ED-A2F6-24D1C5C5843F}"/>
    <dgm:cxn modelId="{DDE3C254-5C23-4CDA-B838-7DD8712AB877}" type="presOf" srcId="{8B767EFA-1CE4-4237-A853-9FC24D0A6FF7}" destId="{357B7650-E339-4647-9285-A7CD8853E35F}" srcOrd="0" destOrd="0" presId="urn:microsoft.com/office/officeart/2005/8/layout/lProcess1"/>
    <dgm:cxn modelId="{CC030A7B-798C-4137-9A5F-9160567B31D6}" type="presOf" srcId="{68DA9564-C1D0-49A2-8AB0-7580E111E192}" destId="{A6600176-EB52-4F59-B532-59EE5943C3F7}" srcOrd="0" destOrd="0" presId="urn:microsoft.com/office/officeart/2005/8/layout/lProcess1"/>
    <dgm:cxn modelId="{59E45B7F-F0B7-4C67-BED0-FD97DF143720}" type="presOf" srcId="{F41C07C9-500A-4E7A-9C71-770822113C59}" destId="{A8C2EDBF-E800-445F-9DBE-98897B99DC4E}" srcOrd="0" destOrd="0" presId="urn:microsoft.com/office/officeart/2005/8/layout/lProcess1"/>
    <dgm:cxn modelId="{99524C80-53A9-4867-89B9-50AFD5CD5651}" type="presOf" srcId="{B635FC92-D11C-440C-8D9F-31A9FF0E13EF}" destId="{EBBFF18C-DF64-4B84-BEAF-FC1F4685F1AE}" srcOrd="0" destOrd="0" presId="urn:microsoft.com/office/officeart/2005/8/layout/lProcess1"/>
    <dgm:cxn modelId="{297C3381-992B-4DA3-B3BB-3FE5A07BABD0}" type="presOf" srcId="{344AE28B-AF13-4E0E-9FFD-FF7C8FD73878}" destId="{01E3C7E3-E20C-493A-AA48-4A394F5077F0}" srcOrd="0" destOrd="0" presId="urn:microsoft.com/office/officeart/2005/8/layout/lProcess1"/>
    <dgm:cxn modelId="{48F1DE81-47A3-465E-BA74-C1C5E2D0FE82}" type="presOf" srcId="{5770CE14-0437-44A5-B370-1224B77ABE6B}" destId="{DEB71963-E5D1-4B3F-BAE7-017C1B4BB88B}" srcOrd="0" destOrd="0" presId="urn:microsoft.com/office/officeart/2005/8/layout/lProcess1"/>
    <dgm:cxn modelId="{D427EE87-B048-4E0E-9E31-05ED4D3CDAB8}" srcId="{C6E2C4F0-ADD2-4449-9514-F0563D57C161}" destId="{8B767EFA-1CE4-4237-A853-9FC24D0A6FF7}" srcOrd="0" destOrd="0" parTransId="{D7CD6FF2-BF46-4E29-80BF-98BDF6083CC4}" sibTransId="{344AE28B-AF13-4E0E-9FFD-FF7C8FD73878}"/>
    <dgm:cxn modelId="{51BCF98D-8DE9-402F-928D-2E0E0B68A038}" type="presOf" srcId="{C6E2C4F0-ADD2-4449-9514-F0563D57C161}" destId="{646BFD88-8DFD-4059-A4E4-8F944CC42C4B}" srcOrd="0" destOrd="0" presId="urn:microsoft.com/office/officeart/2005/8/layout/lProcess1"/>
    <dgm:cxn modelId="{3CE01A98-6935-455E-855A-D6DCFFB1AF5D}" type="presOf" srcId="{D7CD6FF2-BF46-4E29-80BF-98BDF6083CC4}" destId="{084D405F-B7C8-47DC-B324-37D6B09ECA47}" srcOrd="0" destOrd="0" presId="urn:microsoft.com/office/officeart/2005/8/layout/lProcess1"/>
    <dgm:cxn modelId="{3C60A6B2-B0B4-464E-8AEF-971FCADE17C5}" srcId="{7CA6E4EA-3953-410D-B93C-AAFCB9050FB1}" destId="{B635FC92-D11C-440C-8D9F-31A9FF0E13EF}" srcOrd="0" destOrd="0" parTransId="{976C527B-1E89-4530-A044-E1B1AC1DA02F}" sibTransId="{39906A55-ECB6-4846-877B-BB780554D2C0}"/>
    <dgm:cxn modelId="{229C45B7-131B-4138-A730-153AA0B8492C}" srcId="{E7544D87-9352-4201-9F29-735998AB6B03}" destId="{7CA6E4EA-3953-410D-B93C-AAFCB9050FB1}" srcOrd="1" destOrd="0" parTransId="{ADFEA1A3-A8A9-4129-A9DA-FCEF6364E1FF}" sibTransId="{F66E2260-ED2B-49DE-88ED-15FA68CB004C}"/>
    <dgm:cxn modelId="{8D6779BB-CD30-4CFF-BCAE-29498297C33F}" srcId="{C6E2C4F0-ADD2-4449-9514-F0563D57C161}" destId="{F41C07C9-500A-4E7A-9C71-770822113C59}" srcOrd="1" destOrd="0" parTransId="{EC490073-1862-4319-9E3A-01516C8F123B}" sibTransId="{5770CE14-0437-44A5-B370-1224B77ABE6B}"/>
    <dgm:cxn modelId="{6E60D6E8-2582-452B-A96E-77B6B99B0D93}" type="presOf" srcId="{7CA6E4EA-3953-410D-B93C-AAFCB9050FB1}" destId="{1942BAE2-34C2-42AC-93E6-3675D90425FC}" srcOrd="0" destOrd="0" presId="urn:microsoft.com/office/officeart/2005/8/layout/lProcess1"/>
    <dgm:cxn modelId="{6EA8EBEC-CB41-4D15-AB3B-0946216AAC62}" type="presOf" srcId="{E7544D87-9352-4201-9F29-735998AB6B03}" destId="{DE492876-8A6B-4135-83E2-D879600306EA}" srcOrd="0" destOrd="0" presId="urn:microsoft.com/office/officeart/2005/8/layout/lProcess1"/>
    <dgm:cxn modelId="{59CE8206-39C5-4296-A6FB-46F69FFDFB58}" type="presParOf" srcId="{DE492876-8A6B-4135-83E2-D879600306EA}" destId="{83D0EEA0-4E0E-4F2C-86D0-4872778AC753}" srcOrd="0" destOrd="0" presId="urn:microsoft.com/office/officeart/2005/8/layout/lProcess1"/>
    <dgm:cxn modelId="{A404F463-585D-4436-85C9-337626FD9FD6}" type="presParOf" srcId="{83D0EEA0-4E0E-4F2C-86D0-4872778AC753}" destId="{646BFD88-8DFD-4059-A4E4-8F944CC42C4B}" srcOrd="0" destOrd="0" presId="urn:microsoft.com/office/officeart/2005/8/layout/lProcess1"/>
    <dgm:cxn modelId="{025F09ED-898D-497E-B8F8-6B4395EA62F9}" type="presParOf" srcId="{83D0EEA0-4E0E-4F2C-86D0-4872778AC753}" destId="{084D405F-B7C8-47DC-B324-37D6B09ECA47}" srcOrd="1" destOrd="0" presId="urn:microsoft.com/office/officeart/2005/8/layout/lProcess1"/>
    <dgm:cxn modelId="{FEBAD97C-7CA1-4223-96C2-9D881ABC9FE7}" type="presParOf" srcId="{83D0EEA0-4E0E-4F2C-86D0-4872778AC753}" destId="{357B7650-E339-4647-9285-A7CD8853E35F}" srcOrd="2" destOrd="0" presId="urn:microsoft.com/office/officeart/2005/8/layout/lProcess1"/>
    <dgm:cxn modelId="{F0285CA7-5C71-4271-8B1B-6799F8E31064}" type="presParOf" srcId="{83D0EEA0-4E0E-4F2C-86D0-4872778AC753}" destId="{01E3C7E3-E20C-493A-AA48-4A394F5077F0}" srcOrd="3" destOrd="0" presId="urn:microsoft.com/office/officeart/2005/8/layout/lProcess1"/>
    <dgm:cxn modelId="{E797D976-ACE5-4AE5-B7D9-A6EF0AD9D893}" type="presParOf" srcId="{83D0EEA0-4E0E-4F2C-86D0-4872778AC753}" destId="{A8C2EDBF-E800-445F-9DBE-98897B99DC4E}" srcOrd="4" destOrd="0" presId="urn:microsoft.com/office/officeart/2005/8/layout/lProcess1"/>
    <dgm:cxn modelId="{4C591D1A-FA10-42F6-B93F-88692276B02B}" type="presParOf" srcId="{83D0EEA0-4E0E-4F2C-86D0-4872778AC753}" destId="{DEB71963-E5D1-4B3F-BAE7-017C1B4BB88B}" srcOrd="5" destOrd="0" presId="urn:microsoft.com/office/officeart/2005/8/layout/lProcess1"/>
    <dgm:cxn modelId="{D9CCF00D-99F5-4B71-BCA7-4337552BE7D0}" type="presParOf" srcId="{83D0EEA0-4E0E-4F2C-86D0-4872778AC753}" destId="{A6600176-EB52-4F59-B532-59EE5943C3F7}" srcOrd="6" destOrd="0" presId="urn:microsoft.com/office/officeart/2005/8/layout/lProcess1"/>
    <dgm:cxn modelId="{817CA0E1-096C-4022-9E81-36D4A804C178}" type="presParOf" srcId="{DE492876-8A6B-4135-83E2-D879600306EA}" destId="{7D4D50F1-476B-4775-A9B4-303FEC43D3C6}" srcOrd="1" destOrd="0" presId="urn:microsoft.com/office/officeart/2005/8/layout/lProcess1"/>
    <dgm:cxn modelId="{6918F19A-94FD-4A38-82E8-BD9510B44188}" type="presParOf" srcId="{DE492876-8A6B-4135-83E2-D879600306EA}" destId="{62ADC378-5A01-430B-8F06-82DCE55E4313}" srcOrd="2" destOrd="0" presId="urn:microsoft.com/office/officeart/2005/8/layout/lProcess1"/>
    <dgm:cxn modelId="{73AEA167-B1B1-4ACE-92F1-98EF7E163960}" type="presParOf" srcId="{62ADC378-5A01-430B-8F06-82DCE55E4313}" destId="{1942BAE2-34C2-42AC-93E6-3675D90425FC}" srcOrd="0" destOrd="0" presId="urn:microsoft.com/office/officeart/2005/8/layout/lProcess1"/>
    <dgm:cxn modelId="{D34137D4-BB21-48FC-955E-B567CD0EBF69}" type="presParOf" srcId="{62ADC378-5A01-430B-8F06-82DCE55E4313}" destId="{17150945-F2A5-4372-870F-A9088F326E8C}" srcOrd="1" destOrd="0" presId="urn:microsoft.com/office/officeart/2005/8/layout/lProcess1"/>
    <dgm:cxn modelId="{857C7AA9-A120-47C6-830D-AA20D7E09A71}" type="presParOf" srcId="{62ADC378-5A01-430B-8F06-82DCE55E4313}" destId="{EBBFF18C-DF64-4B84-BEAF-FC1F4685F1AE}" srcOrd="2" destOrd="0" presId="urn:microsoft.com/office/officeart/2005/8/layout/l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BFD88-8DFD-4059-A4E4-8F944CC42C4B}">
      <dsp:nvSpPr>
        <dsp:cNvPr id="0" name=""/>
        <dsp:cNvSpPr/>
      </dsp:nvSpPr>
      <dsp:spPr>
        <a:xfrm>
          <a:off x="2567" y="45592"/>
          <a:ext cx="2561338" cy="6403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gain (UK bond)</a:t>
          </a:r>
        </a:p>
      </dsp:txBody>
      <dsp:txXfrm>
        <a:off x="21322" y="64347"/>
        <a:ext cx="2523828" cy="602824"/>
      </dsp:txXfrm>
    </dsp:sp>
    <dsp:sp modelId="{084D405F-B7C8-47DC-B324-37D6B09ECA47}">
      <dsp:nvSpPr>
        <dsp:cNvPr id="0" name=""/>
        <dsp:cNvSpPr/>
      </dsp:nvSpPr>
      <dsp:spPr>
        <a:xfrm rot="5400000">
          <a:off x="1227207" y="741956"/>
          <a:ext cx="112058" cy="112058"/>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7B7650-E339-4647-9285-A7CD8853E35F}">
      <dsp:nvSpPr>
        <dsp:cNvPr id="0" name=""/>
        <dsp:cNvSpPr/>
      </dsp:nvSpPr>
      <dsp:spPr>
        <a:xfrm>
          <a:off x="2567" y="910044"/>
          <a:ext cx="2561338" cy="640334"/>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20% tax deemed paid within the life fund) = £8,000 chargeable gain</a:t>
          </a:r>
        </a:p>
      </dsp:txBody>
      <dsp:txXfrm>
        <a:off x="21322" y="928799"/>
        <a:ext cx="2523828" cy="602824"/>
      </dsp:txXfrm>
    </dsp:sp>
    <dsp:sp modelId="{01E3C7E3-E20C-493A-AA48-4A394F5077F0}">
      <dsp:nvSpPr>
        <dsp:cNvPr id="0" name=""/>
        <dsp:cNvSpPr/>
      </dsp:nvSpPr>
      <dsp:spPr>
        <a:xfrm rot="5400000">
          <a:off x="1227207" y="1606408"/>
          <a:ext cx="112058" cy="112058"/>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C2EDBF-E800-445F-9DBE-98897B99DC4E}">
      <dsp:nvSpPr>
        <dsp:cNvPr id="0" name=""/>
        <dsp:cNvSpPr/>
      </dsp:nvSpPr>
      <dsp:spPr>
        <a:xfrm>
          <a:off x="2567" y="1774495"/>
          <a:ext cx="2561338" cy="640334"/>
        </a:xfrm>
        <a:prstGeom prst="roundRect">
          <a:avLst>
            <a:gd name="adj" fmla="val 10000"/>
          </a:avLst>
        </a:prstGeom>
        <a:solidFill>
          <a:srgbClr val="FF000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0% of £8,000 (£0)) = £8,000. </a:t>
          </a:r>
          <a:r>
            <a:rPr lang="en-GB" sz="1100" b="1" kern="1200"/>
            <a:t>Non-taxpayers cannot reclaim the 20% tax paid within the life fund</a:t>
          </a:r>
        </a:p>
      </dsp:txBody>
      <dsp:txXfrm>
        <a:off x="21322" y="1793250"/>
        <a:ext cx="2523828" cy="602824"/>
      </dsp:txXfrm>
    </dsp:sp>
    <dsp:sp modelId="{1942BAE2-34C2-42AC-93E6-3675D90425FC}">
      <dsp:nvSpPr>
        <dsp:cNvPr id="0" name=""/>
        <dsp:cNvSpPr/>
      </dsp:nvSpPr>
      <dsp:spPr>
        <a:xfrm>
          <a:off x="2922493" y="45592"/>
          <a:ext cx="2561338" cy="6403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chargeable gain (offshore bond)</a:t>
          </a:r>
        </a:p>
      </dsp:txBody>
      <dsp:txXfrm>
        <a:off x="2941248" y="64347"/>
        <a:ext cx="2523828" cy="602824"/>
      </dsp:txXfrm>
    </dsp:sp>
    <dsp:sp modelId="{17150945-F2A5-4372-870F-A9088F326E8C}">
      <dsp:nvSpPr>
        <dsp:cNvPr id="0" name=""/>
        <dsp:cNvSpPr/>
      </dsp:nvSpPr>
      <dsp:spPr>
        <a:xfrm rot="5400000">
          <a:off x="4147133" y="741956"/>
          <a:ext cx="112058" cy="112058"/>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BFF18C-DF64-4B84-BEAF-FC1F4685F1AE}">
      <dsp:nvSpPr>
        <dsp:cNvPr id="0" name=""/>
        <dsp:cNvSpPr/>
      </dsp:nvSpPr>
      <dsp:spPr>
        <a:xfrm>
          <a:off x="2922493" y="910044"/>
          <a:ext cx="2561338" cy="640334"/>
        </a:xfrm>
        <a:prstGeom prst="roundRect">
          <a:avLst>
            <a:gd name="adj" fmla="val 10000"/>
          </a:avLst>
        </a:prstGeom>
        <a:solidFill>
          <a:srgbClr val="00B05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0% (£0)) = £10,000</a:t>
          </a:r>
        </a:p>
      </dsp:txBody>
      <dsp:txXfrm>
        <a:off x="2941248" y="928799"/>
        <a:ext cx="2523828" cy="602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BFD88-8DFD-4059-A4E4-8F944CC42C4B}">
      <dsp:nvSpPr>
        <dsp:cNvPr id="0" name=""/>
        <dsp:cNvSpPr/>
      </dsp:nvSpPr>
      <dsp:spPr>
        <a:xfrm>
          <a:off x="31079"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gain (UK bond)</a:t>
          </a:r>
        </a:p>
      </dsp:txBody>
      <dsp:txXfrm>
        <a:off x="49639" y="18735"/>
        <a:ext cx="2497571" cy="596552"/>
      </dsp:txXfrm>
    </dsp:sp>
    <dsp:sp modelId="{084D405F-B7C8-47DC-B324-37D6B09ECA47}">
      <dsp:nvSpPr>
        <dsp:cNvPr id="0" name=""/>
        <dsp:cNvSpPr/>
      </dsp:nvSpPr>
      <dsp:spPr>
        <a:xfrm rot="5400000">
          <a:off x="1242979"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7B7650-E339-4647-9285-A7CD8853E35F}">
      <dsp:nvSpPr>
        <dsp:cNvPr id="0" name=""/>
        <dsp:cNvSpPr/>
      </dsp:nvSpPr>
      <dsp:spPr>
        <a:xfrm>
          <a:off x="31079" y="855634"/>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20% tax deemed paid within the life fund) = £8,000 chargeable gain</a:t>
          </a:r>
        </a:p>
      </dsp:txBody>
      <dsp:txXfrm>
        <a:off x="49639" y="874194"/>
        <a:ext cx="2497571" cy="596552"/>
      </dsp:txXfrm>
    </dsp:sp>
    <dsp:sp modelId="{01E3C7E3-E20C-493A-AA48-4A394F5077F0}">
      <dsp:nvSpPr>
        <dsp:cNvPr id="0" name=""/>
        <dsp:cNvSpPr/>
      </dsp:nvSpPr>
      <dsp:spPr>
        <a:xfrm rot="5400000">
          <a:off x="1242979" y="1544753"/>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C2EDBF-E800-445F-9DBE-98897B99DC4E}">
      <dsp:nvSpPr>
        <dsp:cNvPr id="0" name=""/>
        <dsp:cNvSpPr/>
      </dsp:nvSpPr>
      <dsp:spPr>
        <a:xfrm>
          <a:off x="31079" y="1711092"/>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20% of £8,000 (£1,600)) = £6,400</a:t>
          </a:r>
        </a:p>
      </dsp:txBody>
      <dsp:txXfrm>
        <a:off x="49639" y="1729652"/>
        <a:ext cx="2497571" cy="596552"/>
      </dsp:txXfrm>
    </dsp:sp>
    <dsp:sp modelId="{DEB71963-E5D1-4B3F-BAE7-017C1B4BB88B}">
      <dsp:nvSpPr>
        <dsp:cNvPr id="0" name=""/>
        <dsp:cNvSpPr/>
      </dsp:nvSpPr>
      <dsp:spPr>
        <a:xfrm rot="5400000">
          <a:off x="1242979" y="2400212"/>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600176-EB52-4F59-B532-59EE5943C3F7}">
      <dsp:nvSpPr>
        <dsp:cNvPr id="0" name=""/>
        <dsp:cNvSpPr/>
      </dsp:nvSpPr>
      <dsp:spPr>
        <a:xfrm>
          <a:off x="31079" y="2566551"/>
          <a:ext cx="2534691" cy="633672"/>
        </a:xfrm>
        <a:prstGeom prst="roundRect">
          <a:avLst>
            <a:gd name="adj" fmla="val 10000"/>
          </a:avLst>
        </a:prstGeom>
        <a:solidFill>
          <a:srgbClr val="FFFF0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Add back the onshore tax credit of 20% of £1,600 = £8,000</a:t>
          </a:r>
        </a:p>
      </dsp:txBody>
      <dsp:txXfrm>
        <a:off x="49639" y="2585111"/>
        <a:ext cx="2497571" cy="596552"/>
      </dsp:txXfrm>
    </dsp:sp>
    <dsp:sp modelId="{1942BAE2-34C2-42AC-93E6-3675D90425FC}">
      <dsp:nvSpPr>
        <dsp:cNvPr id="0" name=""/>
        <dsp:cNvSpPr/>
      </dsp:nvSpPr>
      <dsp:spPr>
        <a:xfrm>
          <a:off x="2920628"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chargeable gain (offshore bond)</a:t>
          </a:r>
        </a:p>
      </dsp:txBody>
      <dsp:txXfrm>
        <a:off x="2939188" y="18735"/>
        <a:ext cx="2497571" cy="596552"/>
      </dsp:txXfrm>
    </dsp:sp>
    <dsp:sp modelId="{17150945-F2A5-4372-870F-A9088F326E8C}">
      <dsp:nvSpPr>
        <dsp:cNvPr id="0" name=""/>
        <dsp:cNvSpPr/>
      </dsp:nvSpPr>
      <dsp:spPr>
        <a:xfrm rot="5400000">
          <a:off x="4132527"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BFF18C-DF64-4B84-BEAF-FC1F4685F1AE}">
      <dsp:nvSpPr>
        <dsp:cNvPr id="0" name=""/>
        <dsp:cNvSpPr/>
      </dsp:nvSpPr>
      <dsp:spPr>
        <a:xfrm>
          <a:off x="2920628" y="855634"/>
          <a:ext cx="2534691" cy="633672"/>
        </a:xfrm>
        <a:prstGeom prst="roundRect">
          <a:avLst>
            <a:gd name="adj" fmla="val 10000"/>
          </a:avLst>
        </a:prstGeom>
        <a:solidFill>
          <a:srgbClr val="FFFF0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20% (£2,000)) = £8,000</a:t>
          </a:r>
        </a:p>
      </dsp:txBody>
      <dsp:txXfrm>
        <a:off x="2939188" y="874194"/>
        <a:ext cx="2497571" cy="5965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BFD88-8DFD-4059-A4E4-8F944CC42C4B}">
      <dsp:nvSpPr>
        <dsp:cNvPr id="0" name=""/>
        <dsp:cNvSpPr/>
      </dsp:nvSpPr>
      <dsp:spPr>
        <a:xfrm>
          <a:off x="31079"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gain (UK bond)</a:t>
          </a:r>
        </a:p>
      </dsp:txBody>
      <dsp:txXfrm>
        <a:off x="49639" y="18735"/>
        <a:ext cx="2497571" cy="596552"/>
      </dsp:txXfrm>
    </dsp:sp>
    <dsp:sp modelId="{084D405F-B7C8-47DC-B324-37D6B09ECA47}">
      <dsp:nvSpPr>
        <dsp:cNvPr id="0" name=""/>
        <dsp:cNvSpPr/>
      </dsp:nvSpPr>
      <dsp:spPr>
        <a:xfrm rot="5400000">
          <a:off x="1242979"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7B7650-E339-4647-9285-A7CD8853E35F}">
      <dsp:nvSpPr>
        <dsp:cNvPr id="0" name=""/>
        <dsp:cNvSpPr/>
      </dsp:nvSpPr>
      <dsp:spPr>
        <a:xfrm>
          <a:off x="31079" y="855634"/>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20% tax deemed paid within the life fund) = £8,000 chargeable gain</a:t>
          </a:r>
        </a:p>
      </dsp:txBody>
      <dsp:txXfrm>
        <a:off x="49639" y="874194"/>
        <a:ext cx="2497571" cy="596552"/>
      </dsp:txXfrm>
    </dsp:sp>
    <dsp:sp modelId="{01E3C7E3-E20C-493A-AA48-4A394F5077F0}">
      <dsp:nvSpPr>
        <dsp:cNvPr id="0" name=""/>
        <dsp:cNvSpPr/>
      </dsp:nvSpPr>
      <dsp:spPr>
        <a:xfrm rot="5400000">
          <a:off x="1242979" y="1544753"/>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C2EDBF-E800-445F-9DBE-98897B99DC4E}">
      <dsp:nvSpPr>
        <dsp:cNvPr id="0" name=""/>
        <dsp:cNvSpPr/>
      </dsp:nvSpPr>
      <dsp:spPr>
        <a:xfrm>
          <a:off x="31079" y="1711092"/>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40% of £8,000 (£3,200)) = £4,800</a:t>
          </a:r>
        </a:p>
      </dsp:txBody>
      <dsp:txXfrm>
        <a:off x="49639" y="1729652"/>
        <a:ext cx="2497571" cy="596552"/>
      </dsp:txXfrm>
    </dsp:sp>
    <dsp:sp modelId="{DEB71963-E5D1-4B3F-BAE7-017C1B4BB88B}">
      <dsp:nvSpPr>
        <dsp:cNvPr id="0" name=""/>
        <dsp:cNvSpPr/>
      </dsp:nvSpPr>
      <dsp:spPr>
        <a:xfrm rot="5400000">
          <a:off x="1242979" y="2400212"/>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600176-EB52-4F59-B532-59EE5943C3F7}">
      <dsp:nvSpPr>
        <dsp:cNvPr id="0" name=""/>
        <dsp:cNvSpPr/>
      </dsp:nvSpPr>
      <dsp:spPr>
        <a:xfrm>
          <a:off x="31079" y="2566551"/>
          <a:ext cx="2534691" cy="633672"/>
        </a:xfrm>
        <a:prstGeom prst="roundRect">
          <a:avLst>
            <a:gd name="adj" fmla="val 10000"/>
          </a:avLst>
        </a:prstGeom>
        <a:solidFill>
          <a:srgbClr val="00B05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Add back the onshore tax credit of 20% of £1,600 = £6,400</a:t>
          </a:r>
        </a:p>
      </dsp:txBody>
      <dsp:txXfrm>
        <a:off x="49639" y="2585111"/>
        <a:ext cx="2497571" cy="596552"/>
      </dsp:txXfrm>
    </dsp:sp>
    <dsp:sp modelId="{1942BAE2-34C2-42AC-93E6-3675D90425FC}">
      <dsp:nvSpPr>
        <dsp:cNvPr id="0" name=""/>
        <dsp:cNvSpPr/>
      </dsp:nvSpPr>
      <dsp:spPr>
        <a:xfrm>
          <a:off x="2920628"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chargeable gain (offshore bond)</a:t>
          </a:r>
        </a:p>
      </dsp:txBody>
      <dsp:txXfrm>
        <a:off x="2939188" y="18735"/>
        <a:ext cx="2497571" cy="596552"/>
      </dsp:txXfrm>
    </dsp:sp>
    <dsp:sp modelId="{17150945-F2A5-4372-870F-A9088F326E8C}">
      <dsp:nvSpPr>
        <dsp:cNvPr id="0" name=""/>
        <dsp:cNvSpPr/>
      </dsp:nvSpPr>
      <dsp:spPr>
        <a:xfrm rot="5400000">
          <a:off x="4132527"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BFF18C-DF64-4B84-BEAF-FC1F4685F1AE}">
      <dsp:nvSpPr>
        <dsp:cNvPr id="0" name=""/>
        <dsp:cNvSpPr/>
      </dsp:nvSpPr>
      <dsp:spPr>
        <a:xfrm>
          <a:off x="2920628" y="855634"/>
          <a:ext cx="2534691" cy="633672"/>
        </a:xfrm>
        <a:prstGeom prst="roundRect">
          <a:avLst>
            <a:gd name="adj" fmla="val 10000"/>
          </a:avLst>
        </a:prstGeom>
        <a:solidFill>
          <a:srgbClr val="FF000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40% (£4,000)) = £6,000</a:t>
          </a:r>
        </a:p>
      </dsp:txBody>
      <dsp:txXfrm>
        <a:off x="2939188" y="874194"/>
        <a:ext cx="2497571" cy="5965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BFD88-8DFD-4059-A4E4-8F944CC42C4B}">
      <dsp:nvSpPr>
        <dsp:cNvPr id="0" name=""/>
        <dsp:cNvSpPr/>
      </dsp:nvSpPr>
      <dsp:spPr>
        <a:xfrm>
          <a:off x="31079"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gain (UK bond)</a:t>
          </a:r>
        </a:p>
      </dsp:txBody>
      <dsp:txXfrm>
        <a:off x="49639" y="18735"/>
        <a:ext cx="2497571" cy="596552"/>
      </dsp:txXfrm>
    </dsp:sp>
    <dsp:sp modelId="{084D405F-B7C8-47DC-B324-37D6B09ECA47}">
      <dsp:nvSpPr>
        <dsp:cNvPr id="0" name=""/>
        <dsp:cNvSpPr/>
      </dsp:nvSpPr>
      <dsp:spPr>
        <a:xfrm rot="5400000">
          <a:off x="1242979"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7B7650-E339-4647-9285-A7CD8853E35F}">
      <dsp:nvSpPr>
        <dsp:cNvPr id="0" name=""/>
        <dsp:cNvSpPr/>
      </dsp:nvSpPr>
      <dsp:spPr>
        <a:xfrm>
          <a:off x="31079" y="855634"/>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20% tax deemed paid within the life fund) = £8,000 chargeable gain</a:t>
          </a:r>
        </a:p>
      </dsp:txBody>
      <dsp:txXfrm>
        <a:off x="49639" y="874194"/>
        <a:ext cx="2497571" cy="596552"/>
      </dsp:txXfrm>
    </dsp:sp>
    <dsp:sp modelId="{01E3C7E3-E20C-493A-AA48-4A394F5077F0}">
      <dsp:nvSpPr>
        <dsp:cNvPr id="0" name=""/>
        <dsp:cNvSpPr/>
      </dsp:nvSpPr>
      <dsp:spPr>
        <a:xfrm rot="5400000">
          <a:off x="1242979" y="1544753"/>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C2EDBF-E800-445F-9DBE-98897B99DC4E}">
      <dsp:nvSpPr>
        <dsp:cNvPr id="0" name=""/>
        <dsp:cNvSpPr/>
      </dsp:nvSpPr>
      <dsp:spPr>
        <a:xfrm>
          <a:off x="31079" y="1711092"/>
          <a:ext cx="2534691" cy="63367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45% of £8,000 (£3,600)) = £4,400</a:t>
          </a:r>
        </a:p>
      </dsp:txBody>
      <dsp:txXfrm>
        <a:off x="49639" y="1729652"/>
        <a:ext cx="2497571" cy="596552"/>
      </dsp:txXfrm>
    </dsp:sp>
    <dsp:sp modelId="{DEB71963-E5D1-4B3F-BAE7-017C1B4BB88B}">
      <dsp:nvSpPr>
        <dsp:cNvPr id="0" name=""/>
        <dsp:cNvSpPr/>
      </dsp:nvSpPr>
      <dsp:spPr>
        <a:xfrm rot="5400000">
          <a:off x="1242979" y="2400212"/>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600176-EB52-4F59-B532-59EE5943C3F7}">
      <dsp:nvSpPr>
        <dsp:cNvPr id="0" name=""/>
        <dsp:cNvSpPr/>
      </dsp:nvSpPr>
      <dsp:spPr>
        <a:xfrm>
          <a:off x="31079" y="2566551"/>
          <a:ext cx="2534691" cy="633672"/>
        </a:xfrm>
        <a:prstGeom prst="roundRect">
          <a:avLst>
            <a:gd name="adj" fmla="val 10000"/>
          </a:avLst>
        </a:prstGeom>
        <a:solidFill>
          <a:srgbClr val="00B05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Add back the onshore tax credit of 20% of £1,600 = £6,000</a:t>
          </a:r>
        </a:p>
      </dsp:txBody>
      <dsp:txXfrm>
        <a:off x="49639" y="2585111"/>
        <a:ext cx="2497571" cy="596552"/>
      </dsp:txXfrm>
    </dsp:sp>
    <dsp:sp modelId="{1942BAE2-34C2-42AC-93E6-3675D90425FC}">
      <dsp:nvSpPr>
        <dsp:cNvPr id="0" name=""/>
        <dsp:cNvSpPr/>
      </dsp:nvSpPr>
      <dsp:spPr>
        <a:xfrm>
          <a:off x="2920628" y="175"/>
          <a:ext cx="2534691" cy="6336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£10,000 chargeable gain (offshore bond)</a:t>
          </a:r>
        </a:p>
      </dsp:txBody>
      <dsp:txXfrm>
        <a:off x="2939188" y="18735"/>
        <a:ext cx="2497571" cy="596552"/>
      </dsp:txXfrm>
    </dsp:sp>
    <dsp:sp modelId="{17150945-F2A5-4372-870F-A9088F326E8C}">
      <dsp:nvSpPr>
        <dsp:cNvPr id="0" name=""/>
        <dsp:cNvSpPr/>
      </dsp:nvSpPr>
      <dsp:spPr>
        <a:xfrm rot="5400000">
          <a:off x="4132527" y="689295"/>
          <a:ext cx="110892" cy="110892"/>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BFF18C-DF64-4B84-BEAF-FC1F4685F1AE}">
      <dsp:nvSpPr>
        <dsp:cNvPr id="0" name=""/>
        <dsp:cNvSpPr/>
      </dsp:nvSpPr>
      <dsp:spPr>
        <a:xfrm>
          <a:off x="2920628" y="855634"/>
          <a:ext cx="2534691" cy="633672"/>
        </a:xfrm>
        <a:prstGeom prst="roundRect">
          <a:avLst>
            <a:gd name="adj" fmla="val 10000"/>
          </a:avLst>
        </a:prstGeom>
        <a:solidFill>
          <a:srgbClr val="FF0000">
            <a:alpha val="90000"/>
          </a:srgb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(Less personal Income Tax at 45% (£4,500)) = £5,500</a:t>
          </a:r>
        </a:p>
      </dsp:txBody>
      <dsp:txXfrm>
        <a:off x="2939188" y="874194"/>
        <a:ext cx="2497571" cy="59655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5B96-F935-4BE8-95CB-E969BC7E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31</Pages>
  <Words>8538</Words>
  <Characters>48670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Ford</dc:creator>
  <cp:keywords/>
  <dc:description/>
  <cp:lastModifiedBy>Roseum Financial Planning</cp:lastModifiedBy>
  <cp:revision>856</cp:revision>
  <cp:lastPrinted>2023-01-28T12:43:00Z</cp:lastPrinted>
  <dcterms:created xsi:type="dcterms:W3CDTF">2022-11-02T17:28:00Z</dcterms:created>
  <dcterms:modified xsi:type="dcterms:W3CDTF">2025-01-10T17:32:00Z</dcterms:modified>
</cp:coreProperties>
</file>