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sdt>
      <w:sdtPr>
        <w:rPr>
          <w:rFonts w:asciiTheme="minorHAnsi" w:eastAsiaTheme="minorHAnsi" w:hAnsiTheme="minorHAnsi" w:cstheme="minorBidi"/>
          <w:color w:val="auto"/>
          <w:spacing w:val="0"/>
          <w:kern w:val="0"/>
          <w:sz w:val="22"/>
          <w:szCs w:val="22"/>
        </w:rPr>
        <w:id w:val="1350376724"/>
        <w:docPartObj>
          <w:docPartGallery w:val="Cover Pages"/>
          <w:docPartUnique/>
        </w:docPartObj>
      </w:sdtPr>
      <w:sdtEndPr/>
      <w:sdtContent>
        <w:p w14:paraId="75F90E48" w14:textId="17FED2FE" w:rsidR="0042013E" w:rsidRDefault="001E6B45" w:rsidP="005253AF">
          <w:pPr>
            <w:pStyle w:val="Title"/>
            <w:jc w:val="lef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5A0BCC14" wp14:editId="759AE570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-906145</wp:posOffset>
                    </wp:positionV>
                    <wp:extent cx="7810500" cy="10203180"/>
                    <wp:effectExtent l="0" t="0" r="19050" b="26670"/>
                    <wp:wrapNone/>
                    <wp:docPr id="1" name="Rectang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0500" cy="102031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92B9DF9" id="Rectangle 1" o:spid="_x0000_s1026" style="position:absolute;margin-left:0;margin-top:-71.35pt;width:615pt;height:803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" fillcolor="black [3213]" strokecolor="#1f3763 [1604]" strokeweight="1pt">
                    <w10:wrap anchorx="page"/>
                  </v:rect>
                </w:pict>
              </mc:Fallback>
            </mc:AlternateContent>
          </w:r>
        </w:p>
        <w:p w14:paraId="4C483929" w14:textId="0F645C57" w:rsidR="0042013E" w:rsidRPr="00530AB6" w:rsidRDefault="0099293F" w:rsidP="00D07B3E">
          <w:pPr>
            <w:pStyle w:val="Title"/>
          </w:pPr>
          <w:r>
            <w:t xml:space="preserve">Assignment 2 </w:t>
          </w:r>
          <w:r w:rsidR="005253AF">
            <w:t>Learner Reflective Statement</w:t>
          </w:r>
          <w:r>
            <w:t xml:space="preserve"> Template</w:t>
          </w:r>
        </w:p>
        <w:p w14:paraId="09C5B1CA" w14:textId="77777777" w:rsidR="0042013E" w:rsidRDefault="0042013E" w:rsidP="00D07B3E"/>
        <w:p w14:paraId="00424856" w14:textId="549B1C34" w:rsidR="0042013E" w:rsidRPr="00D07B3E" w:rsidRDefault="00EE0EBD" w:rsidP="00D07B3E">
          <w:pPr>
            <w:pStyle w:val="Subtitle"/>
          </w:pPr>
          <w:r>
            <w:t>APRIL 2022</w:t>
          </w:r>
          <w:r w:rsidR="0042013E" w:rsidRPr="00D07B3E">
            <w:t xml:space="preserve"> | </w:t>
          </w:r>
          <w:r>
            <w:t>SCQF LEVEL 9 PRACTICAL INVESTMENT PLANNING</w:t>
          </w:r>
        </w:p>
        <w:p w14:paraId="47A83AC3" w14:textId="1BE314A6" w:rsidR="00E14824" w:rsidRDefault="00E14824" w:rsidP="00D07B3E"/>
        <w:p w14:paraId="77E3D7AE" w14:textId="7AD619A8" w:rsidR="00E14824" w:rsidRDefault="00E14824" w:rsidP="00D07B3E"/>
        <w:p w14:paraId="652471B3" w14:textId="422ACF5F" w:rsidR="00E14824" w:rsidRDefault="00E14824" w:rsidP="00D07B3E"/>
        <w:p w14:paraId="0825DFC4" w14:textId="300614C8" w:rsidR="00D07B3E" w:rsidRDefault="00D07B3E" w:rsidP="00D07B3E"/>
        <w:p w14:paraId="7458076F" w14:textId="702211CD" w:rsidR="00D07B3E" w:rsidRDefault="00D07B3E" w:rsidP="00D07B3E"/>
        <w:p w14:paraId="6611D5A3" w14:textId="553DCB45" w:rsidR="00D07B3E" w:rsidRDefault="00D07B3E" w:rsidP="00D07B3E"/>
        <w:p w14:paraId="3EABF5FA" w14:textId="66083E7A" w:rsidR="00D07B3E" w:rsidRDefault="00D07B3E" w:rsidP="00D07B3E"/>
        <w:p w14:paraId="6551B32C" w14:textId="77777777" w:rsidR="00D07B3E" w:rsidRDefault="00D07B3E" w:rsidP="00D07B3E"/>
        <w:p w14:paraId="5CF4F18C" w14:textId="717934DB" w:rsidR="00E14824" w:rsidRDefault="00713850" w:rsidP="00D07B3E">
          <w:pPr>
            <w:jc w:val="center"/>
            <w:rPr>
              <w:rFonts w:ascii="Century Gothic" w:eastAsia="Century Gothic" w:hAnsi="Century Gothic" w:cs="Century Gothic"/>
              <w:color w:val="B2B2B2"/>
              <w:sz w:val="25"/>
              <w:szCs w:val="25"/>
            </w:rPr>
          </w:pPr>
          <w:r>
            <w:rPr>
              <w:noProof/>
            </w:rPr>
            <w:drawing>
              <wp:inline distT="0" distB="0" distL="0" distR="0" wp14:anchorId="5279F29A" wp14:editId="551EAD13">
                <wp:extent cx="2164080" cy="913130"/>
                <wp:effectExtent l="0" t="0" r="7620" b="1270"/>
                <wp:docPr id="2" name="Picture 2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Text&#10;&#10;Description automatically generated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0" cy="913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5277C61" w14:textId="77777777" w:rsidR="00D07B3E" w:rsidRDefault="00D07B3E" w:rsidP="00AC6205"/>
        <w:p w14:paraId="0C9C4D9D" w14:textId="1C0ACB57" w:rsidR="00882553" w:rsidRDefault="00D07B3E" w:rsidP="00D07B3E">
          <w:pPr>
            <w:pStyle w:val="Heading1"/>
          </w:pPr>
          <w:r>
            <w:t>P</w:t>
          </w:r>
          <w:r w:rsidR="00713850">
            <w:t>age Title</w:t>
          </w:r>
        </w:p>
        <w:p w14:paraId="4E402F5F" w14:textId="77777777" w:rsidR="00AC6205" w:rsidRDefault="00AC6205" w:rsidP="00D07B3E"/>
        <w:p w14:paraId="5FD9B602" w14:textId="77777777" w:rsidR="00AC6205" w:rsidRDefault="00AC6205" w:rsidP="00D07B3E"/>
        <w:p w14:paraId="2D537863" w14:textId="77777777" w:rsidR="00AC6205" w:rsidRDefault="00AC6205" w:rsidP="00D07B3E"/>
        <w:p w14:paraId="6E9F4936" w14:textId="77777777" w:rsidR="004B097B" w:rsidRDefault="004B097B" w:rsidP="004B097B">
          <w:pPr>
            <w:pStyle w:val="Heading1"/>
          </w:pPr>
          <w:r>
            <w:lastRenderedPageBreak/>
            <w:t>About this Document</w:t>
          </w:r>
        </w:p>
        <w:p w14:paraId="6FC897CC" w14:textId="77777777" w:rsidR="004B097B" w:rsidRDefault="004B097B" w:rsidP="004B097B"/>
        <w:p w14:paraId="7D745E9F" w14:textId="77777777" w:rsidR="004B097B" w:rsidRDefault="004B097B" w:rsidP="004B097B">
          <w:r>
            <w:t>This document is designed to assist SCQF Level 9 Practical Investment Planning Learners when constructing their portfolio of work-based evidence, which is the second coursework assignment.</w:t>
          </w:r>
        </w:p>
        <w:p w14:paraId="745F0127" w14:textId="77777777" w:rsidR="004B097B" w:rsidRDefault="004B097B" w:rsidP="004B097B"/>
        <w:p w14:paraId="14CD72BB" w14:textId="4988CF53" w:rsidR="004B097B" w:rsidRDefault="004B097B" w:rsidP="004B097B">
          <w:r>
            <w:t>As per the Qualification Specification,</w:t>
          </w:r>
          <w:r w:rsidR="005253AF">
            <w:t xml:space="preserve"> a learner reflective statement can form part of their portfolio of work-based evidence. </w:t>
          </w:r>
          <w:r>
            <w:t>This document provides a template for th</w:t>
          </w:r>
          <w:r w:rsidR="005253AF">
            <w:t>e learner reflective statement</w:t>
          </w:r>
          <w:r>
            <w:t>.</w:t>
          </w:r>
        </w:p>
        <w:p w14:paraId="28B71FD1" w14:textId="77777777" w:rsidR="004B097B" w:rsidRDefault="004B097B" w:rsidP="004B097B"/>
        <w:p w14:paraId="144C4B07" w14:textId="6AC7F225" w:rsidR="004B097B" w:rsidRDefault="004B097B" w:rsidP="004B097B">
          <w:r>
            <w:t xml:space="preserve">Further information is available in the Qualification Specification, and </w:t>
          </w:r>
          <w:r w:rsidR="005253AF">
            <w:t xml:space="preserve">on our YouTube channel: </w:t>
          </w:r>
          <w:hyperlink r:id="rId9" w:history="1">
            <w:r w:rsidR="005253AF">
              <w:rPr>
                <w:rStyle w:val="Hyperlink"/>
              </w:rPr>
              <w:t>How to write a Learner Reflective Statement for PIP Assignment 2 - YouTube</w:t>
            </w:r>
          </w:hyperlink>
        </w:p>
        <w:p w14:paraId="4DE70490" w14:textId="77777777" w:rsidR="004B097B" w:rsidRDefault="004B097B" w:rsidP="004B097B"/>
        <w:p w14:paraId="32A6EAEB" w14:textId="0EAAC2B5" w:rsidR="004B097B" w:rsidRDefault="004B097B" w:rsidP="004B097B">
          <w:r>
            <w:t>Assessment candidates are not obliged to use this template, and may instead create their own document, or edit/reformat this document as they see fit</w:t>
          </w:r>
          <w:r w:rsidR="005253AF">
            <w:t>, providing it still evidences the achievement of the relevant Performance Criteria</w:t>
          </w:r>
          <w:r>
            <w:t>.</w:t>
          </w:r>
        </w:p>
        <w:p w14:paraId="488F14B5" w14:textId="77777777" w:rsidR="004B097B" w:rsidRDefault="004B097B" w:rsidP="004B097B"/>
        <w:p w14:paraId="341A4DB4" w14:textId="47AFBF6F" w:rsidR="004B097B" w:rsidRDefault="004B097B" w:rsidP="004B097B">
          <w:r>
            <w:t>Assessment candidates should be aware that the clearer</w:t>
          </w:r>
          <w:r w:rsidR="005253AF">
            <w:t xml:space="preserve"> and easier to navigate</w:t>
          </w:r>
          <w:r>
            <w:t xml:space="preserve"> their </w:t>
          </w:r>
          <w:r w:rsidR="005253AF">
            <w:t>statement,</w:t>
          </w:r>
          <w:r>
            <w:t xml:space="preserve"> the less chance there is of Assessors making errors in their marking such as overlooking pieces of evidence.</w:t>
          </w:r>
        </w:p>
        <w:p w14:paraId="7023C615" w14:textId="795DB127" w:rsidR="004B097B" w:rsidRDefault="004B097B" w:rsidP="004B097B"/>
        <w:p w14:paraId="1A6211D1" w14:textId="3F0A144A" w:rsidR="0013200D" w:rsidRDefault="0013200D" w:rsidP="004B097B">
          <w:r>
            <w:t>Learner reflective statements should generally be detailed, and for PIP should be several pages long.</w:t>
          </w:r>
        </w:p>
        <w:p w14:paraId="042E8B2B" w14:textId="77777777" w:rsidR="004B097B" w:rsidRDefault="004B097B" w:rsidP="004B097B"/>
        <w:p w14:paraId="089DA021" w14:textId="77777777" w:rsidR="004B097B" w:rsidRDefault="004B097B" w:rsidP="004B097B"/>
        <w:p w14:paraId="2214CB9C" w14:textId="77777777" w:rsidR="004B097B" w:rsidRDefault="004B097B" w:rsidP="004B097B"/>
        <w:p w14:paraId="12D3ED4D" w14:textId="77777777" w:rsidR="004B097B" w:rsidRDefault="004B097B" w:rsidP="004B097B">
          <w:pPr>
            <w:pStyle w:val="Heading1"/>
          </w:pPr>
          <w:r>
            <w:t>Learner Information</w:t>
          </w:r>
        </w:p>
        <w:p w14:paraId="67435D57" w14:textId="77777777" w:rsidR="004B097B" w:rsidRDefault="004B097B" w:rsidP="004B097B"/>
        <w:tbl>
          <w:tblPr>
            <w:tblStyle w:val="TableGrid"/>
            <w:tblW w:w="9351" w:type="dxa"/>
            <w:tblLook w:val="04A0" w:firstRow="1" w:lastRow="0" w:firstColumn="1" w:lastColumn="0" w:noHBand="0" w:noVBand="1"/>
          </w:tblPr>
          <w:tblGrid>
            <w:gridCol w:w="2122"/>
            <w:gridCol w:w="7229"/>
          </w:tblGrid>
          <w:tr w:rsidR="004B097B" w14:paraId="4A3D9680" w14:textId="77777777" w:rsidTr="00696F38">
            <w:tc>
              <w:tcPr>
                <w:tcW w:w="2122" w:type="dxa"/>
              </w:tcPr>
              <w:p w14:paraId="1E60BF8E" w14:textId="77777777" w:rsidR="004B097B" w:rsidRPr="003872B9" w:rsidRDefault="004B097B" w:rsidP="00696F38">
                <w:pPr>
                  <w:rPr>
                    <w:b/>
                    <w:bCs/>
                  </w:rPr>
                </w:pPr>
                <w:r w:rsidRPr="003872B9">
                  <w:rPr>
                    <w:b/>
                    <w:bCs/>
                  </w:rPr>
                  <w:t xml:space="preserve">Learner </w:t>
                </w:r>
                <w:r>
                  <w:rPr>
                    <w:b/>
                    <w:bCs/>
                  </w:rPr>
                  <w:t>N</w:t>
                </w:r>
                <w:r w:rsidRPr="003872B9">
                  <w:rPr>
                    <w:b/>
                    <w:bCs/>
                  </w:rPr>
                  <w:t>ame</w:t>
                </w:r>
              </w:p>
            </w:tc>
            <w:tc>
              <w:tcPr>
                <w:tcW w:w="7229" w:type="dxa"/>
              </w:tcPr>
              <w:p w14:paraId="00A1621D" w14:textId="77777777" w:rsidR="004B097B" w:rsidRDefault="004B097B" w:rsidP="00696F38"/>
            </w:tc>
          </w:tr>
        </w:tbl>
        <w:p w14:paraId="37C38D89" w14:textId="77777777" w:rsidR="004B097B" w:rsidRDefault="004B097B" w:rsidP="004B097B"/>
        <w:p w14:paraId="64198853" w14:textId="77777777" w:rsidR="004B097B" w:rsidRDefault="004B097B" w:rsidP="004B097B"/>
        <w:p w14:paraId="4F2C6E0D" w14:textId="2D88EFA1" w:rsidR="0013200D" w:rsidRPr="0013200D" w:rsidRDefault="004B097B" w:rsidP="00D07B3E">
          <w:pPr>
            <w:rPr>
              <w:rFonts w:asciiTheme="majorHAnsi" w:eastAsiaTheme="majorEastAsia" w:hAnsiTheme="majorHAnsi" w:cstheme="majorBidi"/>
              <w:sz w:val="40"/>
              <w:szCs w:val="40"/>
            </w:rPr>
            <w:sectPr w:rsidR="0013200D" w:rsidRPr="0013200D" w:rsidSect="00713850">
              <w:footerReference w:type="default" r:id="rId10"/>
              <w:footerReference w:type="first" r:id="rId11"/>
              <w:pgSz w:w="12240" w:h="15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>
            <w:br w:type="page"/>
          </w:r>
        </w:p>
      </w:sdtContent>
    </w:sdt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4"/>
        <w:gridCol w:w="2551"/>
        <w:gridCol w:w="2409"/>
        <w:gridCol w:w="2466"/>
      </w:tblGrid>
      <w:tr w:rsidR="0013200D" w14:paraId="698215AA" w14:textId="77777777" w:rsidTr="0013200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1AC" w14:textId="562AA30D" w:rsidR="0013200D" w:rsidRPr="0013200D" w:rsidRDefault="0013200D">
            <w:pPr>
              <w:jc w:val="both"/>
              <w:rPr>
                <w:b/>
                <w:bCs/>
              </w:rPr>
            </w:pPr>
            <w:r w:rsidRPr="0013200D">
              <w:rPr>
                <w:b/>
                <w:bCs/>
              </w:rPr>
              <w:lastRenderedPageBreak/>
              <w:t>Performance Criterion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4740" w14:textId="77777777" w:rsidR="0013200D" w:rsidRPr="0013200D" w:rsidRDefault="0013200D" w:rsidP="0013200D">
            <w:pPr>
              <w:jc w:val="center"/>
              <w:rPr>
                <w:b/>
                <w:bCs/>
              </w:rPr>
            </w:pPr>
            <w:r w:rsidRPr="0013200D">
              <w:rPr>
                <w:b/>
                <w:bCs/>
              </w:rPr>
              <w:t>What I did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54C" w14:textId="77777777" w:rsidR="0013200D" w:rsidRPr="0013200D" w:rsidRDefault="0013200D" w:rsidP="0013200D">
            <w:pPr>
              <w:jc w:val="center"/>
              <w:rPr>
                <w:b/>
                <w:bCs/>
              </w:rPr>
            </w:pPr>
            <w:r w:rsidRPr="0013200D">
              <w:rPr>
                <w:b/>
                <w:bCs/>
              </w:rPr>
              <w:t>How I did it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08F9" w14:textId="77777777" w:rsidR="0013200D" w:rsidRPr="0013200D" w:rsidRDefault="0013200D" w:rsidP="0013200D">
            <w:pPr>
              <w:jc w:val="center"/>
              <w:rPr>
                <w:b/>
                <w:bCs/>
              </w:rPr>
            </w:pPr>
            <w:r w:rsidRPr="0013200D">
              <w:rPr>
                <w:b/>
                <w:bCs/>
              </w:rPr>
              <w:t>What would I do better next time</w:t>
            </w:r>
          </w:p>
        </w:tc>
      </w:tr>
      <w:tr w:rsidR="0013200D" w14:paraId="05D87828" w14:textId="77777777" w:rsidTr="0013200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1976" w14:textId="77777777" w:rsidR="0013200D" w:rsidRDefault="0013200D">
            <w:r>
              <w:t>1.1 Deliver an effective, compliant, professional, structured telephone pitch meeting.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3A0" w14:textId="77777777" w:rsidR="0013200D" w:rsidRDefault="0013200D">
            <w:pPr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1036" w14:textId="77777777" w:rsidR="0013200D" w:rsidRDefault="0013200D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E59" w14:textId="77777777" w:rsidR="0013200D" w:rsidRDefault="0013200D">
            <w:pPr>
              <w:jc w:val="both"/>
            </w:pPr>
          </w:p>
        </w:tc>
      </w:tr>
      <w:tr w:rsidR="0013200D" w14:paraId="2F819549" w14:textId="77777777" w:rsidTr="0013200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589E" w14:textId="77777777" w:rsidR="0013200D" w:rsidRDefault="0013200D">
            <w:r>
              <w:t>1.2 Demonstrate the ability to structure and control client meetings effectively.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872E" w14:textId="77777777" w:rsidR="0013200D" w:rsidRDefault="0013200D">
            <w:pPr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CB1F" w14:textId="77777777" w:rsidR="0013200D" w:rsidRDefault="0013200D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52E" w14:textId="77777777" w:rsidR="0013200D" w:rsidRDefault="0013200D">
            <w:pPr>
              <w:jc w:val="both"/>
            </w:pPr>
          </w:p>
        </w:tc>
      </w:tr>
      <w:tr w:rsidR="0013200D" w14:paraId="09A4685C" w14:textId="77777777" w:rsidTr="0013200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E79D" w14:textId="77777777" w:rsidR="0013200D" w:rsidRDefault="0013200D">
            <w:r>
              <w:t>1.3 Present and explain a set of disclosure documents, including the firm’s business model and how charges work.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090" w14:textId="77777777" w:rsidR="0013200D" w:rsidRDefault="0013200D">
            <w:pPr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9593" w14:textId="77777777" w:rsidR="0013200D" w:rsidRDefault="0013200D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0A41" w14:textId="77777777" w:rsidR="0013200D" w:rsidRDefault="0013200D">
            <w:pPr>
              <w:jc w:val="both"/>
            </w:pPr>
          </w:p>
        </w:tc>
      </w:tr>
      <w:tr w:rsidR="0013200D" w14:paraId="7991407D" w14:textId="77777777" w:rsidTr="0013200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57EF" w14:textId="77777777" w:rsidR="0013200D" w:rsidRDefault="0013200D">
            <w:r>
              <w:t>1.4 Establish and agree SMART investment planning objectives with the client, including critical assessment of their potential achievability.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1C60" w14:textId="77777777" w:rsidR="0013200D" w:rsidRDefault="0013200D">
            <w:pPr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83B1" w14:textId="77777777" w:rsidR="0013200D" w:rsidRDefault="0013200D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EE9A" w14:textId="77777777" w:rsidR="0013200D" w:rsidRDefault="0013200D">
            <w:pPr>
              <w:jc w:val="both"/>
            </w:pPr>
          </w:p>
        </w:tc>
      </w:tr>
      <w:tr w:rsidR="0013200D" w14:paraId="5902295B" w14:textId="77777777" w:rsidTr="0013200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049A" w14:textId="77777777" w:rsidR="0013200D" w:rsidRDefault="0013200D">
            <w:r>
              <w:t>1.5 Critically assess and agree the risk profile of a retail client, as a combination of their attitude to risk and capacity for loss.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844" w14:textId="77777777" w:rsidR="0013200D" w:rsidRDefault="0013200D">
            <w:pPr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6E4" w14:textId="77777777" w:rsidR="0013200D" w:rsidRDefault="0013200D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CFE3" w14:textId="77777777" w:rsidR="0013200D" w:rsidRDefault="0013200D">
            <w:pPr>
              <w:jc w:val="both"/>
            </w:pPr>
          </w:p>
        </w:tc>
      </w:tr>
      <w:tr w:rsidR="0013200D" w14:paraId="223C070E" w14:textId="77777777" w:rsidTr="0013200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657F" w14:textId="25316133" w:rsidR="0013200D" w:rsidRDefault="0013200D">
            <w:r>
              <w:t>1.6 Explain to retail clients the main features, advantages, and disadvantages of the main investment strategies.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8004" w14:textId="77777777" w:rsidR="0013200D" w:rsidRDefault="0013200D">
            <w:pPr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1336" w14:textId="77777777" w:rsidR="0013200D" w:rsidRDefault="0013200D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DEE7" w14:textId="77777777" w:rsidR="0013200D" w:rsidRDefault="0013200D">
            <w:pPr>
              <w:jc w:val="both"/>
            </w:pPr>
          </w:p>
        </w:tc>
      </w:tr>
      <w:tr w:rsidR="0013200D" w14:paraId="5C3D9CBC" w14:textId="77777777" w:rsidTr="0013200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1712" w14:textId="374C5EC8" w:rsidR="0013200D" w:rsidRPr="0013200D" w:rsidRDefault="0013200D" w:rsidP="001320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2.1 </w:t>
            </w:r>
            <w:r w:rsidRPr="0013200D">
              <w:rPr>
                <w:rFonts w:cstheme="minorHAnsi"/>
              </w:rPr>
              <w:t>Produce a professional, compliant suitability report comprising a piece of innovative investment advice, the client’s objectives, the reasons why the advice is suitable, and any disadvantages of the advice.</w:t>
            </w:r>
            <w:r>
              <w:rPr>
                <w:rFonts w:cstheme="minorHAnsi"/>
              </w:rPr>
              <w:t xml:space="preserve"> </w:t>
            </w:r>
            <w:r w:rsidRPr="0013200D">
              <w:rPr>
                <w:rFonts w:cstheme="minorHAnsi"/>
                <w:b/>
                <w:bCs/>
              </w:rPr>
              <w:t>ONLY REQUIRED IF INNOVATION IS NOT PRESENT IN ASSIGNMENT 1.</w:t>
            </w:r>
          </w:p>
          <w:p w14:paraId="73E77455" w14:textId="47E28A1E" w:rsidR="0013200D" w:rsidRDefault="0013200D"/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F54" w14:textId="77777777" w:rsidR="0013200D" w:rsidRDefault="0013200D">
            <w:pPr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731A" w14:textId="77777777" w:rsidR="0013200D" w:rsidRDefault="0013200D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F04" w14:textId="77777777" w:rsidR="0013200D" w:rsidRDefault="0013200D">
            <w:pPr>
              <w:jc w:val="both"/>
            </w:pPr>
          </w:p>
        </w:tc>
      </w:tr>
      <w:tr w:rsidR="0013200D" w14:paraId="0113A665" w14:textId="77777777" w:rsidTr="0013200D"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C1CC" w14:textId="77777777" w:rsidR="0013200D" w:rsidRDefault="0013200D">
            <w:r>
              <w:t>3.1 Professionally and compliantly present an innovative investment plan, along with corresponding regulatory supporting documents, answering any client questions, and gaining the client’s agreement to proceed with the advice.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7F5B" w14:textId="77777777" w:rsidR="0013200D" w:rsidRDefault="0013200D">
            <w:pPr>
              <w:jc w:val="both"/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481" w14:textId="77777777" w:rsidR="0013200D" w:rsidRDefault="0013200D">
            <w:pPr>
              <w:jc w:val="both"/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88A9" w14:textId="77777777" w:rsidR="0013200D" w:rsidRDefault="0013200D">
            <w:pPr>
              <w:jc w:val="both"/>
            </w:pPr>
          </w:p>
        </w:tc>
      </w:tr>
    </w:tbl>
    <w:p w14:paraId="0999DB79" w14:textId="70087575" w:rsidR="00A31B38" w:rsidRPr="003611BA" w:rsidRDefault="00A31B38" w:rsidP="00D07B3E"/>
    <w:sectPr w:rsidR="00A31B38" w:rsidRPr="003611BA" w:rsidSect="00C63B41">
      <w:footerReference w:type="first" r:id="rId12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DC51" w14:textId="77777777" w:rsidR="00EB029A" w:rsidRDefault="00EB029A" w:rsidP="00D07B3E">
      <w:r>
        <w:separator/>
      </w:r>
    </w:p>
    <w:p w14:paraId="2E08D7F5" w14:textId="77777777" w:rsidR="00EB029A" w:rsidRDefault="00EB029A" w:rsidP="00D07B3E"/>
  </w:endnote>
  <w:endnote w:type="continuationSeparator" w:id="0">
    <w:p w14:paraId="6B3D5A85" w14:textId="77777777" w:rsidR="00EB029A" w:rsidRDefault="00EB029A" w:rsidP="00D07B3E">
      <w:r>
        <w:continuationSeparator/>
      </w:r>
    </w:p>
    <w:p w14:paraId="2BC68B17" w14:textId="77777777" w:rsidR="00EB029A" w:rsidRDefault="00EB029A" w:rsidP="00D0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5075" w14:textId="4545048C" w:rsidR="7974F802" w:rsidRDefault="004B097B" w:rsidP="00D07B3E">
    <w:pPr>
      <w:pStyle w:val="Footer"/>
    </w:pPr>
    <w:r>
      <w:t xml:space="preserve">Assignment 2 </w:t>
    </w:r>
    <w:r w:rsidR="008A3E5E">
      <w:t>LRS</w:t>
    </w:r>
    <w:r>
      <w:t xml:space="preserve"> Template</w:t>
    </w:r>
    <w:r w:rsidR="00713850" w:rsidRPr="00713850">
      <w:ptab w:relativeTo="margin" w:alignment="center" w:leader="none"/>
    </w:r>
    <w:r>
      <w:t>SCQF Level 9 PIP</w:t>
    </w:r>
    <w:r w:rsidR="00713850" w:rsidRPr="00713850">
      <w:ptab w:relativeTo="margin" w:alignment="right" w:leader="none"/>
    </w:r>
    <w:r w:rsidR="00713850" w:rsidRPr="00713850">
      <w:fldChar w:fldCharType="begin"/>
    </w:r>
    <w:r w:rsidR="00713850" w:rsidRPr="00713850">
      <w:instrText xml:space="preserve"> PAGE   \* MERGEFORMAT </w:instrText>
    </w:r>
    <w:r w:rsidR="00713850" w:rsidRPr="00713850">
      <w:fldChar w:fldCharType="separate"/>
    </w:r>
    <w:r w:rsidR="00713850" w:rsidRPr="00713850">
      <w:rPr>
        <w:noProof/>
      </w:rPr>
      <w:t>1</w:t>
    </w:r>
    <w:r w:rsidR="00713850" w:rsidRPr="00713850">
      <w:rPr>
        <w:noProof/>
      </w:rPr>
      <w:fldChar w:fldCharType="end"/>
    </w:r>
  </w:p>
  <w:p w14:paraId="0F4F4A32" w14:textId="77777777" w:rsidR="001740C5" w:rsidRDefault="001740C5" w:rsidP="00D07B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767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2841F0" w14:textId="4724969F" w:rsidR="0013200D" w:rsidRDefault="001320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0011D" w14:textId="77777777" w:rsidR="0013200D" w:rsidRDefault="00132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8291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C8E17B" w14:textId="77777777" w:rsidR="00C63B41" w:rsidRDefault="00C63B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7EE826" w14:textId="77777777" w:rsidR="00C63B41" w:rsidRDefault="00C63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0D766" w14:textId="77777777" w:rsidR="00EB029A" w:rsidRDefault="00EB029A" w:rsidP="00D07B3E">
      <w:r>
        <w:separator/>
      </w:r>
    </w:p>
    <w:p w14:paraId="59F452F3" w14:textId="77777777" w:rsidR="00EB029A" w:rsidRDefault="00EB029A" w:rsidP="00D07B3E"/>
  </w:footnote>
  <w:footnote w:type="continuationSeparator" w:id="0">
    <w:p w14:paraId="7DE5CA1D" w14:textId="77777777" w:rsidR="00EB029A" w:rsidRDefault="00EB029A" w:rsidP="00D07B3E">
      <w:r>
        <w:continuationSeparator/>
      </w:r>
    </w:p>
    <w:p w14:paraId="7387C85F" w14:textId="77777777" w:rsidR="00EB029A" w:rsidRDefault="00EB029A" w:rsidP="00D07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33F"/>
    <w:multiLevelType w:val="multilevel"/>
    <w:tmpl w:val="5F70E7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556B1F90"/>
    <w:multiLevelType w:val="multilevel"/>
    <w:tmpl w:val="6B12FEC8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num w:numId="1" w16cid:durableId="721321423">
    <w:abstractNumId w:val="1"/>
  </w:num>
  <w:num w:numId="2" w16cid:durableId="210784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F068B6"/>
    <w:rsid w:val="0013200D"/>
    <w:rsid w:val="001740C5"/>
    <w:rsid w:val="00192D5A"/>
    <w:rsid w:val="001E6B45"/>
    <w:rsid w:val="002750C7"/>
    <w:rsid w:val="003611BA"/>
    <w:rsid w:val="00396B14"/>
    <w:rsid w:val="0042013E"/>
    <w:rsid w:val="004304E1"/>
    <w:rsid w:val="0045075D"/>
    <w:rsid w:val="004B097B"/>
    <w:rsid w:val="004B3D5D"/>
    <w:rsid w:val="005253AF"/>
    <w:rsid w:val="00530AB6"/>
    <w:rsid w:val="00590630"/>
    <w:rsid w:val="00667168"/>
    <w:rsid w:val="006B4D0D"/>
    <w:rsid w:val="00713850"/>
    <w:rsid w:val="00713866"/>
    <w:rsid w:val="007F17EF"/>
    <w:rsid w:val="00836F59"/>
    <w:rsid w:val="00882553"/>
    <w:rsid w:val="008A3E5E"/>
    <w:rsid w:val="008C2EC8"/>
    <w:rsid w:val="0099293F"/>
    <w:rsid w:val="00A073FF"/>
    <w:rsid w:val="00A31B38"/>
    <w:rsid w:val="00A41A15"/>
    <w:rsid w:val="00A64B0F"/>
    <w:rsid w:val="00AB4E54"/>
    <w:rsid w:val="00AB55ED"/>
    <w:rsid w:val="00AC6205"/>
    <w:rsid w:val="00AF5432"/>
    <w:rsid w:val="00B00559"/>
    <w:rsid w:val="00B21403"/>
    <w:rsid w:val="00B92178"/>
    <w:rsid w:val="00C63B41"/>
    <w:rsid w:val="00D07B3E"/>
    <w:rsid w:val="00DC1946"/>
    <w:rsid w:val="00E14824"/>
    <w:rsid w:val="00EB029A"/>
    <w:rsid w:val="00EE0EBD"/>
    <w:rsid w:val="0567A59E"/>
    <w:rsid w:val="05C9315F"/>
    <w:rsid w:val="070375FF"/>
    <w:rsid w:val="09C732EB"/>
    <w:rsid w:val="1113640C"/>
    <w:rsid w:val="17F4345F"/>
    <w:rsid w:val="18CADCBA"/>
    <w:rsid w:val="1B2BD521"/>
    <w:rsid w:val="225896A3"/>
    <w:rsid w:val="29AE1610"/>
    <w:rsid w:val="2A99EB7D"/>
    <w:rsid w:val="32327179"/>
    <w:rsid w:val="3391414A"/>
    <w:rsid w:val="3B6F4CD4"/>
    <w:rsid w:val="4445B6B6"/>
    <w:rsid w:val="4AF1412E"/>
    <w:rsid w:val="4FF068B6"/>
    <w:rsid w:val="529EFE10"/>
    <w:rsid w:val="553F6794"/>
    <w:rsid w:val="6058E5F7"/>
    <w:rsid w:val="64C1E1B4"/>
    <w:rsid w:val="75F76432"/>
    <w:rsid w:val="7974F802"/>
    <w:rsid w:val="7AC38042"/>
    <w:rsid w:val="7C80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068B6"/>
  <w15:chartTrackingRefBased/>
  <w15:docId w15:val="{D5C723BB-E11B-4C00-82C7-7FE1B64F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B3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11BA"/>
    <w:pPr>
      <w:outlineLvl w:val="0"/>
    </w:pPr>
    <w:rPr>
      <w:rFonts w:ascii="Century Gothic" w:eastAsia="Century Gothic" w:hAnsi="Century Gothic" w:cs="Century Gothic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55ED"/>
    <w:pPr>
      <w:outlineLvl w:val="1"/>
    </w:pPr>
    <w:rPr>
      <w:rFonts w:ascii="Century Gothic" w:hAnsi="Century Gothic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TitleChar">
    <w:name w:val="Title Char"/>
    <w:basedOn w:val="DefaultParagraphFont"/>
    <w:link w:val="Title"/>
    <w:uiPriority w:val="10"/>
    <w:rsid w:val="00530AB6"/>
    <w:rPr>
      <w:rFonts w:ascii="Century Gothic" w:eastAsia="Century Gothic" w:hAnsi="Century Gothic" w:cs="Century Gothic"/>
      <w:color w:val="FFFFFF" w:themeColor="background1"/>
      <w:spacing w:val="-10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0"/>
    <w:qFormat/>
    <w:rsid w:val="00530AB6"/>
    <w:pPr>
      <w:spacing w:line="240" w:lineRule="auto"/>
      <w:contextualSpacing/>
      <w:jc w:val="center"/>
    </w:pPr>
    <w:rPr>
      <w:rFonts w:ascii="Century Gothic" w:eastAsia="Century Gothic" w:hAnsi="Century Gothic" w:cs="Century Gothic"/>
      <w:color w:val="FFFFFF" w:themeColor="background1"/>
      <w:spacing w:val="-10"/>
      <w:kern w:val="28"/>
      <w:sz w:val="104"/>
      <w:szCs w:val="104"/>
    </w:rPr>
  </w:style>
  <w:style w:type="paragraph" w:styleId="NoSpacing">
    <w:name w:val="No Spacing"/>
    <w:link w:val="NoSpacingChar"/>
    <w:uiPriority w:val="1"/>
    <w:qFormat/>
    <w:rsid w:val="00A41A1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41A1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3611BA"/>
    <w:rPr>
      <w:rFonts w:ascii="Century Gothic" w:eastAsia="Century Gothic" w:hAnsi="Century Gothic" w:cs="Century Gothic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B3E"/>
    <w:pPr>
      <w:jc w:val="center"/>
    </w:pPr>
    <w:rPr>
      <w:rFonts w:ascii="Century Gothic" w:eastAsia="Century Gothic" w:hAnsi="Century Gothic" w:cs="Century Gothic"/>
      <w:color w:val="B2B2B2"/>
      <w:sz w:val="25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07B3E"/>
    <w:rPr>
      <w:rFonts w:ascii="Century Gothic" w:eastAsia="Century Gothic" w:hAnsi="Century Gothic" w:cs="Century Gothic"/>
      <w:color w:val="B2B2B2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rsid w:val="00AB55ED"/>
    <w:rPr>
      <w:rFonts w:ascii="Century Gothic" w:hAnsi="Century Gothic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253AF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13200D"/>
    <w:pPr>
      <w:spacing w:line="240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2ku5do1y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5B96-F935-4BE8-95CB-E969BC7E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Ford</dc:creator>
  <cp:keywords/>
  <dc:description/>
  <cp:lastModifiedBy>Michael Pashley</cp:lastModifiedBy>
  <cp:revision>21</cp:revision>
  <dcterms:created xsi:type="dcterms:W3CDTF">2022-03-09T12:58:00Z</dcterms:created>
  <dcterms:modified xsi:type="dcterms:W3CDTF">2022-04-27T09:53:00Z</dcterms:modified>
</cp:coreProperties>
</file>