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Safer Recruitment Policy</w:t>
      </w:r>
    </w:p>
    <w:p>
      <w:pPr>
        <w:spacing w:after="220"/>
        <w:jc w:val="center"/>
      </w:pPr>
      <w:r>
        <w:rPr>
          <w:b/>
          <w:color w:val="822020"/>
          <w:sz w:val="22"/>
        </w:rPr>
        <w:t>Effective from September 2026</w:t>
      </w:r>
    </w:p>
    <w:tbl>
      <w:tblPr>
        <w:tblW w:type="auto" w:w="0"/>
        <w:jc w:val="center"/>
        <w:tblLayout w:type="fixed"/>
        <w:tblLook w:firstColumn="1" w:firstRow="1" w:lastColumn="0" w:lastRow="0" w:noHBand="0" w:noVBand="1" w:val="04A0"/>
      </w:tblPr>
      <w:tblGrid>
        <w:gridCol w:w="5083"/>
        <w:gridCol w:w="5083"/>
      </w:tblGrid>
      <w:tr>
        <w:tc>
          <w:tcPr>
            <w:tcW w:type="dxa" w:w="3240"/>
            <w:vAlign w:val="center"/>
            <w:shd w:fill="8A2020"/>
            <w:tcMar>
              <w:top w:w="90" w:type="dxa"/>
              <w:start w:w="110" w:type="dxa"/>
              <w:bottom w:w="90" w:type="dxa"/>
              <w:end w:w="110" w:type="dxa"/>
            </w:tcMar>
          </w:tcPr>
          <w:p>
            <w:pPr>
              <w:spacing w:after="0"/>
            </w:pPr>
            <w:r/>
            <w:r>
              <w:rPr>
                <w:rFonts w:ascii="Aptos" w:hAnsi="Aptos"/>
                <w:b/>
                <w:color w:val="FFFFFF"/>
                <w:sz w:val="19"/>
              </w:rPr>
              <w:t>Setting</w:t>
            </w:r>
          </w:p>
        </w:tc>
        <w:tc>
          <w:tcPr>
            <w:tcW w:type="dxa" w:w="6480"/>
            <w:vAlign w:val="center"/>
            <w:shd w:fill="F7F2F0"/>
            <w:tcMar>
              <w:top w:w="90" w:type="dxa"/>
              <w:start w:w="110" w:type="dxa"/>
              <w:bottom w:w="90" w:type="dxa"/>
              <w:end w:w="110" w:type="dxa"/>
            </w:tcMar>
          </w:tcPr>
          <w:p>
            <w:pPr>
              <w:spacing w:after="0"/>
            </w:pPr>
            <w:r/>
            <w:r>
              <w:rPr>
                <w:rFonts w:ascii="Aptos" w:hAnsi="Aptos"/>
                <w:b w:val="0"/>
                <w:sz w:val="19"/>
              </w:rPr>
              <w:t>Hemingbrough Pre-School</w:t>
            </w:r>
          </w:p>
        </w:tc>
      </w:tr>
      <w:tr>
        <w:tc>
          <w:tcPr>
            <w:tcW w:type="dxa" w:w="3240"/>
            <w:vAlign w:val="center"/>
            <w:shd w:fill="8A2020"/>
            <w:tcMar>
              <w:top w:w="90" w:type="dxa"/>
              <w:start w:w="110" w:type="dxa"/>
              <w:bottom w:w="90" w:type="dxa"/>
              <w:end w:w="110" w:type="dxa"/>
            </w:tcMar>
          </w:tcPr>
          <w:p>
            <w:pPr>
              <w:spacing w:after="0"/>
            </w:pPr>
            <w:r/>
            <w:r>
              <w:rPr>
                <w:rFonts w:ascii="Aptos" w:hAnsi="Aptos"/>
                <w:b/>
                <w:color w:val="FFFFFF"/>
                <w:sz w:val="19"/>
              </w:rPr>
              <w:t>Manager and DSL</w:t>
            </w:r>
          </w:p>
        </w:tc>
        <w:tc>
          <w:tcPr>
            <w:tcW w:type="dxa" w:w="6480"/>
            <w:vAlign w:val="center"/>
            <w:shd w:fill="FFFFFF"/>
            <w:tcMar>
              <w:top w:w="90" w:type="dxa"/>
              <w:start w:w="110" w:type="dxa"/>
              <w:bottom w:w="90" w:type="dxa"/>
              <w:end w:w="110" w:type="dxa"/>
            </w:tcMar>
          </w:tcPr>
          <w:p>
            <w:pPr>
              <w:spacing w:after="0"/>
            </w:pPr>
            <w:r/>
            <w:r>
              <w:rPr>
                <w:rFonts w:ascii="Aptos" w:hAnsi="Aptos"/>
                <w:b w:val="0"/>
                <w:sz w:val="19"/>
              </w:rPr>
              <w:t>Summer Andrews</w:t>
            </w:r>
          </w:p>
        </w:tc>
      </w:tr>
      <w:tr>
        <w:tc>
          <w:tcPr>
            <w:tcW w:type="dxa" w:w="3240"/>
            <w:vAlign w:val="center"/>
            <w:shd w:fill="8A2020"/>
            <w:tcMar>
              <w:top w:w="90" w:type="dxa"/>
              <w:start w:w="110" w:type="dxa"/>
              <w:bottom w:w="90" w:type="dxa"/>
              <w:end w:w="110" w:type="dxa"/>
            </w:tcMar>
          </w:tcPr>
          <w:p>
            <w:pPr>
              <w:spacing w:after="0"/>
            </w:pPr>
            <w:r/>
            <w:r>
              <w:rPr>
                <w:rFonts w:ascii="Aptos" w:hAnsi="Aptos"/>
                <w:b/>
                <w:color w:val="FFFFFF"/>
                <w:sz w:val="19"/>
              </w:rPr>
              <w:t>Deputy Manager and DDSL</w:t>
            </w:r>
          </w:p>
        </w:tc>
        <w:tc>
          <w:tcPr>
            <w:tcW w:type="dxa" w:w="6480"/>
            <w:vAlign w:val="center"/>
            <w:shd w:fill="F7F2F0"/>
            <w:tcMar>
              <w:top w:w="90" w:type="dxa"/>
              <w:start w:w="110" w:type="dxa"/>
              <w:bottom w:w="90" w:type="dxa"/>
              <w:end w:w="110" w:type="dxa"/>
            </w:tcMar>
          </w:tcPr>
          <w:p>
            <w:pPr>
              <w:spacing w:after="0"/>
            </w:pPr>
            <w:r/>
            <w:r>
              <w:rPr>
                <w:rFonts w:ascii="Aptos" w:hAnsi="Aptos"/>
                <w:b w:val="0"/>
                <w:sz w:val="19"/>
              </w:rPr>
              <w:t>Jane Dodsworth</w:t>
            </w:r>
          </w:p>
        </w:tc>
      </w:tr>
      <w:tr>
        <w:tc>
          <w:tcPr>
            <w:tcW w:type="dxa" w:w="3240"/>
            <w:vAlign w:val="center"/>
            <w:shd w:fill="8A2020"/>
            <w:tcMar>
              <w:top w:w="90" w:type="dxa"/>
              <w:start w:w="110" w:type="dxa"/>
              <w:bottom w:w="90" w:type="dxa"/>
              <w:end w:w="110" w:type="dxa"/>
            </w:tcMar>
          </w:tcPr>
          <w:p>
            <w:pPr>
              <w:spacing w:after="0"/>
            </w:pPr>
            <w:r/>
            <w:r>
              <w:rPr>
                <w:rFonts w:ascii="Aptos" w:hAnsi="Aptos"/>
                <w:b/>
                <w:color w:val="FFFFFF"/>
                <w:sz w:val="19"/>
              </w:rPr>
              <w:t>Committee safeguarding lead</w:t>
            </w:r>
          </w:p>
        </w:tc>
        <w:tc>
          <w:tcPr>
            <w:tcW w:type="dxa" w:w="6480"/>
            <w:vAlign w:val="center"/>
            <w:shd w:fill="FFFFFF"/>
            <w:tcMar>
              <w:top w:w="90" w:type="dxa"/>
              <w:start w:w="110" w:type="dxa"/>
              <w:bottom w:w="90" w:type="dxa"/>
              <w:end w:w="110" w:type="dxa"/>
            </w:tcMar>
          </w:tcPr>
          <w:p>
            <w:pPr>
              <w:spacing w:after="0"/>
            </w:pPr>
            <w:r/>
            <w:r>
              <w:rPr>
                <w:rFonts w:ascii="Aptos" w:hAnsi="Aptos"/>
                <w:b w:val="0"/>
                <w:sz w:val="19"/>
              </w:rPr>
              <w:t>Gemma Howard</w:t>
            </w:r>
          </w:p>
        </w:tc>
      </w:tr>
    </w:tbl>
    <w:p>
      <w:pPr>
        <w:pStyle w:val="Heading1"/>
      </w:pPr>
      <w:r>
        <w:t>1 Policy statement</w:t>
      </w:r>
    </w:p>
    <w:p>
      <w:r>
        <w:t>Hemingbrough Pre-School is committed to recruiting suitable, safe and appropriately qualified people. Safer recruitment is an essential part of safeguarding. It applies to paid staff, apprentices, students, volunteers and committee members whose role brings them into contact with children or safeguarding information.</w:t>
      </w:r>
    </w:p>
    <w:p>
      <w:r>
        <w:t>This policy reflects the Early Years Foundation Stage statutory framework for group and school-based providers effective from 1 September 2026. It should be read alongside the Safeguarding and Child Protection Policy, Staff Code of Conduct, Whistleblowing Policy and procedures for allegations and low-level concerns.</w:t>
      </w:r>
    </w:p>
    <w:p>
      <w:pPr>
        <w:pStyle w:val="Heading1"/>
      </w:pPr>
      <w:r>
        <w:t>2 Aims</w:t>
      </w:r>
    </w:p>
    <w:p>
      <w:pPr>
        <w:pStyle w:val="ListBullet"/>
        <w:spacing w:after="50"/>
      </w:pPr>
      <w:r>
        <w:t>deter, identify and reject people who may be unsuitable to work with children</w:t>
      </w:r>
    </w:p>
    <w:p>
      <w:pPr>
        <w:pStyle w:val="ListBullet"/>
        <w:spacing w:after="50"/>
      </w:pPr>
      <w:r>
        <w:t>use a fair, consistent, inclusive and well-documented recruitment process</w:t>
      </w:r>
    </w:p>
    <w:p>
      <w:pPr>
        <w:pStyle w:val="ListBullet"/>
        <w:spacing w:after="50"/>
      </w:pPr>
      <w:r>
        <w:t>complete and record all required checks before a person begins work or volunteering</w:t>
      </w:r>
    </w:p>
    <w:p>
      <w:pPr>
        <w:pStyle w:val="ListBullet"/>
        <w:spacing w:after="50"/>
      </w:pPr>
      <w:r>
        <w:t>ensure recruitment decisions focus on children's safety as well as qualifications and experience</w:t>
      </w:r>
    </w:p>
    <w:p>
      <w:pPr>
        <w:pStyle w:val="ListBullet"/>
        <w:spacing w:after="50"/>
      </w:pPr>
      <w:r>
        <w:t>maintain vigilance after appointment through induction, supervision and suitability disclosures</w:t>
      </w:r>
    </w:p>
    <w:p>
      <w:pPr>
        <w:pStyle w:val="Heading1"/>
      </w:pPr>
      <w:r>
        <w:t>3 Responsibilities</w:t>
      </w:r>
    </w:p>
    <w:p>
      <w:r>
        <w:t>The Manager coordinates recruitment, ensures checks are complete and keeps the recruitment record. The committee approves appointments and provides appropriate oversight. At least two people will normally shortlist and interview, and at least one panel member will have completed safer recruitment training.</w:t>
      </w:r>
    </w:p>
    <w:p>
      <w:r>
        <w:t>Anyone involved in recruitment must declare any personal or professional conflict of interest. Recruitment information is handled confidentially and in line with data protection requirements.</w:t>
      </w:r>
    </w:p>
    <w:p>
      <w:pPr>
        <w:pStyle w:val="Heading1"/>
      </w:pPr>
      <w:r>
        <w:t>4 Advertising and applications</w:t>
      </w:r>
    </w:p>
    <w:p>
      <w:r>
        <w:t>Vacancy information will describe the role, qualifications, responsibilities and safeguarding expectations. Adverts will state that the setting is committed to safeguarding, that appropriate vetting checks will be required and that the setting welcomes applications in line with equality law.</w:t>
      </w:r>
    </w:p>
    <w:p>
      <w:pPr>
        <w:pStyle w:val="ListBullet"/>
        <w:spacing w:after="50"/>
      </w:pPr>
      <w:r>
        <w:t>Applicants must complete the setting's application form. A CV may provide additional information but will not be accepted on its own.</w:t>
      </w:r>
    </w:p>
    <w:p>
      <w:pPr>
        <w:pStyle w:val="ListBullet"/>
        <w:spacing w:after="50"/>
      </w:pPr>
      <w:r>
        <w:t>The application requires a full employment and education history, with explanations for gaps or periods not working.</w:t>
      </w:r>
    </w:p>
    <w:p>
      <w:pPr>
        <w:pStyle w:val="ListBullet"/>
        <w:spacing w:after="50"/>
      </w:pPr>
      <w:r>
        <w:t>Applicants must identify referees and disclose information requested about their suitability to work with children.</w:t>
      </w:r>
    </w:p>
    <w:p>
      <w:pPr>
        <w:pStyle w:val="ListBullet"/>
        <w:spacing w:after="50"/>
      </w:pPr>
      <w:r>
        <w:t>The job description, person specification, selection process and checks will be made clear before interview.</w:t>
      </w:r>
    </w:p>
    <w:p>
      <w:pPr>
        <w:pStyle w:val="Heading1"/>
      </w:pPr>
      <w:r>
        <w:t>5 Shortlisting</w:t>
      </w:r>
    </w:p>
    <w:p>
      <w:r>
        <w:t>At least two panel members will normally shortlist against the person specification. They will identify gaps, inconsistencies, frequent changes, unexplained periods and information requiring clarification. Decisions and reasons are recorded. Any discrepancy must be explored before an appointment is confirmed.</w:t>
      </w:r>
    </w:p>
    <w:p>
      <w:pPr>
        <w:pStyle w:val="Heading1"/>
      </w:pPr>
      <w:r>
        <w:t>6 References</w:t>
      </w:r>
    </w:p>
    <w:p>
      <w:r>
        <w:t>The setting requires two written references wherever reasonably possible, including the applicant's current or most recent employer. The statutory minimum of at least one satisfactory written reference must be met before recruitment is completed.</w:t>
      </w:r>
    </w:p>
    <w:p>
      <w:pPr>
        <w:pStyle w:val="ListBullet"/>
        <w:spacing w:after="50"/>
      </w:pPr>
      <w:r>
        <w:t>Open references addressed 'to whom it may concern' will not be accepted.</w:t>
      </w:r>
    </w:p>
    <w:p>
      <w:pPr>
        <w:pStyle w:val="ListBullet"/>
        <w:spacing w:after="50"/>
      </w:pPr>
      <w:r>
        <w:t>Applicants will not be asked to obtain their own references; the setting contacts referees directly.</w:t>
      </w:r>
    </w:p>
    <w:p>
      <w:pPr>
        <w:pStyle w:val="ListBullet"/>
        <w:spacing w:after="50"/>
      </w:pPr>
      <w:r>
        <w:t>A referee must be a senior person with appropriate authority and must not be a family member.</w:t>
      </w:r>
    </w:p>
    <w:p>
      <w:pPr>
        <w:pStyle w:val="ListBullet"/>
        <w:spacing w:after="50"/>
      </w:pPr>
      <w:r>
        <w:t>Where the applicant currently or previously worked with children, a reference will be sought from the relevant employer and will address suitability to work with children.</w:t>
      </w:r>
    </w:p>
    <w:p>
      <w:pPr>
        <w:pStyle w:val="ListBullet"/>
        <w:spacing w:after="50"/>
      </w:pPr>
      <w:r>
        <w:t>Electronic references must come from a legitimate and verifiable source.</w:t>
      </w:r>
    </w:p>
    <w:p>
      <w:pPr>
        <w:pStyle w:val="ListBullet"/>
        <w:spacing w:after="50"/>
      </w:pPr>
      <w:r>
        <w:t>Vague information, discrepancies, safeguarding information and reasons for leaving will be clarified directly with the referee and applicant before appointment.</w:t>
      </w:r>
    </w:p>
    <w:p>
      <w:pPr>
        <w:pStyle w:val="Heading1"/>
      </w:pPr>
      <w:r>
        <w:t>7 Interview and selection</w:t>
      </w:r>
    </w:p>
    <w:p>
      <w:r>
        <w:t>Interviews use an agreed structure while allowing follow-up questions. The panel verifies identity and explores the applicant's experience, values, motivation, safeguarding knowledge, professional boundaries, employment history and any discrepancies. At least one safeguarding scenario or question will be included. Notes, scores and the reasons for the decision are retained securely.</w:t>
      </w:r>
    </w:p>
    <w:p>
      <w:pPr>
        <w:pStyle w:val="Heading1"/>
      </w:pPr>
      <w:r>
        <w:t>8 Checks required before starting</w:t>
      </w:r>
    </w:p>
    <w:p>
      <w:r>
        <w:t>Any offer is conditional. A person will not begin employment or regular volunteering until the setting has received and considered the required enhanced criminal records certificate and barred-list information. A barred-list check on its own does not permit an employee to start while the enhanced DBS certificate is outstanding.</w:t>
      </w:r>
    </w:p>
    <w:p>
      <w:r>
        <w:t>Before the start date, the setting will complete and record, as applicable:</w:t>
      </w:r>
    </w:p>
    <w:p>
      <w:pPr>
        <w:pStyle w:val="ListBullet"/>
        <w:spacing w:after="50"/>
      </w:pPr>
      <w:r>
        <w:t>identity verification and proof of address</w:t>
      </w:r>
    </w:p>
    <w:p>
      <w:pPr>
        <w:pStyle w:val="ListBullet"/>
        <w:spacing w:after="50"/>
      </w:pPr>
      <w:r>
        <w:t>the correct enhanced DBS and children's barred-list check</w:t>
      </w:r>
    </w:p>
    <w:p>
      <w:pPr>
        <w:pStyle w:val="ListBullet"/>
        <w:spacing w:after="50"/>
      </w:pPr>
      <w:r>
        <w:t>right-to-work checks</w:t>
      </w:r>
    </w:p>
    <w:p>
      <w:pPr>
        <w:pStyle w:val="ListBullet"/>
        <w:spacing w:after="50"/>
      </w:pPr>
      <w:r>
        <w:t>verification of qualifications and any role-specific requirements</w:t>
      </w:r>
    </w:p>
    <w:p>
      <w:pPr>
        <w:pStyle w:val="ListBullet"/>
        <w:spacing w:after="50"/>
      </w:pPr>
      <w:r>
        <w:t>at least one satisfactory written reference, with the setting's usual expectation being two</w:t>
      </w:r>
    </w:p>
    <w:p>
      <w:pPr>
        <w:pStyle w:val="ListBullet"/>
        <w:spacing w:after="50"/>
      </w:pPr>
      <w:r>
        <w:t>full employment history and satisfactory explanations for gaps or discrepancies</w:t>
      </w:r>
    </w:p>
    <w:p>
      <w:pPr>
        <w:pStyle w:val="ListBullet"/>
        <w:spacing w:after="50"/>
      </w:pPr>
      <w:r>
        <w:t>health information sufficient to establish capability to perform the role, with reasonable adjustments considered</w:t>
      </w:r>
    </w:p>
    <w:p>
      <w:pPr>
        <w:pStyle w:val="ListBullet"/>
        <w:spacing w:after="50"/>
      </w:pPr>
      <w:r>
        <w:t>additional checks for anyone who has lived or worked outside the United Kingdom</w:t>
      </w:r>
    </w:p>
    <w:p>
      <w:pPr>
        <w:pStyle w:val="ListBullet"/>
        <w:spacing w:after="50"/>
      </w:pPr>
      <w:r>
        <w:t>any other checks required for the role, including disqualification requirements where applicable</w:t>
      </w:r>
    </w:p>
    <w:p>
      <w:pPr>
        <w:pStyle w:val="Heading1"/>
      </w:pPr>
      <w:r>
        <w:t>9 DBS Update Service</w:t>
      </w:r>
    </w:p>
    <w:p>
      <w:r>
        <w:t>An existing DBS certificate may be checked through the DBS Update Service only with the person's consent and where the certificate is for the correct workforce, level and barred-list status. Identity and the original certificate must be checked. If the Update Service shows a change, or the certificate is not suitable for the role, a new enhanced DBS check must be obtained. The check and outcome are recorded.</w:t>
      </w:r>
    </w:p>
    <w:p>
      <w:pPr>
        <w:pStyle w:val="Heading1"/>
      </w:pPr>
      <w:r>
        <w:t>10 Volunteers, students and occasional helpers</w:t>
      </w:r>
    </w:p>
    <w:p>
      <w:r>
        <w:t>Regular volunteers and students are recruited with the same safeguarding focus as paid staff. The required enhanced DBS and barred-list information must be received before they begin, and they receive role-appropriate references, checks, induction and supervision.</w:t>
      </w:r>
    </w:p>
    <w:p>
      <w:r>
        <w:t>A supervised volunteer who helps only occasionally, such as a parent helping on a day trip, may fall within the limited statutory exception. The Manager will make and record an individual risk assessment. This exception will not be used for overnight activity, personal care, frequent volunteering or any unsupervised contact with children. Occasional helpers remain subject to identity checks, clear conduct expectations, direct supervision and safeguarding briefing.</w:t>
      </w:r>
    </w:p>
    <w:p>
      <w:pPr>
        <w:pStyle w:val="Heading1"/>
      </w:pPr>
      <w:r>
        <w:t>11 Suitability disclosures and ongoing suitability</w:t>
      </w:r>
    </w:p>
    <w:p>
      <w:r>
        <w:t>Staff and prospective staff must tell the setting about any information that may affect their suitability to work with children. This includes, but is not limited to, arrests, charges, convictions, cautions, court orders, reprimands and warnings arising before or during employment. Information will be considered fairly, confidentially and in relation to the role and children's safety.</w:t>
      </w:r>
    </w:p>
    <w:p>
      <w:r>
        <w:t>Suitability remains under review through probation, induction, supervision, appraisal, staff conduct expectations and prompt action on concerns. A new DBS check or risk assessment will be completed where required. Failure to disclose relevant information may lead to disciplinary action.</w:t>
      </w:r>
    </w:p>
    <w:p>
      <w:pPr>
        <w:pStyle w:val="Heading1"/>
      </w:pPr>
      <w:r>
        <w:t>12 Recruitment and vetting records</w:t>
      </w:r>
    </w:p>
    <w:p>
      <w:r>
        <w:t>The setting maintains a central recruitment record. For each relevant person it records qualifications, identity checks, right-to-work evidence, references, vetting processes, the DBS certificate reference number, the date the check was obtained and who completed it. The Manager checks that every required item is complete before confirming a start date.</w:t>
      </w:r>
    </w:p>
    <w:p>
      <w:r>
        <w:t>Recruitment documentation is stored securely, accessed only by authorised people, retained for the appropriate period and disposed of securely in line with the Record Keeping and Data Protection Policy.</w:t>
      </w:r>
    </w:p>
    <w:p>
      <w:pPr>
        <w:pStyle w:val="Heading1"/>
      </w:pPr>
      <w:r>
        <w:t>13 Induction and probation</w:t>
      </w:r>
    </w:p>
    <w:p>
      <w:r>
        <w:t>Before working directly with children, new staff and volunteers receive an induction appropriate to their role. This includes safeguarding and child protection, reporting and recording concerns, the Staff Code of Conduct, whistleblowing, allegations and low-level concerns, confidentiality, online safety, use of devices, health and safety, emergency procedures and the setting's expectations for professional behaviour.</w:t>
      </w:r>
    </w:p>
    <w:p>
      <w:r>
        <w:t>Induction is recorded. The probation process reviews conduct, safeguarding understanding, relationships with children, reliability, performance and training needs. A completed DBS check does not replace ongoing professional vigilance.</w:t>
      </w:r>
    </w:p>
    <w:p>
      <w:pPr>
        <w:pStyle w:val="Heading1"/>
      </w:pPr>
      <w:r>
        <w:t>14 Concerns, allegations and referrals</w:t>
      </w:r>
    </w:p>
    <w:p>
      <w:r>
        <w:t>Any concern about the conduct or suitability of an applicant, employee, student or volunteer will be acted on promptly under the Safeguarding and Child Protection Policy. The Manager or Chair will seek advice from the North Yorkshire LADO where the allegation or suitability threshold may be met. Ofsted will be notified where required.</w:t>
      </w:r>
    </w:p>
    <w:p>
      <w:r>
        <w:t>The setting will make a Disclosure and Barring Service referral where the legal criteria are met, including where a person is removed from regulated activity, or would have been removed had they not resigned or otherwise left, because they harmed a child or posed a risk of harm. Resignation or withdrawal from the process will not prevent safeguarding action.</w:t>
      </w:r>
    </w:p>
    <w:p>
      <w:pPr>
        <w:pStyle w:val="Heading1"/>
      </w:pPr>
      <w:r>
        <w:t>15 Monitoring, review and adoption</w:t>
      </w:r>
    </w:p>
    <w:p>
      <w:r>
        <w:t>The Manager and committee review this policy annually and sooner after statutory change, revised local guidance, a recruitment concern or learning from an incident. Recruitment practice and records will be sampled as part of safeguarding oversight.</w:t>
      </w:r>
    </w:p>
    <w:tbl>
      <w:tblPr>
        <w:tblW w:type="auto" w:w="0"/>
        <w:jc w:val="center"/>
        <w:tblLayout w:type="fixed"/>
        <w:tblLook w:firstColumn="1" w:firstRow="1" w:lastColumn="0" w:lastRow="0" w:noHBand="0" w:noVBand="1" w:val="04A0"/>
      </w:tblPr>
      <w:tblGrid>
        <w:gridCol w:w="5083"/>
        <w:gridCol w:w="5083"/>
      </w:tblGrid>
      <w:tr>
        <w:tc>
          <w:tcPr>
            <w:tcW w:type="dxa" w:w="3168"/>
            <w:shd w:fill="E9E9E9"/>
            <w:tcMar>
              <w:top w:w="120" w:type="dxa"/>
              <w:start w:w="110" w:type="dxa"/>
              <w:bottom w:w="120" w:type="dxa"/>
              <w:end w:w="110" w:type="dxa"/>
            </w:tcMar>
          </w:tcPr>
          <w:p>
            <w:pPr>
              <w:spacing w:after="0"/>
            </w:pPr>
            <w:r/>
            <w:r>
              <w:rPr>
                <w:rFonts w:ascii="Aptos" w:hAnsi="Aptos"/>
                <w:b/>
                <w:sz w:val="19"/>
              </w:rPr>
              <w:t>Manager</w:t>
            </w:r>
          </w:p>
        </w:tc>
        <w:tc>
          <w:tcPr>
            <w:tcW w:type="dxa" w:w="6552"/>
            <w:tcMar>
              <w:top w:w="120" w:type="dxa"/>
              <w:start w:w="110" w:type="dxa"/>
              <w:bottom w:w="120" w:type="dxa"/>
              <w:end w:w="110" w:type="dxa"/>
            </w:tcMar>
          </w:tcPr>
          <w:p>
            <w:pPr>
              <w:spacing w:after="0"/>
            </w:pPr>
            <w:r/>
            <w:r>
              <w:rPr>
                <w:rFonts w:ascii="Aptos" w:hAnsi="Aptos"/>
                <w:b w:val="0"/>
                <w:sz w:val="19"/>
              </w:rPr>
              <w:t>Summer Andrews</w:t>
            </w:r>
          </w:p>
        </w:tc>
      </w:tr>
      <w:tr>
        <w:tc>
          <w:tcPr>
            <w:tcW w:type="dxa" w:w="3168"/>
            <w:shd w:fill="E9E9E9"/>
            <w:tcMar>
              <w:top w:w="120" w:type="dxa"/>
              <w:start w:w="110" w:type="dxa"/>
              <w:bottom w:w="120" w:type="dxa"/>
              <w:end w:w="110" w:type="dxa"/>
            </w:tcMar>
          </w:tcPr>
          <w:p>
            <w:pPr>
              <w:spacing w:after="0"/>
            </w:pPr>
            <w:r/>
            <w:r>
              <w:rPr>
                <w:rFonts w:ascii="Aptos" w:hAnsi="Aptos"/>
                <w:b/>
                <w:sz w:val="19"/>
              </w:rPr>
              <w:t>Deputy Manager</w:t>
            </w:r>
          </w:p>
        </w:tc>
        <w:tc>
          <w:tcPr>
            <w:tcW w:type="dxa" w:w="6552"/>
            <w:tcMar>
              <w:top w:w="120" w:type="dxa"/>
              <w:start w:w="110" w:type="dxa"/>
              <w:bottom w:w="120" w:type="dxa"/>
              <w:end w:w="110" w:type="dxa"/>
            </w:tcMar>
          </w:tcPr>
          <w:p>
            <w:pPr>
              <w:spacing w:after="0"/>
            </w:pPr>
            <w:r/>
            <w:r>
              <w:rPr>
                <w:rFonts w:ascii="Aptos" w:hAnsi="Aptos"/>
                <w:b w:val="0"/>
                <w:sz w:val="19"/>
              </w:rPr>
              <w:t>Jane Dodsworth</w:t>
            </w:r>
          </w:p>
        </w:tc>
      </w:tr>
      <w:tr>
        <w:tc>
          <w:tcPr>
            <w:tcW w:type="dxa" w:w="3168"/>
            <w:shd w:fill="E9E9E9"/>
            <w:tcMar>
              <w:top w:w="120" w:type="dxa"/>
              <w:start w:w="110" w:type="dxa"/>
              <w:bottom w:w="120" w:type="dxa"/>
              <w:end w:w="110" w:type="dxa"/>
            </w:tcMar>
          </w:tcPr>
          <w:p>
            <w:pPr>
              <w:spacing w:after="0"/>
            </w:pPr>
            <w:r/>
            <w:r>
              <w:rPr>
                <w:rFonts w:ascii="Aptos" w:hAnsi="Aptos"/>
                <w:b/>
                <w:sz w:val="19"/>
              </w:rPr>
              <w:t>Chairperson</w:t>
            </w:r>
          </w:p>
        </w:tc>
        <w:tc>
          <w:tcPr>
            <w:tcW w:type="dxa" w:w="6552"/>
            <w:tcMar>
              <w:top w:w="120" w:type="dxa"/>
              <w:start w:w="110" w:type="dxa"/>
              <w:bottom w:w="120" w:type="dxa"/>
              <w:end w:w="110" w:type="dxa"/>
            </w:tcMar>
          </w:tcPr>
          <w:p>
            <w:pPr>
              <w:spacing w:after="0"/>
            </w:pPr>
            <w:r/>
            <w:r>
              <w:rPr>
                <w:rFonts w:ascii="Aptos" w:hAnsi="Aptos"/>
                <w:b w:val="0"/>
                <w:sz w:val="19"/>
              </w:rPr>
              <w:t>Gemma Howard</w:t>
            </w:r>
          </w:p>
        </w:tc>
      </w:tr>
      <w:tr>
        <w:tc>
          <w:tcPr>
            <w:tcW w:type="dxa" w:w="3168"/>
            <w:shd w:fill="E9E9E9"/>
            <w:tcMar>
              <w:top w:w="120" w:type="dxa"/>
              <w:start w:w="110" w:type="dxa"/>
              <w:bottom w:w="120" w:type="dxa"/>
              <w:end w:w="110" w:type="dxa"/>
            </w:tcMar>
          </w:tcPr>
          <w:p>
            <w:pPr>
              <w:spacing w:after="0"/>
            </w:pPr>
            <w:r/>
            <w:r>
              <w:rPr>
                <w:rFonts w:ascii="Aptos" w:hAnsi="Aptos"/>
                <w:b/>
                <w:sz w:val="19"/>
              </w:rPr>
              <w:t>Review date</w:t>
            </w:r>
          </w:p>
        </w:tc>
        <w:tc>
          <w:tcPr>
            <w:tcW w:type="dxa" w:w="6552"/>
            <w:tcMar>
              <w:top w:w="120" w:type="dxa"/>
              <w:start w:w="110" w:type="dxa"/>
              <w:bottom w:w="120" w:type="dxa"/>
              <w:end w:w="110" w:type="dxa"/>
            </w:tcMar>
          </w:tcPr>
          <w:p>
            <w:pPr>
              <w:spacing w:after="0"/>
            </w:pPr>
            <w:r/>
            <w:r>
              <w:rPr>
                <w:rFonts w:ascii="Aptos" w:hAnsi="Aptos"/>
                <w:b w:val="0"/>
                <w:sz w:val="19"/>
              </w:rPr>
              <w:t>September 2027</w:t>
            </w:r>
          </w:p>
        </w:tc>
      </w:tr>
    </w:tbl>
    <w:p>
      <w:r>
        <w:t>Adopted at committee meeting: ____________________________________</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5A5A5A"/>
        <w:sz w:val="16"/>
      </w:rPr>
      <w:t xml:space="preserve">Safer Recruitment Policy   |   September 2026   |   </w:t>
    </w: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822020"/>
        <w:sz w:val="16"/>
      </w:rPr>
      <w:t>HEMINGBROUGH PRE-SCHOOL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0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0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Safer Recruitment Policy</dc:title>
  <dc:subject>Hemingbrough Pre-School policy effective September 2026</dc:subject>
  <dc:creator>Hemingbrough Pre-School</dc:creator>
  <cp:keywords/>
  <dc:description>generated by python-docx</dc:description>
  <cp:lastModifiedBy/>
  <cp:revision>1</cp:revision>
  <dcterms:created xsi:type="dcterms:W3CDTF">2013-12-23T23:15:00Z</dcterms:created>
  <dcterms:modified xsi:type="dcterms:W3CDTF">2013-12-23T23:15:00Z</dcterms:modified>
  <cp:category/>
</cp:coreProperties>
</file>