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Whistleblowing Policy</w:t>
      </w:r>
    </w:p>
    <w:p>
      <w:pPr>
        <w:spacing w:after="200"/>
        <w:jc w:val="center"/>
      </w:pPr>
      <w:r>
        <w:rPr>
          <w:b/>
          <w:color w:val="8A2020"/>
          <w:sz w:val="22"/>
        </w:rPr>
        <w:t>Effective from September 2026</w:t>
      </w:r>
    </w:p>
    <w:tbl>
      <w:tblPr>
        <w:tblW w:type="auto" w:w="0"/>
        <w:jc w:val="center"/>
        <w:tblLayout w:type="fixed"/>
        <w:tblLook w:firstColumn="1" w:firstRow="1" w:lastColumn="0" w:lastRow="0" w:noHBand="0" w:noVBand="1" w:val="04A0"/>
      </w:tblPr>
      <w:tblGrid>
        <w:gridCol w:w="4933"/>
        <w:gridCol w:w="4933"/>
      </w:tblGrid>
      <w:tr>
        <w:tc>
          <w:tcPr>
            <w:tcW w:type="dxa" w:w="3096"/>
            <w:vAlign w:val="center"/>
            <w:shd w:fill="8A2020"/>
            <w:tcMar>
              <w:top w:w="85" w:type="dxa"/>
              <w:start w:w="105" w:type="dxa"/>
              <w:bottom w:w="85" w:type="dxa"/>
              <w:end w:w="105" w:type="dxa"/>
            </w:tcMar>
          </w:tcPr>
          <w:p>
            <w:pPr>
              <w:spacing w:after="0"/>
            </w:pPr>
            <w:r/>
            <w:r>
              <w:rPr>
                <w:rFonts w:ascii="Aptos" w:hAnsi="Aptos"/>
                <w:b/>
                <w:color w:val="FFFFFF"/>
                <w:sz w:val="18"/>
              </w:rPr>
              <w:t>Setting</w:t>
            </w:r>
          </w:p>
        </w:tc>
        <w:tc>
          <w:tcPr>
            <w:tcW w:type="dxa" w:w="6653"/>
            <w:vAlign w:val="center"/>
            <w:shd w:fill="F7F2F0"/>
            <w:tcMar>
              <w:top w:w="85" w:type="dxa"/>
              <w:start w:w="105" w:type="dxa"/>
              <w:bottom w:w="85" w:type="dxa"/>
              <w:end w:w="105" w:type="dxa"/>
            </w:tcMar>
          </w:tcPr>
          <w:p>
            <w:pPr>
              <w:spacing w:after="0"/>
            </w:pPr>
            <w:r/>
            <w:r>
              <w:rPr>
                <w:rFonts w:ascii="Aptos" w:hAnsi="Aptos"/>
                <w:b w:val="0"/>
                <w:sz w:val="18"/>
              </w:rPr>
              <w:t>Hemingbrough Pre-School</w:t>
            </w:r>
          </w:p>
        </w:tc>
      </w:tr>
      <w:tr>
        <w:tc>
          <w:tcPr>
            <w:tcW w:type="dxa" w:w="3096"/>
            <w:vAlign w:val="center"/>
            <w:shd w:fill="8A2020"/>
            <w:tcMar>
              <w:top w:w="85" w:type="dxa"/>
              <w:start w:w="105" w:type="dxa"/>
              <w:bottom w:w="85" w:type="dxa"/>
              <w:end w:w="105" w:type="dxa"/>
            </w:tcMar>
          </w:tcPr>
          <w:p>
            <w:pPr>
              <w:spacing w:after="0"/>
            </w:pPr>
            <w:r/>
            <w:r>
              <w:rPr>
                <w:rFonts w:ascii="Aptos" w:hAnsi="Aptos"/>
                <w:b/>
                <w:color w:val="FFFFFF"/>
                <w:sz w:val="18"/>
              </w:rPr>
              <w:t>Ofsted registration</w:t>
            </w:r>
          </w:p>
        </w:tc>
        <w:tc>
          <w:tcPr>
            <w:tcW w:type="dxa" w:w="6653"/>
            <w:vAlign w:val="center"/>
            <w:shd w:fill="FFFFFF"/>
            <w:tcMar>
              <w:top w:w="85" w:type="dxa"/>
              <w:start w:w="105" w:type="dxa"/>
              <w:bottom w:w="85" w:type="dxa"/>
              <w:end w:w="105" w:type="dxa"/>
            </w:tcMar>
          </w:tcPr>
          <w:p>
            <w:pPr>
              <w:spacing w:after="0"/>
            </w:pPr>
            <w:r/>
            <w:r>
              <w:rPr>
                <w:rFonts w:ascii="Aptos" w:hAnsi="Aptos"/>
                <w:b w:val="0"/>
                <w:sz w:val="18"/>
              </w:rPr>
              <w:t>EY400250</w:t>
            </w:r>
          </w:p>
        </w:tc>
      </w:tr>
      <w:tr>
        <w:tc>
          <w:tcPr>
            <w:tcW w:type="dxa" w:w="3096"/>
            <w:vAlign w:val="center"/>
            <w:shd w:fill="8A2020"/>
            <w:tcMar>
              <w:top w:w="85" w:type="dxa"/>
              <w:start w:w="105" w:type="dxa"/>
              <w:bottom w:w="85" w:type="dxa"/>
              <w:end w:w="105" w:type="dxa"/>
            </w:tcMar>
          </w:tcPr>
          <w:p>
            <w:pPr>
              <w:spacing w:after="0"/>
            </w:pPr>
            <w:r/>
            <w:r>
              <w:rPr>
                <w:rFonts w:ascii="Aptos" w:hAnsi="Aptos"/>
                <w:b/>
                <w:color w:val="FFFFFF"/>
                <w:sz w:val="18"/>
              </w:rPr>
              <w:t>Manager and DSL</w:t>
            </w:r>
          </w:p>
        </w:tc>
        <w:tc>
          <w:tcPr>
            <w:tcW w:type="dxa" w:w="6653"/>
            <w:vAlign w:val="center"/>
            <w:shd w:fill="F7F2F0"/>
            <w:tcMar>
              <w:top w:w="85" w:type="dxa"/>
              <w:start w:w="105" w:type="dxa"/>
              <w:bottom w:w="85" w:type="dxa"/>
              <w:end w:w="105" w:type="dxa"/>
            </w:tcMar>
          </w:tcPr>
          <w:p>
            <w:pPr>
              <w:spacing w:after="0"/>
            </w:pPr>
            <w:r/>
            <w:r>
              <w:rPr>
                <w:rFonts w:ascii="Aptos" w:hAnsi="Aptos"/>
                <w:b w:val="0"/>
                <w:sz w:val="18"/>
              </w:rPr>
              <w:t>Summer Andrews</w:t>
            </w:r>
          </w:p>
        </w:tc>
      </w:tr>
      <w:tr>
        <w:tc>
          <w:tcPr>
            <w:tcW w:type="dxa" w:w="3096"/>
            <w:vAlign w:val="center"/>
            <w:shd w:fill="8A2020"/>
            <w:tcMar>
              <w:top w:w="85" w:type="dxa"/>
              <w:start w:w="105" w:type="dxa"/>
              <w:bottom w:w="85" w:type="dxa"/>
              <w:end w:w="105" w:type="dxa"/>
            </w:tcMar>
          </w:tcPr>
          <w:p>
            <w:pPr>
              <w:spacing w:after="0"/>
            </w:pPr>
            <w:r/>
            <w:r>
              <w:rPr>
                <w:rFonts w:ascii="Aptos" w:hAnsi="Aptos"/>
                <w:b/>
                <w:color w:val="FFFFFF"/>
                <w:sz w:val="18"/>
              </w:rPr>
              <w:t>Deputy Manager and DDSL</w:t>
            </w:r>
          </w:p>
        </w:tc>
        <w:tc>
          <w:tcPr>
            <w:tcW w:type="dxa" w:w="6653"/>
            <w:vAlign w:val="center"/>
            <w:shd w:fill="FFFFFF"/>
            <w:tcMar>
              <w:top w:w="85" w:type="dxa"/>
              <w:start w:w="105" w:type="dxa"/>
              <w:bottom w:w="85" w:type="dxa"/>
              <w:end w:w="105" w:type="dxa"/>
            </w:tcMar>
          </w:tcPr>
          <w:p>
            <w:pPr>
              <w:spacing w:after="0"/>
            </w:pPr>
            <w:r/>
            <w:r>
              <w:rPr>
                <w:rFonts w:ascii="Aptos" w:hAnsi="Aptos"/>
                <w:b w:val="0"/>
                <w:sz w:val="18"/>
              </w:rPr>
              <w:t>Jane Dodsworth</w:t>
            </w:r>
          </w:p>
        </w:tc>
      </w:tr>
      <w:tr>
        <w:tc>
          <w:tcPr>
            <w:tcW w:type="dxa" w:w="3096"/>
            <w:vAlign w:val="center"/>
            <w:shd w:fill="8A2020"/>
            <w:tcMar>
              <w:top w:w="85" w:type="dxa"/>
              <w:start w:w="105" w:type="dxa"/>
              <w:bottom w:w="85" w:type="dxa"/>
              <w:end w:w="105" w:type="dxa"/>
            </w:tcMar>
          </w:tcPr>
          <w:p>
            <w:pPr>
              <w:spacing w:after="0"/>
            </w:pPr>
            <w:r/>
            <w:r>
              <w:rPr>
                <w:rFonts w:ascii="Aptos" w:hAnsi="Aptos"/>
                <w:b/>
                <w:color w:val="FFFFFF"/>
                <w:sz w:val="18"/>
              </w:rPr>
              <w:t>Chairperson</w:t>
            </w:r>
          </w:p>
        </w:tc>
        <w:tc>
          <w:tcPr>
            <w:tcW w:type="dxa" w:w="6653"/>
            <w:vAlign w:val="center"/>
            <w:shd w:fill="F7F2F0"/>
            <w:tcMar>
              <w:top w:w="85" w:type="dxa"/>
              <w:start w:w="105" w:type="dxa"/>
              <w:bottom w:w="85" w:type="dxa"/>
              <w:end w:w="105" w:type="dxa"/>
            </w:tcMar>
          </w:tcPr>
          <w:p>
            <w:pPr>
              <w:spacing w:after="0"/>
            </w:pPr>
            <w:r/>
            <w:r>
              <w:rPr>
                <w:rFonts w:ascii="Aptos" w:hAnsi="Aptos"/>
                <w:b w:val="0"/>
                <w:sz w:val="18"/>
              </w:rPr>
              <w:t>Gemma Howard</w:t>
            </w:r>
          </w:p>
        </w:tc>
      </w:tr>
    </w:tbl>
    <w:p>
      <w:pPr>
        <w:pStyle w:val="Heading1"/>
      </w:pPr>
      <w:r>
        <w:t>1 Policy statement</w:t>
      </w:r>
    </w:p>
    <w:p>
      <w:r>
        <w:t>Hemingbrough Pre-School is committed to a culture in which concerns about poor, unsafe or unlawful practice are raised promptly, listened to and acted on. The welfare of children is paramount. No one should wait for proof before reporting a genuine concern.</w:t>
      </w:r>
    </w:p>
    <w:p>
      <w:r>
        <w:t>This procedure applies to all staff, apprentices, students, volunteers, committee members, agency staff and contractors. Everyone covered by it will be made aware of the procedure through induction, safeguarding training and supervision.</w:t>
      </w:r>
    </w:p>
    <w:p>
      <w:pPr>
        <w:pStyle w:val="Heading1"/>
      </w:pPr>
      <w:r>
        <w:t>2 What whistleblowing means</w:t>
      </w:r>
    </w:p>
    <w:p>
      <w:r>
        <w:t>Whistleblowing is raising a concern in the public interest about wrongdoing, risk, poor practice or unsafe practice within or connected to the setting. It is different from a personal employment grievance. A grievance concerns the individual's own employment position and should normally follow the Grievance Procedure. A safeguarding concern about a child, or an allegation about an adult, must also follow the Safeguarding and Child Protection Policy without delay.</w:t>
      </w:r>
    </w:p>
    <w:p>
      <w:r>
        <w:t>Concerns may include:</w:t>
      </w:r>
    </w:p>
    <w:p>
      <w:pPr>
        <w:pStyle w:val="ListBullet"/>
        <w:spacing w:after="44"/>
      </w:pPr>
      <w:r>
        <w:t>a child being harmed, placed at risk of harm or inadequately safeguarded</w:t>
      </w:r>
    </w:p>
    <w:p>
      <w:pPr>
        <w:pStyle w:val="ListBullet"/>
        <w:spacing w:after="44"/>
      </w:pPr>
      <w:r>
        <w:t>conduct that may be a criminal offence or indicates an adult may be unsuitable to work with children</w:t>
      </w:r>
    </w:p>
    <w:p>
      <w:pPr>
        <w:pStyle w:val="ListBullet"/>
        <w:spacing w:after="44"/>
      </w:pPr>
      <w:r>
        <w:t>a breach of the EYFS, registration conditions, safeguarding procedures or professional boundaries</w:t>
      </w:r>
    </w:p>
    <w:p>
      <w:pPr>
        <w:pStyle w:val="ListBullet"/>
        <w:spacing w:after="44"/>
      </w:pPr>
      <w:r>
        <w:t>unsafe staffing, supervision, premises, record keeping, use of devices or other working practices</w:t>
      </w:r>
    </w:p>
    <w:p>
      <w:pPr>
        <w:pStyle w:val="ListBullet"/>
        <w:spacing w:after="44"/>
      </w:pPr>
      <w:r>
        <w:t>bullying, discrimination, fraud, dishonesty, concealment of wrongdoing or pressure not to report a concern</w:t>
      </w:r>
    </w:p>
    <w:p>
      <w:pPr>
        <w:pStyle w:val="Heading1"/>
      </w:pPr>
      <w:r>
        <w:t>3 Principles and protection</w:t>
      </w:r>
    </w:p>
    <w:p>
      <w:pPr>
        <w:pStyle w:val="ListBullet"/>
        <w:spacing w:after="44"/>
      </w:pPr>
      <w:r>
        <w:t>Concerns will be taken seriously, assessed promptly and handled sensitively.</w:t>
      </w:r>
    </w:p>
    <w:p>
      <w:pPr>
        <w:pStyle w:val="ListBullet"/>
        <w:spacing w:after="44"/>
      </w:pPr>
      <w:r>
        <w:t>The person raising the concern is not expected to investigate or prove it; they must have an honest and reasonable basis for raising it.</w:t>
      </w:r>
    </w:p>
    <w:p>
      <w:pPr>
        <w:pStyle w:val="ListBullet"/>
        <w:spacing w:after="44"/>
      </w:pPr>
      <w:r>
        <w:t>A genuine concern that is not substantiated will not lead to disciplinary action.</w:t>
      </w:r>
    </w:p>
    <w:p>
      <w:pPr>
        <w:pStyle w:val="ListBullet"/>
        <w:spacing w:after="44"/>
      </w:pPr>
      <w:r>
        <w:t>The setting will not tolerate harassment, victimisation or other detrimental treatment because someone raised or supported a genuine concern.</w:t>
      </w:r>
    </w:p>
    <w:p>
      <w:pPr>
        <w:pStyle w:val="ListBullet"/>
        <w:spacing w:after="44"/>
      </w:pPr>
      <w:r>
        <w:t>Knowingly false or malicious allegations may be addressed under disciplinary procedures, but an honest mistake is not malicious.</w:t>
      </w:r>
    </w:p>
    <w:p>
      <w:pPr>
        <w:pStyle w:val="Heading1"/>
      </w:pPr>
      <w:r>
        <w:t>4 Confidentiality and anonymous reports</w:t>
      </w:r>
    </w:p>
    <w:p>
      <w:r>
        <w:t>The setting will protect the reporter's identity as far as possible. Absolute secrecy cannot be promised because information may need to be shared to protect a child, obtain advice, meet legal duties or ensure a fair process. Information will be shared only with people who need it. Anonymous concerns will be considered, although anonymity can make clarification and feedback more difficult.</w:t>
      </w:r>
    </w:p>
    <w:p>
      <w:pPr>
        <w:pStyle w:val="Heading1"/>
      </w:pPr>
      <w:r>
        <w:t>5 When and how to raise a concern</w:t>
      </w:r>
    </w:p>
    <w:p>
      <w:r>
        <w:t>Raise the concern as soon as possible. If a child is in immediate danger, call 999 and then inform the DSL or Chair. Do not delay because the information is incomplete, do not confront the person concerned, and do not carry out your own investigation.</w:t>
      </w:r>
    </w:p>
    <w:p>
      <w:pPr>
        <w:pStyle w:val="ListBullet"/>
        <w:spacing w:after="44"/>
      </w:pPr>
      <w:r>
        <w:t>Concern about another member of staff, student, volunteer or practice in the setting: report to Summer Andrews, Manager and DSL.</w:t>
      </w:r>
    </w:p>
    <w:p>
      <w:pPr>
        <w:pStyle w:val="ListBullet"/>
        <w:spacing w:after="44"/>
      </w:pPr>
      <w:r>
        <w:t>If Summer Andrews is unavailable: report to Jane Dodsworth, Deputy Manager and DDSL.</w:t>
      </w:r>
    </w:p>
    <w:p>
      <w:pPr>
        <w:pStyle w:val="ListBullet"/>
        <w:spacing w:after="44"/>
      </w:pPr>
      <w:r>
        <w:t>Concern about the Manager/DSL, or a concern the Manager cannot manage impartially: report to Gemma Howard, Chairperson.</w:t>
      </w:r>
    </w:p>
    <w:p>
      <w:pPr>
        <w:pStyle w:val="ListBullet"/>
        <w:spacing w:after="44"/>
      </w:pPr>
      <w:r>
        <w:t>Concern about the Chairperson, inability to use an internal route safely, or a genuine concern not addressed: contact the appropriate external body in section 8.</w:t>
      </w:r>
    </w:p>
    <w:p>
      <w:r>
        <w:t>A concern may be raised verbally or in writing. A written report is helpful but is not a condition of action. State the facts as clearly as possible: what happened, when and where, who was involved, any witnesses, why it is concerning, and any immediate risk. Separate fact from opinion and keep any relevant evidence secure.</w:t>
      </w:r>
    </w:p>
    <w:p>
      <w:pPr>
        <w:pStyle w:val="Heading1"/>
      </w:pPr>
      <w:r>
        <w:t>6 What happens after a concern is reported</w:t>
      </w:r>
    </w:p>
    <w:p>
      <w:pPr>
        <w:pStyle w:val="ListNumber"/>
        <w:spacing w:after="44"/>
      </w:pPr>
      <w:r>
        <w:t>The recipient listens without judgement, confirms immediate safety and makes a dated, factual record. The reporter is told who will manage the concern.</w:t>
      </w:r>
    </w:p>
    <w:p>
      <w:pPr>
        <w:pStyle w:val="ListNumber"/>
        <w:spacing w:after="44"/>
      </w:pPr>
      <w:r>
        <w:t>Immediate steps are taken to protect children, preserve evidence and prevent further risk. Confidentiality is maintained on a need-to-know basis.</w:t>
      </w:r>
    </w:p>
    <w:p>
      <w:pPr>
        <w:pStyle w:val="ListNumber"/>
        <w:spacing w:after="44"/>
      </w:pPr>
      <w:r>
        <w:t>The concern is assessed promptly to identify the correct route: child protection, allegation about an adult, low-level concern, disciplinary matter, health and safety matter, or another formal process.</w:t>
      </w:r>
    </w:p>
    <w:p>
      <w:pPr>
        <w:pStyle w:val="ListNumber"/>
        <w:spacing w:after="44"/>
      </w:pPr>
      <w:r>
        <w:t>Where an allegation may meet the harm or suitability threshold, the Manager or Chair contacts the North Yorkshire LADO within one working day. The setting will not investigate or question the person concerned before LADO advice, except to establish the basic facts needed to safeguard a child.</w:t>
      </w:r>
    </w:p>
    <w:p>
      <w:pPr>
        <w:pStyle w:val="ListNumber"/>
        <w:spacing w:after="44"/>
      </w:pPr>
      <w:r>
        <w:t>Children's Social Care, police, Ofsted, the Disclosure and Barring Service or another authority will be contacted where required. Ofsted will be told of allegations of harm or abuse and the action taken as soon as reasonably practicable and in all cases within 14 days.</w:t>
      </w:r>
    </w:p>
    <w:p>
      <w:pPr>
        <w:pStyle w:val="ListNumber"/>
        <w:spacing w:after="44"/>
      </w:pPr>
      <w:r>
        <w:t>The concern is examined by an appropriate person who is sufficiently independent. Actions, decisions, advice, referrals and outcomes are recorded securely.</w:t>
      </w:r>
    </w:p>
    <w:p>
      <w:pPr>
        <w:pStyle w:val="ListNumber"/>
        <w:spacing w:after="44"/>
      </w:pPr>
      <w:r>
        <w:t>The reporter receives an acknowledgement and, where lawful and appropriate, an indication of progress and whether the matter has been addressed. Confidential personnel or safeguarding details may not be disclosed.</w:t>
      </w:r>
    </w:p>
    <w:p>
      <w:pPr>
        <w:pStyle w:val="ListNumber"/>
        <w:spacing w:after="44"/>
      </w:pPr>
      <w:r>
        <w:t>If the reporter reasonably believes the response is inadequate or the risk remains, they should escalate through section 8 without delay.</w:t>
      </w:r>
    </w:p>
    <w:p>
      <w:pPr>
        <w:pStyle w:val="Heading1"/>
      </w:pPr>
      <w:r>
        <w:t>7 Records and information sharing</w:t>
      </w:r>
    </w:p>
    <w:p>
      <w:r>
        <w:t>Whistleblowing records will be factual, dated, securely stored and restricted to authorised people. They will include the concern, immediate risk assessment, advice sought, decisions, actions, outcome and feedback given. Records concerning children or allegations about adults will be retained and shared in accordance with the Safeguarding and Child Protection Policy, data protection requirements and applicable statutory guidance.</w:t>
      </w:r>
    </w:p>
    <w:p>
      <w:r>
        <w:br w:type="page"/>
      </w:r>
    </w:p>
    <w:p>
      <w:pPr>
        <w:pStyle w:val="Heading1"/>
      </w:pPr>
      <w:r>
        <w:t>8 External reporting and advice</w:t>
      </w:r>
    </w:p>
    <w:p>
      <w:r>
        <w:t>Use the body relevant to the concern. External reporting does not remove the need to take immediate action to protect a child.</w:t>
      </w:r>
    </w:p>
    <w:tbl>
      <w:tblPr>
        <w:tblW w:type="auto" w:w="0"/>
        <w:jc w:val="center"/>
        <w:tblLayout w:type="fixed"/>
        <w:tblLook w:firstColumn="1" w:firstRow="1" w:lastColumn="0" w:lastRow="0" w:noHBand="0" w:noVBand="1" w:val="04A0"/>
      </w:tblPr>
      <w:tblGrid>
        <w:gridCol w:w="3289"/>
        <w:gridCol w:w="3289"/>
        <w:gridCol w:w="3289"/>
      </w:tblGrid>
      <w:tr>
        <w:tc>
          <w:tcPr>
            <w:tcW w:type="dxa" w:w="2333"/>
            <w:shd w:fill="8A2020"/>
            <w:tcMar>
              <w:top w:w="85" w:type="dxa"/>
              <w:start w:w="105" w:type="dxa"/>
              <w:bottom w:w="85" w:type="dxa"/>
              <w:end w:w="105" w:type="dxa"/>
            </w:tcMar>
          </w:tcPr>
          <w:p>
            <w:pPr>
              <w:spacing w:after="0"/>
            </w:pPr>
            <w:r/>
            <w:r>
              <w:rPr>
                <w:rFonts w:ascii="Aptos" w:hAnsi="Aptos"/>
                <w:b/>
                <w:color w:val="FFFFFF"/>
                <w:sz w:val="18"/>
              </w:rPr>
              <w:t>Contact</w:t>
            </w:r>
          </w:p>
        </w:tc>
        <w:tc>
          <w:tcPr>
            <w:tcW w:type="dxa" w:w="3168"/>
            <w:shd w:fill="8A2020"/>
            <w:tcMar>
              <w:top w:w="85" w:type="dxa"/>
              <w:start w:w="105" w:type="dxa"/>
              <w:bottom w:w="85" w:type="dxa"/>
              <w:end w:w="105" w:type="dxa"/>
            </w:tcMar>
          </w:tcPr>
          <w:p>
            <w:pPr>
              <w:spacing w:after="0"/>
            </w:pPr>
            <w:r/>
            <w:r>
              <w:rPr>
                <w:rFonts w:ascii="Aptos" w:hAnsi="Aptos"/>
                <w:b/>
                <w:color w:val="FFFFFF"/>
                <w:sz w:val="18"/>
              </w:rPr>
              <w:t>When to use</w:t>
            </w:r>
          </w:p>
        </w:tc>
        <w:tc>
          <w:tcPr>
            <w:tcW w:type="dxa" w:w="4248"/>
            <w:shd w:fill="8A2020"/>
            <w:tcMar>
              <w:top w:w="85" w:type="dxa"/>
              <w:start w:w="105" w:type="dxa"/>
              <w:bottom w:w="85" w:type="dxa"/>
              <w:end w:w="105" w:type="dxa"/>
            </w:tcMar>
          </w:tcPr>
          <w:p>
            <w:pPr>
              <w:spacing w:after="0"/>
            </w:pPr>
            <w:r/>
            <w:r>
              <w:rPr>
                <w:rFonts w:ascii="Aptos" w:hAnsi="Aptos"/>
                <w:b/>
                <w:color w:val="FFFFFF"/>
                <w:sz w:val="18"/>
              </w:rPr>
              <w:t>Details</w:t>
            </w:r>
          </w:p>
        </w:tc>
      </w:tr>
      <w:tr>
        <w:tc>
          <w:tcPr>
            <w:tcW w:type="dxa" w:w="2333"/>
            <w:vAlign w:val="center"/>
            <w:shd w:fill="F7F2F0"/>
            <w:tcMar>
              <w:top w:w="75" w:type="dxa"/>
              <w:start w:w="105" w:type="dxa"/>
              <w:bottom w:w="75" w:type="dxa"/>
              <w:end w:w="105" w:type="dxa"/>
            </w:tcMar>
          </w:tcPr>
          <w:p>
            <w:pPr>
              <w:spacing w:after="0"/>
            </w:pPr>
            <w:r/>
            <w:r>
              <w:rPr>
                <w:rFonts w:ascii="Aptos" w:hAnsi="Aptos"/>
                <w:b/>
                <w:sz w:val="17"/>
              </w:rPr>
              <w:t>Emergency services</w:t>
            </w:r>
          </w:p>
        </w:tc>
        <w:tc>
          <w:tcPr>
            <w:tcW w:type="dxa" w:w="3168"/>
            <w:vAlign w:val="center"/>
            <w:shd w:fill="F7F2F0"/>
            <w:tcMar>
              <w:top w:w="75" w:type="dxa"/>
              <w:start w:w="105" w:type="dxa"/>
              <w:bottom w:w="75" w:type="dxa"/>
              <w:end w:w="105" w:type="dxa"/>
            </w:tcMar>
          </w:tcPr>
          <w:p>
            <w:pPr>
              <w:spacing w:after="0"/>
            </w:pPr>
            <w:r/>
            <w:r>
              <w:rPr>
                <w:rFonts w:ascii="Aptos" w:hAnsi="Aptos"/>
                <w:b w:val="0"/>
                <w:sz w:val="17"/>
              </w:rPr>
              <w:t>Immediate danger or crime in progress</w:t>
            </w:r>
          </w:p>
        </w:tc>
        <w:tc>
          <w:tcPr>
            <w:tcW w:type="dxa" w:w="4248"/>
            <w:vAlign w:val="center"/>
            <w:shd w:fill="F7F2F0"/>
            <w:tcMar>
              <w:top w:w="75" w:type="dxa"/>
              <w:start w:w="105" w:type="dxa"/>
              <w:bottom w:w="75" w:type="dxa"/>
              <w:end w:w="105" w:type="dxa"/>
            </w:tcMar>
          </w:tcPr>
          <w:p>
            <w:pPr>
              <w:spacing w:after="0"/>
            </w:pPr>
            <w:r/>
            <w:r>
              <w:rPr>
                <w:rFonts w:ascii="Aptos" w:hAnsi="Aptos"/>
                <w:b w:val="0"/>
                <w:sz w:val="17"/>
              </w:rPr>
              <w:t>999</w:t>
            </w:r>
          </w:p>
        </w:tc>
      </w:tr>
      <w:tr>
        <w:tc>
          <w:tcPr>
            <w:tcW w:type="dxa" w:w="2333"/>
            <w:vAlign w:val="center"/>
            <w:shd w:fill="FFFFFF"/>
            <w:tcMar>
              <w:top w:w="75" w:type="dxa"/>
              <w:start w:w="105" w:type="dxa"/>
              <w:bottom w:w="75" w:type="dxa"/>
              <w:end w:w="105" w:type="dxa"/>
            </w:tcMar>
          </w:tcPr>
          <w:p>
            <w:pPr>
              <w:spacing w:after="0"/>
            </w:pPr>
            <w:r/>
            <w:r>
              <w:rPr>
                <w:rFonts w:ascii="Aptos" w:hAnsi="Aptos"/>
                <w:b/>
                <w:sz w:val="17"/>
              </w:rPr>
              <w:t>North Yorkshire LADO</w:t>
            </w:r>
          </w:p>
        </w:tc>
        <w:tc>
          <w:tcPr>
            <w:tcW w:type="dxa" w:w="3168"/>
            <w:vAlign w:val="center"/>
            <w:shd w:fill="FFFFFF"/>
            <w:tcMar>
              <w:top w:w="75" w:type="dxa"/>
              <w:start w:w="105" w:type="dxa"/>
              <w:bottom w:w="75" w:type="dxa"/>
              <w:end w:w="105" w:type="dxa"/>
            </w:tcMar>
          </w:tcPr>
          <w:p>
            <w:pPr>
              <w:spacing w:after="0"/>
            </w:pPr>
            <w:r/>
            <w:r>
              <w:rPr>
                <w:rFonts w:ascii="Aptos" w:hAnsi="Aptos"/>
                <w:b w:val="0"/>
                <w:sz w:val="17"/>
              </w:rPr>
              <w:t>Allegation or suitability concern about an adult working with children</w:t>
            </w:r>
          </w:p>
        </w:tc>
        <w:tc>
          <w:tcPr>
            <w:tcW w:type="dxa" w:w="4248"/>
            <w:vAlign w:val="center"/>
            <w:shd w:fill="FFFFFF"/>
            <w:tcMar>
              <w:top w:w="75" w:type="dxa"/>
              <w:start w:w="105" w:type="dxa"/>
              <w:bottom w:w="75" w:type="dxa"/>
              <w:end w:w="105" w:type="dxa"/>
            </w:tcMar>
          </w:tcPr>
          <w:p>
            <w:pPr>
              <w:spacing w:after="0"/>
            </w:pPr>
            <w:r/>
            <w:r>
              <w:rPr>
                <w:rFonts w:ascii="Aptos" w:hAnsi="Aptos"/>
                <w:b w:val="0"/>
                <w:sz w:val="17"/>
              </w:rPr>
              <w:t>01609 798005</w:t>
              <w:br/>
              <w:t>lado@northyorks.gov.uk</w:t>
            </w:r>
          </w:p>
        </w:tc>
      </w:tr>
      <w:tr>
        <w:tc>
          <w:tcPr>
            <w:tcW w:type="dxa" w:w="2333"/>
            <w:vAlign w:val="center"/>
            <w:shd w:fill="F7F2F0"/>
            <w:tcMar>
              <w:top w:w="75" w:type="dxa"/>
              <w:start w:w="105" w:type="dxa"/>
              <w:bottom w:w="75" w:type="dxa"/>
              <w:end w:w="105" w:type="dxa"/>
            </w:tcMar>
          </w:tcPr>
          <w:p>
            <w:pPr>
              <w:spacing w:after="0"/>
            </w:pPr>
            <w:r/>
            <w:r>
              <w:rPr>
                <w:rFonts w:ascii="Aptos" w:hAnsi="Aptos"/>
                <w:b/>
                <w:sz w:val="17"/>
              </w:rPr>
              <w:t>North Yorkshire MAST</w:t>
            </w:r>
          </w:p>
        </w:tc>
        <w:tc>
          <w:tcPr>
            <w:tcW w:type="dxa" w:w="3168"/>
            <w:vAlign w:val="center"/>
            <w:shd w:fill="F7F2F0"/>
            <w:tcMar>
              <w:top w:w="75" w:type="dxa"/>
              <w:start w:w="105" w:type="dxa"/>
              <w:bottom w:w="75" w:type="dxa"/>
              <w:end w:w="105" w:type="dxa"/>
            </w:tcMar>
          </w:tcPr>
          <w:p>
            <w:pPr>
              <w:spacing w:after="0"/>
            </w:pPr>
            <w:r/>
            <w:r>
              <w:rPr>
                <w:rFonts w:ascii="Aptos" w:hAnsi="Aptos"/>
                <w:b w:val="0"/>
                <w:sz w:val="17"/>
              </w:rPr>
              <w:t>Professional safeguarding consultation about a child</w:t>
            </w:r>
          </w:p>
        </w:tc>
        <w:tc>
          <w:tcPr>
            <w:tcW w:type="dxa" w:w="4248"/>
            <w:vAlign w:val="center"/>
            <w:shd w:fill="F7F2F0"/>
            <w:tcMar>
              <w:top w:w="75" w:type="dxa"/>
              <w:start w:w="105" w:type="dxa"/>
              <w:bottom w:w="75" w:type="dxa"/>
              <w:end w:w="105" w:type="dxa"/>
            </w:tcMar>
          </w:tcPr>
          <w:p>
            <w:pPr>
              <w:spacing w:after="0"/>
            </w:pPr>
            <w:r/>
            <w:r>
              <w:rPr>
                <w:rFonts w:ascii="Aptos" w:hAnsi="Aptos"/>
                <w:b w:val="0"/>
                <w:sz w:val="17"/>
              </w:rPr>
              <w:t>01609 535070</w:t>
              <w:br/>
              <w:t>Weekdays, 10:00–16:00</w:t>
            </w:r>
          </w:p>
        </w:tc>
      </w:tr>
      <w:tr>
        <w:tc>
          <w:tcPr>
            <w:tcW w:type="dxa" w:w="2333"/>
            <w:vAlign w:val="center"/>
            <w:shd w:fill="FFFFFF"/>
            <w:tcMar>
              <w:top w:w="75" w:type="dxa"/>
              <w:start w:w="105" w:type="dxa"/>
              <w:bottom w:w="75" w:type="dxa"/>
              <w:end w:w="105" w:type="dxa"/>
            </w:tcMar>
          </w:tcPr>
          <w:p>
            <w:pPr>
              <w:spacing w:after="0"/>
            </w:pPr>
            <w:r/>
            <w:r>
              <w:rPr>
                <w:rFonts w:ascii="Aptos" w:hAnsi="Aptos"/>
                <w:b/>
                <w:sz w:val="17"/>
              </w:rPr>
              <w:t>Emergency Duty Team</w:t>
            </w:r>
          </w:p>
        </w:tc>
        <w:tc>
          <w:tcPr>
            <w:tcW w:type="dxa" w:w="3168"/>
            <w:vAlign w:val="center"/>
            <w:shd w:fill="FFFFFF"/>
            <w:tcMar>
              <w:top w:w="75" w:type="dxa"/>
              <w:start w:w="105" w:type="dxa"/>
              <w:bottom w:w="75" w:type="dxa"/>
              <w:end w:w="105" w:type="dxa"/>
            </w:tcMar>
          </w:tcPr>
          <w:p>
            <w:pPr>
              <w:spacing w:after="0"/>
            </w:pPr>
            <w:r/>
            <w:r>
              <w:rPr>
                <w:rFonts w:ascii="Aptos" w:hAnsi="Aptos"/>
                <w:b w:val="0"/>
                <w:sz w:val="17"/>
              </w:rPr>
              <w:t>Urgent children's social care concern outside office hours</w:t>
            </w:r>
          </w:p>
        </w:tc>
        <w:tc>
          <w:tcPr>
            <w:tcW w:type="dxa" w:w="4248"/>
            <w:vAlign w:val="center"/>
            <w:shd w:fill="FFFFFF"/>
            <w:tcMar>
              <w:top w:w="75" w:type="dxa"/>
              <w:start w:w="105" w:type="dxa"/>
              <w:bottom w:w="75" w:type="dxa"/>
              <w:end w:w="105" w:type="dxa"/>
            </w:tcMar>
          </w:tcPr>
          <w:p>
            <w:pPr>
              <w:spacing w:after="0"/>
            </w:pPr>
            <w:r/>
            <w:r>
              <w:rPr>
                <w:rFonts w:ascii="Aptos" w:hAnsi="Aptos"/>
                <w:b w:val="0"/>
                <w:sz w:val="17"/>
              </w:rPr>
              <w:t>0300 131 2 131</w:t>
            </w:r>
          </w:p>
        </w:tc>
      </w:tr>
      <w:tr>
        <w:tc>
          <w:tcPr>
            <w:tcW w:type="dxa" w:w="2333"/>
            <w:vAlign w:val="center"/>
            <w:shd w:fill="F7F2F0"/>
            <w:tcMar>
              <w:top w:w="75" w:type="dxa"/>
              <w:start w:w="105" w:type="dxa"/>
              <w:bottom w:w="75" w:type="dxa"/>
              <w:end w:w="105" w:type="dxa"/>
            </w:tcMar>
          </w:tcPr>
          <w:p>
            <w:pPr>
              <w:spacing w:after="0"/>
            </w:pPr>
            <w:r/>
            <w:r>
              <w:rPr>
                <w:rFonts w:ascii="Aptos" w:hAnsi="Aptos"/>
                <w:b/>
                <w:sz w:val="17"/>
              </w:rPr>
              <w:t>NSPCC Whistleblowing Advice Line</w:t>
            </w:r>
          </w:p>
        </w:tc>
        <w:tc>
          <w:tcPr>
            <w:tcW w:type="dxa" w:w="3168"/>
            <w:vAlign w:val="center"/>
            <w:shd w:fill="F7F2F0"/>
            <w:tcMar>
              <w:top w:w="75" w:type="dxa"/>
              <w:start w:w="105" w:type="dxa"/>
              <w:bottom w:w="75" w:type="dxa"/>
              <w:end w:w="105" w:type="dxa"/>
            </w:tcMar>
          </w:tcPr>
          <w:p>
            <w:pPr>
              <w:spacing w:after="0"/>
            </w:pPr>
            <w:r/>
            <w:r>
              <w:rPr>
                <w:rFonts w:ascii="Aptos" w:hAnsi="Aptos"/>
                <w:b w:val="0"/>
                <w:sz w:val="17"/>
              </w:rPr>
              <w:t>Independent advice if unable to raise internally or concern is not addressed</w:t>
            </w:r>
          </w:p>
        </w:tc>
        <w:tc>
          <w:tcPr>
            <w:tcW w:type="dxa" w:w="4248"/>
            <w:vAlign w:val="center"/>
            <w:shd w:fill="F7F2F0"/>
            <w:tcMar>
              <w:top w:w="75" w:type="dxa"/>
              <w:start w:w="105" w:type="dxa"/>
              <w:bottom w:w="75" w:type="dxa"/>
              <w:end w:w="105" w:type="dxa"/>
            </w:tcMar>
          </w:tcPr>
          <w:p>
            <w:pPr>
              <w:spacing w:after="0"/>
            </w:pPr>
            <w:r/>
            <w:r>
              <w:rPr>
                <w:rFonts w:ascii="Aptos" w:hAnsi="Aptos"/>
                <w:b w:val="0"/>
                <w:sz w:val="17"/>
              </w:rPr>
              <w:t>0800 028 0285</w:t>
              <w:br/>
              <w:t>help@nspcc.org.uk</w:t>
            </w:r>
          </w:p>
        </w:tc>
      </w:tr>
      <w:tr>
        <w:tc>
          <w:tcPr>
            <w:tcW w:type="dxa" w:w="2333"/>
            <w:vAlign w:val="center"/>
            <w:shd w:fill="FFFFFF"/>
            <w:tcMar>
              <w:top w:w="75" w:type="dxa"/>
              <w:start w:w="105" w:type="dxa"/>
              <w:bottom w:w="75" w:type="dxa"/>
              <w:end w:w="105" w:type="dxa"/>
            </w:tcMar>
          </w:tcPr>
          <w:p>
            <w:pPr>
              <w:spacing w:after="0"/>
            </w:pPr>
            <w:r/>
            <w:r>
              <w:rPr>
                <w:rFonts w:ascii="Aptos" w:hAnsi="Aptos"/>
                <w:b/>
                <w:sz w:val="17"/>
              </w:rPr>
              <w:t>Ofsted</w:t>
            </w:r>
          </w:p>
        </w:tc>
        <w:tc>
          <w:tcPr>
            <w:tcW w:type="dxa" w:w="3168"/>
            <w:vAlign w:val="center"/>
            <w:shd w:fill="FFFFFF"/>
            <w:tcMar>
              <w:top w:w="75" w:type="dxa"/>
              <w:start w:w="105" w:type="dxa"/>
              <w:bottom w:w="75" w:type="dxa"/>
              <w:end w:w="105" w:type="dxa"/>
            </w:tcMar>
          </w:tcPr>
          <w:p>
            <w:pPr>
              <w:spacing w:after="0"/>
            </w:pPr>
            <w:r/>
            <w:r>
              <w:rPr>
                <w:rFonts w:ascii="Aptos" w:hAnsi="Aptos"/>
                <w:b w:val="0"/>
                <w:sz w:val="17"/>
              </w:rPr>
              <w:t>Concerns or complaints about an early years provider</w:t>
            </w:r>
          </w:p>
        </w:tc>
        <w:tc>
          <w:tcPr>
            <w:tcW w:type="dxa" w:w="4248"/>
            <w:vAlign w:val="center"/>
            <w:shd w:fill="FFFFFF"/>
            <w:tcMar>
              <w:top w:w="75" w:type="dxa"/>
              <w:start w:w="105" w:type="dxa"/>
              <w:bottom w:w="75" w:type="dxa"/>
              <w:end w:w="105" w:type="dxa"/>
            </w:tcMar>
          </w:tcPr>
          <w:p>
            <w:pPr>
              <w:spacing w:after="0"/>
            </w:pPr>
            <w:r/>
            <w:r>
              <w:rPr>
                <w:rFonts w:ascii="Aptos" w:hAnsi="Aptos"/>
                <w:b w:val="0"/>
                <w:sz w:val="17"/>
              </w:rPr>
              <w:t>0300 123 4666</w:t>
              <w:br/>
              <w:t>enquiries@ofsted.gov.uk</w:t>
              <w:br/>
              <w:t>Use the current GOV.UK complaints route</w:t>
            </w:r>
          </w:p>
        </w:tc>
      </w:tr>
    </w:tbl>
    <w:p>
      <w:pPr>
        <w:pStyle w:val="Heading1"/>
      </w:pPr>
      <w:r>
        <w:t>9 Self-reporting and ongoing suitability</w:t>
      </w:r>
    </w:p>
    <w:p>
      <w:r>
        <w:t>Staff, prospective staff, students and volunteers must promptly disclose information that may affect their suitability to work with children, including arrests, charges, convictions, cautions, court orders, reprimands and warnings, whether arising before or during their role. They must also report any other change or circumstance that may affect their ability to carry out the role safely. Protected convictions and cautions are treated in accordance with the applicable rules.</w:t>
      </w:r>
    </w:p>
    <w:p>
      <w:r>
        <w:t>A person experiencing a physical health, mental health or other personal difficulty that may affect safe practice should speak promptly to the Manager, or to the Chair where appropriate, so that risk can be assessed and support or reasonable adjustments considered. Information will be handled sensitively, but cannot be kept confidential where a child's safety, legal duty or suitability decision requires action.</w:t>
      </w:r>
    </w:p>
    <w:p>
      <w:pPr>
        <w:pStyle w:val="Heading1"/>
      </w:pPr>
      <w:r>
        <w:t>10 Responsibilities, training and review</w:t>
      </w:r>
    </w:p>
    <w:p>
      <w:r>
        <w:t>The Manager and committee are responsible for maintaining an open reporting culture, ensuring all relevant people know this procedure, responding consistently, monitoring themes and completing required notifications. Staff, students and volunteers are responsible for raising concerns promptly and cooperating with safeguarding processes.</w:t>
      </w:r>
    </w:p>
    <w:p>
      <w:r>
        <w:t>This policy is reviewed annually and sooner after a statutory change, updated local guidance, a whistleblowing concern or learning from an incident. Contact details will be checked at each review.</w:t>
      </w:r>
    </w:p>
    <w:tbl>
      <w:tblPr>
        <w:tblW w:type="auto" w:w="0"/>
        <w:jc w:val="center"/>
        <w:tblLayout w:type="fixed"/>
        <w:tblLook w:firstColumn="1" w:firstRow="1" w:lastColumn="0" w:lastRow="0" w:noHBand="0" w:noVBand="1" w:val="04A0"/>
      </w:tblPr>
      <w:tblGrid>
        <w:gridCol w:w="4933"/>
        <w:gridCol w:w="4933"/>
      </w:tblGrid>
      <w:tr>
        <w:tc>
          <w:tcPr>
            <w:tcW w:type="dxa" w:w="3096"/>
            <w:shd w:fill="E9E9E9"/>
            <w:tcMar>
              <w:top w:w="105" w:type="dxa"/>
              <w:start w:w="105" w:type="dxa"/>
              <w:bottom w:w="105" w:type="dxa"/>
              <w:end w:w="105" w:type="dxa"/>
            </w:tcMar>
          </w:tcPr>
          <w:p>
            <w:pPr>
              <w:spacing w:after="0"/>
            </w:pPr>
            <w:r/>
            <w:r>
              <w:rPr>
                <w:rFonts w:ascii="Aptos" w:hAnsi="Aptos"/>
                <w:b/>
                <w:sz w:val="18"/>
              </w:rPr>
              <w:t>Manager</w:t>
            </w:r>
          </w:p>
        </w:tc>
        <w:tc>
          <w:tcPr>
            <w:tcW w:type="dxa" w:w="6653"/>
            <w:tcMar>
              <w:top w:w="105" w:type="dxa"/>
              <w:start w:w="105" w:type="dxa"/>
              <w:bottom w:w="105" w:type="dxa"/>
              <w:end w:w="105" w:type="dxa"/>
            </w:tcMar>
          </w:tcPr>
          <w:p>
            <w:pPr>
              <w:spacing w:after="0"/>
            </w:pPr>
            <w:r/>
            <w:r>
              <w:rPr>
                <w:rFonts w:ascii="Aptos" w:hAnsi="Aptos"/>
                <w:b w:val="0"/>
                <w:sz w:val="18"/>
              </w:rPr>
              <w:t>Summer Andrews</w:t>
            </w:r>
          </w:p>
        </w:tc>
      </w:tr>
      <w:tr>
        <w:tc>
          <w:tcPr>
            <w:tcW w:type="dxa" w:w="3096"/>
            <w:shd w:fill="E9E9E9"/>
            <w:tcMar>
              <w:top w:w="105" w:type="dxa"/>
              <w:start w:w="105" w:type="dxa"/>
              <w:bottom w:w="105" w:type="dxa"/>
              <w:end w:w="105" w:type="dxa"/>
            </w:tcMar>
          </w:tcPr>
          <w:p>
            <w:pPr>
              <w:spacing w:after="0"/>
            </w:pPr>
            <w:r/>
            <w:r>
              <w:rPr>
                <w:rFonts w:ascii="Aptos" w:hAnsi="Aptos"/>
                <w:b/>
                <w:sz w:val="18"/>
              </w:rPr>
              <w:t>Deputy Manager</w:t>
            </w:r>
          </w:p>
        </w:tc>
        <w:tc>
          <w:tcPr>
            <w:tcW w:type="dxa" w:w="6653"/>
            <w:tcMar>
              <w:top w:w="105" w:type="dxa"/>
              <w:start w:w="105" w:type="dxa"/>
              <w:bottom w:w="105" w:type="dxa"/>
              <w:end w:w="105" w:type="dxa"/>
            </w:tcMar>
          </w:tcPr>
          <w:p>
            <w:pPr>
              <w:spacing w:after="0"/>
            </w:pPr>
            <w:r/>
            <w:r>
              <w:rPr>
                <w:rFonts w:ascii="Aptos" w:hAnsi="Aptos"/>
                <w:b w:val="0"/>
                <w:sz w:val="18"/>
              </w:rPr>
              <w:t>Jane Dodsworth</w:t>
            </w:r>
          </w:p>
        </w:tc>
      </w:tr>
      <w:tr>
        <w:tc>
          <w:tcPr>
            <w:tcW w:type="dxa" w:w="3096"/>
            <w:shd w:fill="E9E9E9"/>
            <w:tcMar>
              <w:top w:w="105" w:type="dxa"/>
              <w:start w:w="105" w:type="dxa"/>
              <w:bottom w:w="105" w:type="dxa"/>
              <w:end w:w="105" w:type="dxa"/>
            </w:tcMar>
          </w:tcPr>
          <w:p>
            <w:pPr>
              <w:spacing w:after="0"/>
            </w:pPr>
            <w:r/>
            <w:r>
              <w:rPr>
                <w:rFonts w:ascii="Aptos" w:hAnsi="Aptos"/>
                <w:b/>
                <w:sz w:val="18"/>
              </w:rPr>
              <w:t>Chairperson</w:t>
            </w:r>
          </w:p>
        </w:tc>
        <w:tc>
          <w:tcPr>
            <w:tcW w:type="dxa" w:w="6653"/>
            <w:tcMar>
              <w:top w:w="105" w:type="dxa"/>
              <w:start w:w="105" w:type="dxa"/>
              <w:bottom w:w="105" w:type="dxa"/>
              <w:end w:w="105" w:type="dxa"/>
            </w:tcMar>
          </w:tcPr>
          <w:p>
            <w:pPr>
              <w:spacing w:after="0"/>
            </w:pPr>
            <w:r/>
            <w:r>
              <w:rPr>
                <w:rFonts w:ascii="Aptos" w:hAnsi="Aptos"/>
                <w:b w:val="0"/>
                <w:sz w:val="18"/>
              </w:rPr>
              <w:t>Gemma Howard</w:t>
            </w:r>
          </w:p>
        </w:tc>
      </w:tr>
      <w:tr>
        <w:tc>
          <w:tcPr>
            <w:tcW w:type="dxa" w:w="3096"/>
            <w:shd w:fill="E9E9E9"/>
            <w:tcMar>
              <w:top w:w="105" w:type="dxa"/>
              <w:start w:w="105" w:type="dxa"/>
              <w:bottom w:w="105" w:type="dxa"/>
              <w:end w:w="105" w:type="dxa"/>
            </w:tcMar>
          </w:tcPr>
          <w:p>
            <w:pPr>
              <w:spacing w:after="0"/>
            </w:pPr>
            <w:r/>
            <w:r>
              <w:rPr>
                <w:rFonts w:ascii="Aptos" w:hAnsi="Aptos"/>
                <w:b/>
                <w:sz w:val="18"/>
              </w:rPr>
              <w:t>Policy effective</w:t>
            </w:r>
          </w:p>
        </w:tc>
        <w:tc>
          <w:tcPr>
            <w:tcW w:type="dxa" w:w="6653"/>
            <w:tcMar>
              <w:top w:w="105" w:type="dxa"/>
              <w:start w:w="105" w:type="dxa"/>
              <w:bottom w:w="105" w:type="dxa"/>
              <w:end w:w="105" w:type="dxa"/>
            </w:tcMar>
          </w:tcPr>
          <w:p>
            <w:pPr>
              <w:spacing w:after="0"/>
            </w:pPr>
            <w:r/>
            <w:r>
              <w:rPr>
                <w:rFonts w:ascii="Aptos" w:hAnsi="Aptos"/>
                <w:b w:val="0"/>
                <w:sz w:val="18"/>
              </w:rPr>
              <w:t>September 2026</w:t>
            </w:r>
          </w:p>
        </w:tc>
      </w:tr>
      <w:tr>
        <w:tc>
          <w:tcPr>
            <w:tcW w:type="dxa" w:w="3096"/>
            <w:shd w:fill="E9E9E9"/>
            <w:tcMar>
              <w:top w:w="105" w:type="dxa"/>
              <w:start w:w="105" w:type="dxa"/>
              <w:bottom w:w="105" w:type="dxa"/>
              <w:end w:w="105" w:type="dxa"/>
            </w:tcMar>
          </w:tcPr>
          <w:p>
            <w:pPr>
              <w:spacing w:after="0"/>
            </w:pPr>
            <w:r/>
            <w:r>
              <w:rPr>
                <w:rFonts w:ascii="Aptos" w:hAnsi="Aptos"/>
                <w:b/>
                <w:sz w:val="18"/>
              </w:rPr>
              <w:t>Review date</w:t>
            </w:r>
          </w:p>
        </w:tc>
        <w:tc>
          <w:tcPr>
            <w:tcW w:type="dxa" w:w="6653"/>
            <w:tcMar>
              <w:top w:w="105" w:type="dxa"/>
              <w:start w:w="105" w:type="dxa"/>
              <w:bottom w:w="105" w:type="dxa"/>
              <w:end w:w="105" w:type="dxa"/>
            </w:tcMar>
          </w:tcPr>
          <w:p>
            <w:pPr>
              <w:spacing w:after="0"/>
            </w:pPr>
            <w:r/>
            <w:r>
              <w:rPr>
                <w:rFonts w:ascii="Aptos" w:hAnsi="Aptos"/>
                <w:b w:val="0"/>
                <w:sz w:val="18"/>
              </w:rPr>
              <w:t>September 2027</w:t>
            </w:r>
          </w:p>
        </w:tc>
      </w:tr>
    </w:tbl>
    <w:p>
      <w:r>
        <w:t>Adopted at committee meeting: ____________________________________</w:t>
      </w:r>
    </w:p>
    <w:sectPr w:rsidR="00FC693F" w:rsidRPr="0006063C" w:rsidSect="00034616">
      <w:headerReference w:type="default" r:id="rId9"/>
      <w:footerReference w:type="default" r:id="rId10"/>
      <w:pgSz w:w="11906" w:h="16838"/>
      <w:pgMar w:top="879" w:right="1020" w:bottom="879"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5A5A5A"/>
        <w:sz w:val="16"/>
      </w:rPr>
      <w:t xml:space="preserve">Whistleblowing Policy   |   September 2026   |   </w:t>
    </w: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8A2020"/>
        <w:sz w:val="16"/>
      </w:rPr>
      <w:t>HEMINGBROUGH PRE-SCHOOL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0"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ascii="Aptos Display" w:hAnsi="Aptos Display"/>
      <w:b/>
      <w:bCs/>
      <w:color w:val="000000"/>
      <w:sz w:val="29"/>
      <w:szCs w:val="28"/>
    </w:rPr>
  </w:style>
  <w:style w:type="paragraph" w:styleId="Heading2">
    <w:name w:val="heading 2"/>
    <w:basedOn w:val="Normal"/>
    <w:next w:val="Normal"/>
    <w:link w:val="Heading2Char"/>
    <w:uiPriority w:val="9"/>
    <w:unhideWhenUsed/>
    <w:qFormat/>
    <w:rsid w:val="00FC693F"/>
    <w:pPr>
      <w:keepNext/>
      <w:keepLines/>
      <w:spacing w:before="80" w:after="60"/>
      <w:outlineLvl w:val="1"/>
    </w:pPr>
    <w:rPr>
      <w:rFonts w:asciiTheme="majorHAnsi" w:eastAsiaTheme="majorEastAsia" w:hAnsiTheme="majorHAnsi" w:cstheme="majorBidi" w:ascii="Aptos Display" w:hAnsi="Aptos Display"/>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60" w:line="240" w:lineRule="auto" w:before="80"/>
      <w:contextualSpacing/>
    </w:pPr>
    <w:rPr>
      <w:rFonts w:asciiTheme="majorHAnsi" w:eastAsiaTheme="majorEastAsia" w:hAnsiTheme="majorHAnsi" w:cstheme="majorBidi" w:ascii="Aptos Display" w:hAnsi="Aptos Display"/>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Whistleblowing Policy</dc:title>
  <dc:subject>Hemingbrough Pre-School policy effective September 2026</dc:subject>
  <dc:creator>Hemingbrough Pre-School</dc:creator>
  <cp:keywords/>
  <dc:description>generated by python-docx</dc:description>
  <cp:lastModifiedBy/>
  <cp:revision>1</cp:revision>
  <dcterms:created xsi:type="dcterms:W3CDTF">2013-12-23T23:15:00Z</dcterms:created>
  <dcterms:modified xsi:type="dcterms:W3CDTF">2013-12-23T23:15:00Z</dcterms:modified>
  <cp:category/>
</cp:coreProperties>
</file>