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FE" w:rsidRDefault="00E763FE" w:rsidP="001910E9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B67762" w:rsidRPr="00B67762" w:rsidRDefault="00B67762" w:rsidP="00B67762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</w:rPr>
      </w:pPr>
      <w:r w:rsidRPr="00B67762">
        <w:rPr>
          <w:rFonts w:ascii="Courier New" w:eastAsia="Times New Roman" w:hAnsi="Courier New" w:cs="Times New Roman"/>
          <w:b/>
          <w:sz w:val="24"/>
          <w:szCs w:val="20"/>
        </w:rPr>
        <w:t>IN THE UNITED STATES NAVY-MARINE CORPS</w:t>
      </w:r>
    </w:p>
    <w:p w:rsidR="00B67762" w:rsidRPr="00B67762" w:rsidRDefault="00B67762" w:rsidP="00B67762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</w:rPr>
      </w:pPr>
      <w:r w:rsidRPr="00B67762">
        <w:rPr>
          <w:rFonts w:ascii="Courier New" w:eastAsia="Times New Roman" w:hAnsi="Courier New" w:cs="Times New Roman"/>
          <w:b/>
          <w:sz w:val="24"/>
          <w:szCs w:val="20"/>
        </w:rPr>
        <w:t xml:space="preserve"> COURT OF CRIMINAL APPEALS</w:t>
      </w:r>
    </w:p>
    <w:p w:rsidR="00B67762" w:rsidRPr="00B67762" w:rsidRDefault="00B67762" w:rsidP="00B67762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</w:rPr>
      </w:pPr>
    </w:p>
    <w:tbl>
      <w:tblPr>
        <w:tblpPr w:leftFromText="180" w:rightFromText="180" w:vertAnchor="text" w:horzAnchor="margin" w:tblpY="216"/>
        <w:tblW w:w="9648" w:type="dxa"/>
        <w:tblLook w:val="0000"/>
      </w:tblPr>
      <w:tblGrid>
        <w:gridCol w:w="5058"/>
        <w:gridCol w:w="4590"/>
      </w:tblGrid>
      <w:tr w:rsidR="00B67762" w:rsidRPr="00B67762" w:rsidTr="007F3630"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Times New Roman"/>
                <w:sz w:val="24"/>
                <w:szCs w:val="24"/>
              </w:rPr>
              <w:t>UNITED STATES,</w:t>
            </w:r>
          </w:p>
        </w:tc>
        <w:tc>
          <w:tcPr>
            <w:tcW w:w="4590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Times New Roman"/>
                <w:sz w:val="24"/>
                <w:szCs w:val="24"/>
              </w:rPr>
              <w:t xml:space="preserve">REPLY </w:t>
            </w:r>
            <w:r w:rsidRPr="00B67762">
              <w:rPr>
                <w:rFonts w:ascii="Courier New" w:eastAsia="Times New Roman" w:hAnsi="Courier New" w:cs="Times New Roman"/>
                <w:sz w:val="24"/>
                <w:szCs w:val="24"/>
              </w:rPr>
              <w:t>BRIEF ON BEHALF OF APPELLANT</w:t>
            </w:r>
          </w:p>
        </w:tc>
      </w:tr>
      <w:tr w:rsidR="00B67762" w:rsidRPr="00B67762" w:rsidTr="007F3630"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Times New Roman"/>
                <w:sz w:val="24"/>
                <w:szCs w:val="24"/>
              </w:rPr>
              <w:t xml:space="preserve">               Appellee</w:t>
            </w:r>
          </w:p>
        </w:tc>
        <w:tc>
          <w:tcPr>
            <w:tcW w:w="4590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</w:p>
        </w:tc>
      </w:tr>
      <w:tr w:rsidR="00B67762" w:rsidRPr="00B67762" w:rsidTr="007F3630"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Times New Roman"/>
                <w:sz w:val="24"/>
                <w:szCs w:val="24"/>
              </w:rPr>
              <w:t xml:space="preserve">           v.                     </w:t>
            </w:r>
          </w:p>
        </w:tc>
        <w:tc>
          <w:tcPr>
            <w:tcW w:w="4590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Times New Roman"/>
                <w:sz w:val="24"/>
                <w:szCs w:val="24"/>
              </w:rPr>
              <w:t>Docket No. 201400373</w:t>
            </w:r>
          </w:p>
        </w:tc>
      </w:tr>
      <w:tr w:rsidR="00B67762" w:rsidRPr="00B67762" w:rsidTr="007F3630"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</w:rPr>
            </w:pPr>
          </w:p>
        </w:tc>
      </w:tr>
      <w:tr w:rsidR="00B67762" w:rsidRPr="00B67762" w:rsidTr="007F3630">
        <w:trPr>
          <w:cantSplit/>
        </w:trPr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:rsidR="00B67762" w:rsidRPr="00B67762" w:rsidRDefault="00B67762" w:rsidP="00B6776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Courier New"/>
                <w:sz w:val="24"/>
                <w:szCs w:val="24"/>
              </w:rPr>
              <w:t>Tried at Naval Station Norfolk, Virginia on 12 May and 12, 24, and 25 June 2014,by a general court-martial, convened by Commander, Navy Region Mid-Atlantic.</w:t>
            </w:r>
          </w:p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67762" w:rsidRPr="00B67762" w:rsidTr="007F3630">
        <w:trPr>
          <w:cantSplit/>
        </w:trPr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DARIN G. LOPEZ</w:t>
            </w:r>
          </w:p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Courier New"/>
                <w:sz w:val="24"/>
                <w:szCs w:val="24"/>
              </w:rPr>
              <w:t>Intelligence Specialist Second Class (E-5)</w:t>
            </w:r>
          </w:p>
        </w:tc>
        <w:tc>
          <w:tcPr>
            <w:tcW w:w="4590" w:type="dxa"/>
            <w:vMerge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67762" w:rsidRPr="00B67762" w:rsidTr="007F3630">
        <w:trPr>
          <w:cantSplit/>
          <w:trHeight w:val="297"/>
        </w:trPr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United States Navy,              </w:t>
            </w:r>
          </w:p>
        </w:tc>
        <w:tc>
          <w:tcPr>
            <w:tcW w:w="4590" w:type="dxa"/>
            <w:vMerge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67762" w:rsidRPr="00B67762" w:rsidTr="007F3630">
        <w:trPr>
          <w:cantSplit/>
        </w:trPr>
        <w:tc>
          <w:tcPr>
            <w:tcW w:w="5058" w:type="dxa"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67762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Appellant</w:t>
            </w:r>
          </w:p>
        </w:tc>
        <w:tc>
          <w:tcPr>
            <w:tcW w:w="4590" w:type="dxa"/>
            <w:vMerge/>
          </w:tcPr>
          <w:p w:rsidR="00B67762" w:rsidRPr="00B67762" w:rsidRDefault="00B67762" w:rsidP="00B67762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E763FE" w:rsidRDefault="00B67762" w:rsidP="00B67762">
      <w:pPr>
        <w:spacing w:line="240" w:lineRule="auto"/>
        <w:ind w:left="1260" w:right="1350"/>
        <w:jc w:val="center"/>
        <w:rPr>
          <w:rFonts w:ascii="Courier New" w:hAnsi="Courier New" w:cs="Courier New"/>
          <w:sz w:val="24"/>
          <w:szCs w:val="24"/>
        </w:rPr>
      </w:pPr>
      <w:r w:rsidRPr="00821311">
        <w:rPr>
          <w:rFonts w:ascii="Courier New" w:eastAsia="Times New Roman" w:hAnsi="Courier New" w:cs="Courier New"/>
          <w:sz w:val="24"/>
          <w:szCs w:val="20"/>
        </w:rPr>
        <w:t>TO THE HON</w:t>
      </w:r>
      <w:r>
        <w:rPr>
          <w:rFonts w:ascii="Courier New" w:eastAsia="Times New Roman" w:hAnsi="Courier New" w:cs="Courier New"/>
          <w:sz w:val="24"/>
          <w:szCs w:val="20"/>
        </w:rPr>
        <w:t>ORABLE JUDGES OF THE UNITED STATES NAVY-MARINE CORPS</w:t>
      </w:r>
      <w:r w:rsidRPr="00821311">
        <w:rPr>
          <w:rFonts w:ascii="Courier New" w:eastAsia="Times New Roman" w:hAnsi="Courier New" w:cs="Courier New"/>
          <w:sz w:val="24"/>
          <w:szCs w:val="20"/>
        </w:rPr>
        <w:t xml:space="preserve"> COURT OF CRIMINAL APPEALS</w:t>
      </w:r>
    </w:p>
    <w:p w:rsidR="00B67762" w:rsidRDefault="00BF5AC5" w:rsidP="0087221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Appellant submits the following in reply to the government brief: </w:t>
      </w:r>
    </w:p>
    <w:p w:rsidR="00071588" w:rsidRPr="00173FFB" w:rsidRDefault="00071588" w:rsidP="001910E9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</w:t>
      </w:r>
      <w:r w:rsidR="00097027">
        <w:rPr>
          <w:rFonts w:ascii="Courier New" w:hAnsi="Courier New" w:cs="Courier New"/>
          <w:sz w:val="24"/>
          <w:szCs w:val="24"/>
        </w:rPr>
        <w:t xml:space="preserve">  The government failed to prove that E.H. </w:t>
      </w:r>
      <w:r w:rsidR="008B311A">
        <w:rPr>
          <w:rFonts w:ascii="Courier New" w:hAnsi="Courier New" w:cs="Courier New"/>
          <w:sz w:val="24"/>
          <w:szCs w:val="24"/>
        </w:rPr>
        <w:t>lacked the mental or physical ability to consent due to impairment by an intoxicant.</w:t>
      </w:r>
    </w:p>
    <w:p w:rsidR="00311184" w:rsidRDefault="00071588" w:rsidP="00BF5AC5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420773" w:rsidRPr="00420773">
        <w:rPr>
          <w:rFonts w:ascii="Courier New" w:hAnsi="Courier New" w:cs="Courier New"/>
          <w:sz w:val="24"/>
          <w:szCs w:val="24"/>
        </w:rPr>
        <w:t>The government brief acknowledges that</w:t>
      </w:r>
      <w:r w:rsidR="000D554C">
        <w:rPr>
          <w:rFonts w:ascii="Courier New" w:hAnsi="Courier New" w:cs="Courier New"/>
          <w:sz w:val="24"/>
          <w:szCs w:val="24"/>
        </w:rPr>
        <w:t>, “</w:t>
      </w:r>
      <w:r w:rsidR="00420773" w:rsidRPr="00420773">
        <w:rPr>
          <w:rFonts w:ascii="Courier New" w:hAnsi="Courier New" w:cs="Courier New"/>
          <w:sz w:val="24"/>
          <w:szCs w:val="24"/>
        </w:rPr>
        <w:t xml:space="preserve">E.H. consumed  three </w:t>
      </w:r>
      <w:r w:rsidR="000D554C">
        <w:rPr>
          <w:rFonts w:ascii="Courier New" w:hAnsi="Courier New" w:cs="Courier New"/>
          <w:sz w:val="24"/>
          <w:szCs w:val="24"/>
        </w:rPr>
        <w:t>alcoholic beverages—two mixed drinks of ‘pineapple juice and Coconut Rum’</w:t>
      </w:r>
      <w:r w:rsidR="00420773" w:rsidRPr="00420773">
        <w:rPr>
          <w:rFonts w:ascii="Courier New" w:hAnsi="Courier New" w:cs="Courier New"/>
          <w:sz w:val="24"/>
          <w:szCs w:val="24"/>
        </w:rPr>
        <w:t xml:space="preserve"> and </w:t>
      </w:r>
      <w:r w:rsidR="000D554C">
        <w:rPr>
          <w:rFonts w:ascii="Courier New" w:hAnsi="Courier New" w:cs="Courier New"/>
          <w:sz w:val="24"/>
          <w:szCs w:val="24"/>
        </w:rPr>
        <w:t>‘</w:t>
      </w:r>
      <w:r w:rsidR="00420773" w:rsidRPr="00420773">
        <w:rPr>
          <w:rFonts w:ascii="Courier New" w:hAnsi="Courier New" w:cs="Courier New"/>
          <w:sz w:val="24"/>
          <w:szCs w:val="24"/>
        </w:rPr>
        <w:t xml:space="preserve">one shot of </w:t>
      </w:r>
      <w:proofErr w:type="spellStart"/>
      <w:r w:rsidR="00420773" w:rsidRPr="00420773">
        <w:rPr>
          <w:rFonts w:ascii="Courier New" w:hAnsi="Courier New" w:cs="Courier New"/>
          <w:sz w:val="24"/>
          <w:szCs w:val="24"/>
        </w:rPr>
        <w:t>Goldschlager</w:t>
      </w:r>
      <w:proofErr w:type="spellEnd"/>
      <w:r w:rsidR="00420773" w:rsidRPr="00420773">
        <w:rPr>
          <w:rFonts w:ascii="Courier New" w:hAnsi="Courier New" w:cs="Courier New"/>
          <w:sz w:val="24"/>
          <w:szCs w:val="24"/>
        </w:rPr>
        <w:t>.</w:t>
      </w:r>
      <w:r w:rsidR="000D554C">
        <w:rPr>
          <w:rFonts w:ascii="Courier New" w:hAnsi="Courier New" w:cs="Courier New"/>
          <w:sz w:val="24"/>
          <w:szCs w:val="24"/>
        </w:rPr>
        <w:t>’</w:t>
      </w:r>
      <w:r w:rsidR="00420773" w:rsidRPr="00420773">
        <w:rPr>
          <w:rFonts w:ascii="Courier New" w:hAnsi="Courier New" w:cs="Courier New"/>
          <w:sz w:val="24"/>
          <w:szCs w:val="24"/>
        </w:rPr>
        <w:t>” (Government Br. at 20; R. 126-27, 156.).</w:t>
      </w:r>
      <w:r w:rsidR="009E7B6A" w:rsidRPr="009E7B6A">
        <w:rPr>
          <w:rFonts w:ascii="Courier New" w:hAnsi="Courier New" w:cs="Courier New"/>
          <w:sz w:val="24"/>
          <w:szCs w:val="24"/>
        </w:rPr>
        <w:t xml:space="preserve">  </w:t>
      </w:r>
      <w:r w:rsidRPr="00071588">
        <w:rPr>
          <w:rFonts w:ascii="Courier New" w:hAnsi="Courier New" w:cs="Courier New"/>
          <w:sz w:val="24"/>
          <w:szCs w:val="24"/>
        </w:rPr>
        <w:t xml:space="preserve">The government charged and appellant was convicted of committing a sexual act upon E.H. when E.H., “was incapable of consenting to the sexual act due to impairment by an intoxicant. . . .”  (Charge Sheet).  However, </w:t>
      </w:r>
      <w:r w:rsidR="00003C4A">
        <w:rPr>
          <w:rFonts w:ascii="Courier New" w:hAnsi="Courier New" w:cs="Courier New"/>
          <w:sz w:val="24"/>
          <w:szCs w:val="24"/>
        </w:rPr>
        <w:t xml:space="preserve">as the government acknowledges, </w:t>
      </w:r>
      <w:r w:rsidRPr="00071588">
        <w:rPr>
          <w:rFonts w:ascii="Courier New" w:hAnsi="Courier New" w:cs="Courier New"/>
          <w:sz w:val="24"/>
          <w:szCs w:val="24"/>
        </w:rPr>
        <w:t xml:space="preserve">the evidence at trial </w:t>
      </w:r>
      <w:r w:rsidR="00462553">
        <w:rPr>
          <w:rFonts w:ascii="Courier New" w:hAnsi="Courier New" w:cs="Courier New"/>
          <w:sz w:val="24"/>
          <w:szCs w:val="24"/>
        </w:rPr>
        <w:t>wa</w:t>
      </w:r>
      <w:r w:rsidRPr="00071588">
        <w:rPr>
          <w:rFonts w:ascii="Courier New" w:hAnsi="Courier New" w:cs="Courier New"/>
          <w:sz w:val="24"/>
          <w:szCs w:val="24"/>
        </w:rPr>
        <w:t xml:space="preserve">s that </w:t>
      </w:r>
      <w:r w:rsidR="00003C4A">
        <w:rPr>
          <w:rFonts w:ascii="Courier New" w:hAnsi="Courier New" w:cs="Courier New"/>
          <w:sz w:val="24"/>
          <w:szCs w:val="24"/>
        </w:rPr>
        <w:t xml:space="preserve">the only intoxicant </w:t>
      </w:r>
      <w:r w:rsidRPr="00071588">
        <w:rPr>
          <w:rFonts w:ascii="Courier New" w:hAnsi="Courier New" w:cs="Courier New"/>
          <w:sz w:val="24"/>
          <w:szCs w:val="24"/>
        </w:rPr>
        <w:t xml:space="preserve">E.H. consumed </w:t>
      </w:r>
      <w:r w:rsidR="00003C4A">
        <w:rPr>
          <w:rFonts w:ascii="Courier New" w:hAnsi="Courier New" w:cs="Courier New"/>
          <w:sz w:val="24"/>
          <w:szCs w:val="24"/>
        </w:rPr>
        <w:t>w</w:t>
      </w:r>
      <w:r w:rsidR="00FE404C">
        <w:rPr>
          <w:rFonts w:ascii="Courier New" w:hAnsi="Courier New" w:cs="Courier New"/>
          <w:sz w:val="24"/>
          <w:szCs w:val="24"/>
        </w:rPr>
        <w:t>ere</w:t>
      </w:r>
      <w:r w:rsidR="00003C4A">
        <w:rPr>
          <w:rFonts w:ascii="Courier New" w:hAnsi="Courier New" w:cs="Courier New"/>
          <w:sz w:val="24"/>
          <w:szCs w:val="24"/>
        </w:rPr>
        <w:t xml:space="preserve"> </w:t>
      </w:r>
      <w:r w:rsidR="00462553">
        <w:rPr>
          <w:rFonts w:ascii="Courier New" w:hAnsi="Courier New" w:cs="Courier New"/>
          <w:sz w:val="24"/>
          <w:szCs w:val="24"/>
        </w:rPr>
        <w:t>the</w:t>
      </w:r>
      <w:r w:rsidRPr="00071588">
        <w:rPr>
          <w:rFonts w:ascii="Courier New" w:hAnsi="Courier New" w:cs="Courier New"/>
          <w:sz w:val="24"/>
          <w:szCs w:val="24"/>
        </w:rPr>
        <w:t xml:space="preserve"> three drinks – an </w:t>
      </w:r>
      <w:r w:rsidRPr="00071588">
        <w:rPr>
          <w:rFonts w:ascii="Courier New" w:hAnsi="Courier New" w:cs="Courier New"/>
          <w:sz w:val="24"/>
          <w:szCs w:val="24"/>
        </w:rPr>
        <w:lastRenderedPageBreak/>
        <w:t xml:space="preserve">amount of intoxicant well below </w:t>
      </w:r>
      <w:r w:rsidR="005F1B44">
        <w:rPr>
          <w:rFonts w:ascii="Courier New" w:hAnsi="Courier New" w:cs="Courier New"/>
          <w:sz w:val="24"/>
          <w:szCs w:val="24"/>
        </w:rPr>
        <w:t>that</w:t>
      </w:r>
      <w:r w:rsidRPr="00071588">
        <w:rPr>
          <w:rFonts w:ascii="Courier New" w:hAnsi="Courier New" w:cs="Courier New"/>
          <w:sz w:val="24"/>
          <w:szCs w:val="24"/>
        </w:rPr>
        <w:t xml:space="preserve"> required to make a</w:t>
      </w:r>
      <w:r w:rsidR="00FE404C">
        <w:rPr>
          <w:rFonts w:ascii="Courier New" w:hAnsi="Courier New" w:cs="Courier New"/>
          <w:sz w:val="24"/>
          <w:szCs w:val="24"/>
        </w:rPr>
        <w:t xml:space="preserve"> person </w:t>
      </w:r>
      <w:r w:rsidRPr="00071588">
        <w:rPr>
          <w:rFonts w:ascii="Courier New" w:hAnsi="Courier New" w:cs="Courier New"/>
          <w:sz w:val="24"/>
          <w:szCs w:val="24"/>
        </w:rPr>
        <w:t>incompetent to consent</w:t>
      </w:r>
      <w:r w:rsidR="00003C4A">
        <w:rPr>
          <w:rFonts w:ascii="Courier New" w:hAnsi="Courier New" w:cs="Courier New"/>
          <w:sz w:val="24"/>
          <w:szCs w:val="24"/>
        </w:rPr>
        <w:t>.</w:t>
      </w:r>
      <w:r w:rsidR="00A309B7">
        <w:rPr>
          <w:rFonts w:ascii="Courier New" w:hAnsi="Courier New" w:cs="Courier New"/>
          <w:sz w:val="24"/>
          <w:szCs w:val="24"/>
        </w:rPr>
        <w:t xml:space="preserve"> </w:t>
      </w:r>
      <w:r w:rsidR="00A309B7" w:rsidRPr="00A309B7">
        <w:rPr>
          <w:rFonts w:ascii="Courier New" w:hAnsi="Courier New" w:cs="Courier New"/>
          <w:sz w:val="24"/>
          <w:szCs w:val="24"/>
        </w:rPr>
        <w:t xml:space="preserve">Because the only evidence of an intoxicant introduced at trial is E.H.’s </w:t>
      </w:r>
      <w:r w:rsidR="00E3512A">
        <w:rPr>
          <w:rFonts w:ascii="Courier New" w:hAnsi="Courier New" w:cs="Courier New"/>
          <w:sz w:val="24"/>
          <w:szCs w:val="24"/>
        </w:rPr>
        <w:t xml:space="preserve">own </w:t>
      </w:r>
      <w:r w:rsidR="00A309B7" w:rsidRPr="00A309B7">
        <w:rPr>
          <w:rFonts w:ascii="Courier New" w:hAnsi="Courier New" w:cs="Courier New"/>
          <w:sz w:val="24"/>
          <w:szCs w:val="24"/>
        </w:rPr>
        <w:t>testimony, the evidence is factually and legally insufficient to sustain the conviction.</w:t>
      </w:r>
      <w:r w:rsidR="00003C4A">
        <w:rPr>
          <w:rFonts w:ascii="Courier New" w:hAnsi="Courier New" w:cs="Courier New"/>
          <w:sz w:val="24"/>
          <w:szCs w:val="24"/>
        </w:rPr>
        <w:t xml:space="preserve">  </w:t>
      </w:r>
    </w:p>
    <w:p w:rsidR="00831DF2" w:rsidRDefault="00071588" w:rsidP="00BF5AC5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412DD4" w:rsidRPr="00412DD4">
        <w:rPr>
          <w:rFonts w:ascii="Courier New" w:hAnsi="Courier New" w:cs="Courier New"/>
          <w:sz w:val="24"/>
          <w:szCs w:val="24"/>
        </w:rPr>
        <w:t>As thi</w:t>
      </w:r>
      <w:r w:rsidR="00412DD4">
        <w:rPr>
          <w:rFonts w:ascii="Courier New" w:hAnsi="Courier New" w:cs="Courier New"/>
          <w:sz w:val="24"/>
          <w:szCs w:val="24"/>
        </w:rPr>
        <w:t>s court recently pointed out</w:t>
      </w:r>
      <w:r w:rsidR="00412DD4" w:rsidRPr="00412DD4">
        <w:rPr>
          <w:rFonts w:ascii="Courier New" w:hAnsi="Courier New" w:cs="Courier New"/>
          <w:sz w:val="24"/>
          <w:szCs w:val="24"/>
        </w:rPr>
        <w:t xml:space="preserve">, Article 120(g)(8) defines “consent” as, “a freely given agreement to the conduct at issue by a competent person.” </w:t>
      </w:r>
      <w:r w:rsidR="00406374" w:rsidRPr="00406374">
        <w:rPr>
          <w:rFonts w:ascii="Courier New" w:hAnsi="Courier New" w:cs="Courier New"/>
          <w:i/>
          <w:sz w:val="24"/>
          <w:szCs w:val="24"/>
        </w:rPr>
        <w:t>United States v. Pease</w:t>
      </w:r>
      <w:r w:rsidR="00406374" w:rsidRPr="00406374">
        <w:rPr>
          <w:rFonts w:ascii="Courier New" w:hAnsi="Courier New" w:cs="Courier New"/>
          <w:sz w:val="24"/>
          <w:szCs w:val="24"/>
        </w:rPr>
        <w:t>, 74 M.J. 763, 770 (NMCCA 2015).</w:t>
      </w:r>
      <w:r w:rsidR="00406374">
        <w:rPr>
          <w:rFonts w:ascii="Courier New" w:hAnsi="Courier New" w:cs="Courier New"/>
          <w:sz w:val="24"/>
          <w:szCs w:val="24"/>
        </w:rPr>
        <w:t xml:space="preserve"> </w:t>
      </w:r>
      <w:r w:rsidR="00FA46D1" w:rsidRPr="00FA46D1">
        <w:rPr>
          <w:rFonts w:ascii="Courier New" w:hAnsi="Courier New" w:cs="Courier New"/>
          <w:sz w:val="24"/>
          <w:szCs w:val="24"/>
        </w:rPr>
        <w:t>Article 120(g)(8)(B)</w:t>
      </w:r>
      <w:r w:rsidR="00FA46D1">
        <w:rPr>
          <w:rFonts w:ascii="Courier New" w:hAnsi="Courier New" w:cs="Courier New"/>
          <w:sz w:val="24"/>
          <w:szCs w:val="24"/>
        </w:rPr>
        <w:t xml:space="preserve"> </w:t>
      </w:r>
      <w:r w:rsidR="00406374" w:rsidRPr="00406374">
        <w:rPr>
          <w:rFonts w:ascii="Courier New" w:hAnsi="Courier New" w:cs="Courier New"/>
          <w:sz w:val="24"/>
          <w:szCs w:val="24"/>
        </w:rPr>
        <w:t>lists three conditions that may render a person incapable of consenting: “[a] sleeping, unconscious, or incompetent person cannot consent.”</w:t>
      </w:r>
      <w:r w:rsidR="00FA46D1">
        <w:rPr>
          <w:rFonts w:ascii="Courier New" w:hAnsi="Courier New" w:cs="Courier New"/>
          <w:sz w:val="24"/>
          <w:szCs w:val="24"/>
        </w:rPr>
        <w:t xml:space="preserve"> </w:t>
      </w:r>
      <w:r w:rsidR="00FA46D1" w:rsidRPr="00FA46D1">
        <w:rPr>
          <w:rFonts w:ascii="Courier New" w:hAnsi="Courier New" w:cs="Courier New"/>
          <w:i/>
          <w:sz w:val="24"/>
          <w:szCs w:val="24"/>
        </w:rPr>
        <w:t>Id</w:t>
      </w:r>
      <w:r w:rsidR="00FA46D1">
        <w:rPr>
          <w:rFonts w:ascii="Courier New" w:hAnsi="Courier New" w:cs="Courier New"/>
          <w:sz w:val="24"/>
          <w:szCs w:val="24"/>
        </w:rPr>
        <w:t xml:space="preserve">. </w:t>
      </w:r>
      <w:r w:rsidR="00406374" w:rsidRPr="00406374">
        <w:rPr>
          <w:rFonts w:ascii="Courier New" w:hAnsi="Courier New" w:cs="Courier New"/>
          <w:sz w:val="24"/>
          <w:szCs w:val="24"/>
        </w:rPr>
        <w:t xml:space="preserve"> The government must prove that one of these, “listed condition[s] rendered the complainant incapable of entering a freely given agreement.” </w:t>
      </w:r>
      <w:r w:rsidR="00406374" w:rsidRPr="00406374">
        <w:rPr>
          <w:rFonts w:ascii="Courier New" w:hAnsi="Courier New" w:cs="Courier New"/>
          <w:i/>
          <w:sz w:val="24"/>
          <w:szCs w:val="24"/>
        </w:rPr>
        <w:t>Pease</w:t>
      </w:r>
      <w:r w:rsidR="00406374" w:rsidRPr="00406374">
        <w:rPr>
          <w:rFonts w:ascii="Courier New" w:hAnsi="Courier New" w:cs="Courier New"/>
          <w:sz w:val="24"/>
          <w:szCs w:val="24"/>
        </w:rPr>
        <w:t>, 74 M.J. at 770.</w:t>
      </w:r>
      <w:r w:rsidR="00406374">
        <w:rPr>
          <w:rFonts w:ascii="Courier New" w:hAnsi="Courier New" w:cs="Courier New"/>
          <w:sz w:val="24"/>
          <w:szCs w:val="24"/>
        </w:rPr>
        <w:t xml:space="preserve"> </w:t>
      </w:r>
      <w:r w:rsidR="00FA46D1">
        <w:rPr>
          <w:rFonts w:ascii="Courier New" w:hAnsi="Courier New" w:cs="Courier New"/>
          <w:sz w:val="24"/>
          <w:szCs w:val="24"/>
        </w:rPr>
        <w:t>In this case,</w:t>
      </w:r>
      <w:r w:rsidR="00406374">
        <w:rPr>
          <w:rFonts w:ascii="Courier New" w:hAnsi="Courier New" w:cs="Courier New"/>
          <w:sz w:val="24"/>
          <w:szCs w:val="24"/>
        </w:rPr>
        <w:t xml:space="preserve"> the </w:t>
      </w:r>
      <w:r w:rsidR="00406374" w:rsidRPr="00406374">
        <w:rPr>
          <w:rFonts w:ascii="Courier New" w:hAnsi="Courier New" w:cs="Courier New"/>
          <w:sz w:val="24"/>
          <w:szCs w:val="24"/>
        </w:rPr>
        <w:t>government</w:t>
      </w:r>
      <w:r w:rsidR="0040637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alleged that E.H. was incompetent to consent, “due to impairment by an intoxicant.” (Charge Sheet). However, the government </w:t>
      </w:r>
      <w:r w:rsidR="00406374" w:rsidRPr="00406374">
        <w:rPr>
          <w:rFonts w:ascii="Courier New" w:hAnsi="Courier New" w:cs="Courier New"/>
          <w:sz w:val="24"/>
          <w:szCs w:val="24"/>
        </w:rPr>
        <w:t xml:space="preserve">offers no explanation either at trial or on appeal as to how three drinks could cause E.H. to become </w:t>
      </w:r>
      <w:r>
        <w:rPr>
          <w:rFonts w:ascii="Courier New" w:hAnsi="Courier New" w:cs="Courier New"/>
          <w:sz w:val="24"/>
          <w:szCs w:val="24"/>
        </w:rPr>
        <w:t xml:space="preserve">so intoxicated as to be </w:t>
      </w:r>
      <w:r w:rsidR="00406374" w:rsidRPr="00406374">
        <w:rPr>
          <w:rFonts w:ascii="Courier New" w:hAnsi="Courier New" w:cs="Courier New"/>
          <w:sz w:val="24"/>
          <w:szCs w:val="24"/>
        </w:rPr>
        <w:t>incompetent to consent</w:t>
      </w:r>
      <w:r w:rsidR="00FA46D1">
        <w:rPr>
          <w:rFonts w:ascii="Courier New" w:hAnsi="Courier New" w:cs="Courier New"/>
          <w:sz w:val="24"/>
          <w:szCs w:val="24"/>
        </w:rPr>
        <w:t xml:space="preserve">.  </w:t>
      </w:r>
      <w:r w:rsidR="00FE404C">
        <w:rPr>
          <w:rFonts w:ascii="Courier New" w:hAnsi="Courier New" w:cs="Courier New"/>
          <w:sz w:val="24"/>
          <w:szCs w:val="24"/>
        </w:rPr>
        <w:t>T</w:t>
      </w:r>
      <w:r w:rsidR="00AF7511">
        <w:rPr>
          <w:rFonts w:ascii="Courier New" w:hAnsi="Courier New" w:cs="Courier New"/>
          <w:sz w:val="24"/>
          <w:szCs w:val="24"/>
        </w:rPr>
        <w:t xml:space="preserve">he </w:t>
      </w:r>
      <w:r w:rsidR="00443F95" w:rsidRPr="00173FFB">
        <w:rPr>
          <w:rFonts w:ascii="Courier New" w:hAnsi="Courier New" w:cs="Courier New"/>
          <w:sz w:val="24"/>
          <w:szCs w:val="24"/>
        </w:rPr>
        <w:t>government, not appellant, ha</w:t>
      </w:r>
      <w:r w:rsidR="008D7F9F">
        <w:rPr>
          <w:rFonts w:ascii="Courier New" w:hAnsi="Courier New" w:cs="Courier New"/>
          <w:sz w:val="24"/>
          <w:szCs w:val="24"/>
        </w:rPr>
        <w:t>d</w:t>
      </w:r>
      <w:r w:rsidR="00443F95" w:rsidRPr="00173FFB">
        <w:rPr>
          <w:rFonts w:ascii="Courier New" w:hAnsi="Courier New" w:cs="Courier New"/>
          <w:sz w:val="24"/>
          <w:szCs w:val="24"/>
        </w:rPr>
        <w:t xml:space="preserve"> the burden to </w:t>
      </w:r>
      <w:r w:rsidR="00AF7511">
        <w:rPr>
          <w:rFonts w:ascii="Courier New" w:hAnsi="Courier New" w:cs="Courier New"/>
          <w:sz w:val="24"/>
          <w:szCs w:val="24"/>
        </w:rPr>
        <w:t xml:space="preserve">explain how three drinks could cause E.H. to become incompetent. </w:t>
      </w:r>
      <w:r w:rsidR="00AF7511" w:rsidRPr="00AF7511">
        <w:rPr>
          <w:rFonts w:ascii="Courier New" w:hAnsi="Courier New" w:cs="Courier New"/>
          <w:i/>
          <w:sz w:val="24"/>
          <w:szCs w:val="24"/>
        </w:rPr>
        <w:t>Id</w:t>
      </w:r>
      <w:r w:rsidR="00AF7511">
        <w:rPr>
          <w:rFonts w:ascii="Courier New" w:hAnsi="Courier New" w:cs="Courier New"/>
          <w:sz w:val="24"/>
          <w:szCs w:val="24"/>
        </w:rPr>
        <w:t xml:space="preserve">. </w:t>
      </w:r>
    </w:p>
    <w:p w:rsidR="009F0B93" w:rsidRDefault="00831DF2" w:rsidP="00BF5AC5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0D554C" w:rsidRPr="000D554C">
        <w:rPr>
          <w:rFonts w:ascii="Courier New" w:hAnsi="Courier New" w:cs="Courier New"/>
          <w:sz w:val="24"/>
          <w:szCs w:val="24"/>
        </w:rPr>
        <w:t xml:space="preserve">The government disavows the possibility that the three drinks </w:t>
      </w:r>
      <w:r w:rsidR="004D0671">
        <w:rPr>
          <w:rFonts w:ascii="Courier New" w:hAnsi="Courier New" w:cs="Courier New"/>
          <w:sz w:val="24"/>
          <w:szCs w:val="24"/>
        </w:rPr>
        <w:t>interacted</w:t>
      </w:r>
      <w:r w:rsidR="000D554C" w:rsidRPr="000D554C">
        <w:rPr>
          <w:rFonts w:ascii="Courier New" w:hAnsi="Courier New" w:cs="Courier New"/>
          <w:sz w:val="24"/>
          <w:szCs w:val="24"/>
        </w:rPr>
        <w:t xml:space="preserve"> with hydrocodone. (Government Br. at 26).</w:t>
      </w:r>
      <w:r w:rsidR="000D554C">
        <w:rPr>
          <w:rFonts w:ascii="Courier New" w:hAnsi="Courier New" w:cs="Courier New"/>
          <w:sz w:val="24"/>
          <w:szCs w:val="24"/>
        </w:rPr>
        <w:t xml:space="preserve">  </w:t>
      </w:r>
      <w:r w:rsidR="008D655D">
        <w:rPr>
          <w:rFonts w:ascii="Courier New" w:hAnsi="Courier New" w:cs="Courier New"/>
          <w:sz w:val="24"/>
          <w:szCs w:val="24"/>
        </w:rPr>
        <w:t xml:space="preserve">Because they disavow the possibility that E.H. was taking </w:t>
      </w:r>
      <w:r w:rsidR="008D655D">
        <w:rPr>
          <w:rFonts w:ascii="Courier New" w:hAnsi="Courier New" w:cs="Courier New"/>
          <w:sz w:val="24"/>
          <w:szCs w:val="24"/>
        </w:rPr>
        <w:lastRenderedPageBreak/>
        <w:t>hydrocodone at the relevant time, t</w:t>
      </w:r>
      <w:r w:rsidR="00173FFB">
        <w:rPr>
          <w:rFonts w:ascii="Courier New" w:hAnsi="Courier New" w:cs="Courier New"/>
          <w:sz w:val="24"/>
          <w:szCs w:val="24"/>
        </w:rPr>
        <w:t xml:space="preserve">he government argument relies </w:t>
      </w:r>
      <w:r w:rsidR="008D655D">
        <w:rPr>
          <w:rFonts w:ascii="Courier New" w:hAnsi="Courier New" w:cs="Courier New"/>
          <w:sz w:val="24"/>
          <w:szCs w:val="24"/>
        </w:rPr>
        <w:t xml:space="preserve">solely </w:t>
      </w:r>
      <w:r w:rsidR="00173FFB">
        <w:rPr>
          <w:rFonts w:ascii="Courier New" w:hAnsi="Courier New" w:cs="Courier New"/>
          <w:sz w:val="24"/>
          <w:szCs w:val="24"/>
        </w:rPr>
        <w:t xml:space="preserve">on speculation as to </w:t>
      </w:r>
      <w:r w:rsidR="00B37239">
        <w:rPr>
          <w:rFonts w:ascii="Courier New" w:hAnsi="Courier New" w:cs="Courier New"/>
          <w:sz w:val="24"/>
          <w:szCs w:val="24"/>
        </w:rPr>
        <w:t xml:space="preserve">the meaning of E.H.’s testimony that she vomited and </w:t>
      </w:r>
      <w:r w:rsidR="00876153">
        <w:rPr>
          <w:rFonts w:ascii="Courier New" w:hAnsi="Courier New" w:cs="Courier New"/>
          <w:sz w:val="24"/>
          <w:szCs w:val="24"/>
        </w:rPr>
        <w:t xml:space="preserve">may have </w:t>
      </w:r>
      <w:r w:rsidR="00B37239">
        <w:rPr>
          <w:rFonts w:ascii="Courier New" w:hAnsi="Courier New" w:cs="Courier New"/>
          <w:sz w:val="24"/>
          <w:szCs w:val="24"/>
        </w:rPr>
        <w:t>urinated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B37239">
        <w:rPr>
          <w:rFonts w:ascii="Courier New" w:hAnsi="Courier New" w:cs="Courier New"/>
          <w:sz w:val="24"/>
          <w:szCs w:val="24"/>
        </w:rPr>
        <w:t>(Government Br. at 21; R.</w:t>
      </w:r>
      <w:r w:rsidR="00B37239" w:rsidRPr="00B37239">
        <w:rPr>
          <w:rFonts w:ascii="Courier New" w:hAnsi="Courier New" w:cs="Courier New"/>
          <w:sz w:val="24"/>
          <w:szCs w:val="24"/>
        </w:rPr>
        <w:t xml:space="preserve"> 133, 161-62</w:t>
      </w:r>
      <w:r w:rsidR="009F0B93">
        <w:rPr>
          <w:rFonts w:ascii="Courier New" w:hAnsi="Courier New" w:cs="Courier New"/>
          <w:sz w:val="24"/>
          <w:szCs w:val="24"/>
        </w:rPr>
        <w:t>).</w:t>
      </w:r>
      <w:r w:rsidR="00B37239">
        <w:rPr>
          <w:rFonts w:ascii="Courier New" w:hAnsi="Courier New" w:cs="Courier New"/>
          <w:sz w:val="24"/>
          <w:szCs w:val="24"/>
        </w:rPr>
        <w:t xml:space="preserve"> </w:t>
      </w:r>
      <w:r w:rsidR="009F0B9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 w:rsidR="0098309B">
        <w:rPr>
          <w:rFonts w:ascii="Courier New" w:hAnsi="Courier New" w:cs="Courier New"/>
          <w:sz w:val="24"/>
          <w:szCs w:val="24"/>
        </w:rPr>
        <w:t xml:space="preserve">here are many possible explanations why E.H. may have vomited, assuming her testimony is </w:t>
      </w:r>
      <w:r w:rsidR="004D0671">
        <w:rPr>
          <w:rFonts w:ascii="Courier New" w:hAnsi="Courier New" w:cs="Courier New"/>
          <w:sz w:val="24"/>
          <w:szCs w:val="24"/>
        </w:rPr>
        <w:t>accurate</w:t>
      </w:r>
      <w:r w:rsidR="0098309B">
        <w:rPr>
          <w:rFonts w:ascii="Courier New" w:hAnsi="Courier New" w:cs="Courier New"/>
          <w:sz w:val="24"/>
          <w:szCs w:val="24"/>
        </w:rPr>
        <w:t xml:space="preserve">. </w:t>
      </w:r>
      <w:r w:rsidR="00876153" w:rsidRPr="00876153">
        <w:rPr>
          <w:rFonts w:ascii="Courier New" w:hAnsi="Courier New" w:cs="Courier New"/>
          <w:sz w:val="24"/>
          <w:szCs w:val="24"/>
        </w:rPr>
        <w:t>Further</w:t>
      </w:r>
      <w:r w:rsidR="009F0B93">
        <w:rPr>
          <w:rFonts w:ascii="Courier New" w:hAnsi="Courier New" w:cs="Courier New"/>
          <w:sz w:val="24"/>
          <w:szCs w:val="24"/>
        </w:rPr>
        <w:t>more, there is no evidence indicating whether she vomited before having sex or after having sex with appellant</w:t>
      </w:r>
      <w:r w:rsidR="00876153" w:rsidRPr="00876153">
        <w:rPr>
          <w:rFonts w:ascii="Courier New" w:hAnsi="Courier New" w:cs="Courier New"/>
          <w:sz w:val="24"/>
          <w:szCs w:val="24"/>
        </w:rPr>
        <w:t>.</w:t>
      </w:r>
      <w:r w:rsidR="004D0671">
        <w:rPr>
          <w:rFonts w:ascii="Courier New" w:hAnsi="Courier New" w:cs="Courier New"/>
          <w:sz w:val="24"/>
          <w:szCs w:val="24"/>
        </w:rPr>
        <w:t xml:space="preserve"> </w:t>
      </w:r>
    </w:p>
    <w:p w:rsidR="0092166B" w:rsidRDefault="0092166B" w:rsidP="00BF5A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Furthermore, the government </w:t>
      </w:r>
      <w:r w:rsidR="00ED7E24">
        <w:rPr>
          <w:rFonts w:ascii="Courier New" w:hAnsi="Courier New" w:cs="Courier New"/>
          <w:sz w:val="24"/>
          <w:szCs w:val="24"/>
        </w:rPr>
        <w:t xml:space="preserve">exaggerates </w:t>
      </w:r>
      <w:r>
        <w:rPr>
          <w:rFonts w:ascii="Courier New" w:hAnsi="Courier New" w:cs="Courier New"/>
          <w:sz w:val="24"/>
          <w:szCs w:val="24"/>
        </w:rPr>
        <w:t xml:space="preserve">the evidence when they state that, “The bed was . . . soaked with her urine; she had been lying in her urine when she awoke in the morning, after the sexual assault.” (Government Br. at 21). </w:t>
      </w:r>
      <w:r w:rsidR="0098309B">
        <w:rPr>
          <w:rFonts w:ascii="Courier New" w:hAnsi="Courier New" w:cs="Courier New"/>
          <w:sz w:val="24"/>
          <w:szCs w:val="24"/>
        </w:rPr>
        <w:t xml:space="preserve"> E.H. </w:t>
      </w:r>
      <w:r w:rsidR="008D655D">
        <w:rPr>
          <w:rFonts w:ascii="Courier New" w:hAnsi="Courier New" w:cs="Courier New"/>
          <w:sz w:val="24"/>
          <w:szCs w:val="24"/>
        </w:rPr>
        <w:t xml:space="preserve">first </w:t>
      </w:r>
      <w:r w:rsidR="0098309B">
        <w:rPr>
          <w:rFonts w:ascii="Courier New" w:hAnsi="Courier New" w:cs="Courier New"/>
          <w:sz w:val="24"/>
          <w:szCs w:val="24"/>
        </w:rPr>
        <w:t xml:space="preserve">testified that the sheets were </w:t>
      </w:r>
      <w:r w:rsidR="008D655D">
        <w:rPr>
          <w:rFonts w:ascii="Courier New" w:hAnsi="Courier New" w:cs="Courier New"/>
          <w:sz w:val="24"/>
          <w:szCs w:val="24"/>
        </w:rPr>
        <w:t xml:space="preserve">merely </w:t>
      </w:r>
      <w:r w:rsidR="0098309B">
        <w:rPr>
          <w:rFonts w:ascii="Courier New" w:hAnsi="Courier New" w:cs="Courier New"/>
          <w:sz w:val="24"/>
          <w:szCs w:val="24"/>
        </w:rPr>
        <w:t>wet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:rsidR="0092166B" w:rsidRPr="0092166B" w:rsidRDefault="0092166B" w:rsidP="0092166B">
      <w:pPr>
        <w:spacing w:line="240" w:lineRule="auto"/>
        <w:ind w:left="1440" w:right="1440"/>
        <w:rPr>
          <w:rFonts w:ascii="Courier New" w:hAnsi="Courier New" w:cs="Courier New"/>
          <w:sz w:val="24"/>
          <w:szCs w:val="24"/>
        </w:rPr>
      </w:pPr>
      <w:bookmarkStart w:id="0" w:name="sticky_fluid"/>
      <w:bookmarkStart w:id="1" w:name="had_vomit_in_my_hair_and_on_the_sheets"/>
      <w:bookmarkEnd w:id="0"/>
      <w:bookmarkEnd w:id="1"/>
      <w:r w:rsidRPr="0092166B">
        <w:rPr>
          <w:rFonts w:ascii="Courier New" w:hAnsi="Courier New" w:cs="Courier New"/>
          <w:sz w:val="24"/>
          <w:szCs w:val="24"/>
        </w:rPr>
        <w:t>Q. What did you notice about yourself when you woke up?</w:t>
      </w:r>
    </w:p>
    <w:p w:rsidR="0092166B" w:rsidRPr="0092166B" w:rsidRDefault="0092166B" w:rsidP="0092166B">
      <w:pPr>
        <w:spacing w:line="240" w:lineRule="auto"/>
        <w:ind w:left="1440" w:right="1440"/>
        <w:rPr>
          <w:rFonts w:ascii="Courier New" w:hAnsi="Courier New" w:cs="Courier New"/>
          <w:sz w:val="24"/>
          <w:szCs w:val="24"/>
        </w:rPr>
      </w:pPr>
      <w:r w:rsidRPr="0092166B">
        <w:rPr>
          <w:rFonts w:ascii="Courier New" w:hAnsi="Courier New" w:cs="Courier New"/>
          <w:sz w:val="24"/>
          <w:szCs w:val="24"/>
        </w:rPr>
        <w:t>A. I had vomit in my hair and on the sheets. There was a sticky fluid .</w:t>
      </w:r>
    </w:p>
    <w:p w:rsidR="0092166B" w:rsidRDefault="0092166B" w:rsidP="0092166B">
      <w:pPr>
        <w:spacing w:line="240" w:lineRule="auto"/>
        <w:ind w:left="1440" w:right="1440"/>
        <w:rPr>
          <w:rFonts w:ascii="Courier New" w:hAnsi="Courier New" w:cs="Courier New"/>
          <w:sz w:val="24"/>
          <w:szCs w:val="24"/>
        </w:rPr>
      </w:pPr>
      <w:r w:rsidRPr="0092166B">
        <w:rPr>
          <w:rFonts w:ascii="Courier New" w:hAnsi="Courier New" w:cs="Courier New"/>
          <w:sz w:val="24"/>
          <w:szCs w:val="24"/>
        </w:rPr>
        <w:t xml:space="preserve">Q. Was the bed wet? </w:t>
      </w:r>
    </w:p>
    <w:p w:rsidR="0092166B" w:rsidRPr="0092166B" w:rsidRDefault="0092166B" w:rsidP="0092166B">
      <w:pPr>
        <w:spacing w:line="240" w:lineRule="auto"/>
        <w:ind w:left="1440" w:right="1440"/>
        <w:rPr>
          <w:rFonts w:ascii="Courier New" w:hAnsi="Courier New" w:cs="Courier New"/>
          <w:sz w:val="24"/>
          <w:szCs w:val="24"/>
        </w:rPr>
      </w:pPr>
      <w:r w:rsidRPr="0092166B">
        <w:rPr>
          <w:rFonts w:ascii="Courier New" w:hAnsi="Courier New" w:cs="Courier New"/>
          <w:sz w:val="24"/>
          <w:szCs w:val="24"/>
        </w:rPr>
        <w:t>A. It was.</w:t>
      </w:r>
    </w:p>
    <w:p w:rsidR="004139D7" w:rsidRDefault="0092166B" w:rsidP="004515E7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</w:t>
      </w:r>
      <w:r w:rsidR="008D655D">
        <w:rPr>
          <w:rFonts w:ascii="Courier New" w:hAnsi="Courier New" w:cs="Courier New"/>
          <w:sz w:val="24"/>
          <w:szCs w:val="24"/>
        </w:rPr>
        <w:t xml:space="preserve">. at 133. Later on redirect, she failed to affirmatively adopt her written statement explaining instead, “At the time I believed it to be urine.” </w:t>
      </w:r>
      <w:r w:rsidR="00876153">
        <w:rPr>
          <w:rFonts w:ascii="Courier New" w:hAnsi="Courier New" w:cs="Courier New"/>
          <w:sz w:val="24"/>
          <w:szCs w:val="24"/>
        </w:rPr>
        <w:t>(R. at 161-62; Appellate Ex. XVIII.) The government assertion that it was in fac</w:t>
      </w:r>
      <w:r>
        <w:rPr>
          <w:rFonts w:ascii="Courier New" w:hAnsi="Courier New" w:cs="Courier New"/>
          <w:sz w:val="24"/>
          <w:szCs w:val="24"/>
        </w:rPr>
        <w:t>t urine is speculative.</w:t>
      </w:r>
      <w:r w:rsidR="00ED7E24">
        <w:rPr>
          <w:rFonts w:ascii="Courier New" w:hAnsi="Courier New" w:cs="Courier New"/>
          <w:sz w:val="24"/>
          <w:szCs w:val="24"/>
        </w:rPr>
        <w:t xml:space="preserve"> There was also no evidence introduced as to what the sticky fluid may have been.</w:t>
      </w:r>
      <w:r w:rsidR="00FF04B1">
        <w:rPr>
          <w:rFonts w:ascii="Courier New" w:hAnsi="Courier New" w:cs="Courier New"/>
          <w:sz w:val="24"/>
          <w:szCs w:val="24"/>
        </w:rPr>
        <w:t xml:space="preserve"> </w:t>
      </w:r>
      <w:r w:rsidR="0048213A">
        <w:rPr>
          <w:rFonts w:ascii="Courier New" w:hAnsi="Courier New" w:cs="Courier New"/>
          <w:sz w:val="24"/>
          <w:szCs w:val="24"/>
        </w:rPr>
        <w:t xml:space="preserve">The government’s reliance on these side issues is an attempt to distract from the weakness of </w:t>
      </w:r>
      <w:r w:rsidR="0048213A">
        <w:rPr>
          <w:rFonts w:ascii="Courier New" w:hAnsi="Courier New" w:cs="Courier New"/>
          <w:sz w:val="24"/>
          <w:szCs w:val="24"/>
        </w:rPr>
        <w:lastRenderedPageBreak/>
        <w:t>the government’s evidence</w:t>
      </w:r>
      <w:r w:rsidR="0009451C">
        <w:rPr>
          <w:rFonts w:ascii="Courier New" w:hAnsi="Courier New" w:cs="Courier New"/>
          <w:sz w:val="24"/>
          <w:szCs w:val="24"/>
        </w:rPr>
        <w:t xml:space="preserve"> on the key undisputed issue: E.H. consumed only three drinks.</w:t>
      </w:r>
      <w:r w:rsidR="00BF5AC5">
        <w:rPr>
          <w:rFonts w:ascii="Courier New" w:hAnsi="Courier New" w:cs="Courier New"/>
          <w:sz w:val="24"/>
          <w:szCs w:val="24"/>
        </w:rPr>
        <w:t xml:space="preserve"> </w:t>
      </w:r>
      <w:r w:rsidR="0048213A" w:rsidRPr="0048213A">
        <w:rPr>
          <w:rFonts w:ascii="Courier New" w:hAnsi="Courier New" w:cs="Courier New"/>
          <w:sz w:val="24"/>
          <w:szCs w:val="24"/>
        </w:rPr>
        <w:t xml:space="preserve">E.H.’s credibility on these points is not determinative of the outcome of this case: </w:t>
      </w:r>
      <w:r w:rsidR="00BF5AC5">
        <w:rPr>
          <w:rFonts w:ascii="Courier New" w:hAnsi="Courier New" w:cs="Courier New"/>
          <w:sz w:val="24"/>
          <w:szCs w:val="24"/>
        </w:rPr>
        <w:t xml:space="preserve">it is undisputed that E.H. consumed only </w:t>
      </w:r>
      <w:r w:rsidR="0048213A" w:rsidRPr="0048213A">
        <w:rPr>
          <w:rFonts w:ascii="Courier New" w:hAnsi="Courier New" w:cs="Courier New"/>
          <w:sz w:val="24"/>
          <w:szCs w:val="24"/>
        </w:rPr>
        <w:t xml:space="preserve">three drinks </w:t>
      </w:r>
      <w:r w:rsidR="00BF5AC5">
        <w:rPr>
          <w:rFonts w:ascii="Courier New" w:hAnsi="Courier New" w:cs="Courier New"/>
          <w:sz w:val="24"/>
          <w:szCs w:val="24"/>
        </w:rPr>
        <w:t xml:space="preserve">and three drinks </w:t>
      </w:r>
      <w:r w:rsidR="0048213A" w:rsidRPr="0048213A">
        <w:rPr>
          <w:rFonts w:ascii="Courier New" w:hAnsi="Courier New" w:cs="Courier New"/>
          <w:sz w:val="24"/>
          <w:szCs w:val="24"/>
        </w:rPr>
        <w:t>could not have caused E.H. to become so intoxicated as to be incompetent to consent.</w:t>
      </w:r>
    </w:p>
    <w:p w:rsidR="004139D7" w:rsidRDefault="004139D7" w:rsidP="00FF04B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The government brief </w:t>
      </w:r>
      <w:r w:rsidR="004515E7">
        <w:rPr>
          <w:rFonts w:ascii="Courier New" w:hAnsi="Courier New" w:cs="Courier New"/>
          <w:sz w:val="24"/>
          <w:szCs w:val="24"/>
        </w:rPr>
        <w:t xml:space="preserve">turns well known </w:t>
      </w:r>
      <w:r>
        <w:rPr>
          <w:rFonts w:ascii="Courier New" w:hAnsi="Courier New" w:cs="Courier New"/>
          <w:sz w:val="24"/>
          <w:szCs w:val="24"/>
        </w:rPr>
        <w:t>scientific</w:t>
      </w:r>
      <w:r w:rsidR="004515E7">
        <w:rPr>
          <w:rFonts w:ascii="Courier New" w:hAnsi="Courier New" w:cs="Courier New"/>
          <w:sz w:val="24"/>
          <w:szCs w:val="24"/>
        </w:rPr>
        <w:t xml:space="preserve"> truths upside down.  </w:t>
      </w:r>
    </w:p>
    <w:p w:rsidR="004139D7" w:rsidRDefault="004139D7" w:rsidP="00FF04B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515E7" w:rsidRDefault="00FF04B1" w:rsidP="00D952F8">
      <w:pPr>
        <w:spacing w:after="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The government brief asserts that E.H.’s apparent memory blackouts, “lends proof to her level of intoxication.” (Government Br. at 21-22, n. 3).</w:t>
      </w:r>
      <w:r w:rsidR="00227423">
        <w:rPr>
          <w:rFonts w:ascii="Courier New" w:hAnsi="Courier New" w:cs="Courier New"/>
          <w:sz w:val="24"/>
          <w:szCs w:val="24"/>
        </w:rPr>
        <w:t xml:space="preserve">  The government asserts, “the memory ‘blackout’ established that </w:t>
      </w:r>
      <w:proofErr w:type="spellStart"/>
      <w:r w:rsidR="00227423">
        <w:rPr>
          <w:rFonts w:ascii="Courier New" w:hAnsi="Courier New" w:cs="Courier New"/>
          <w:sz w:val="24"/>
          <w:szCs w:val="24"/>
        </w:rPr>
        <w:t>LCpl</w:t>
      </w:r>
      <w:proofErr w:type="spellEnd"/>
      <w:r w:rsidR="00227423">
        <w:rPr>
          <w:rFonts w:ascii="Courier New" w:hAnsi="Courier New" w:cs="Courier New"/>
          <w:sz w:val="24"/>
          <w:szCs w:val="24"/>
        </w:rPr>
        <w:t xml:space="preserve"> EH was incapable of consenting.” (Government Br. at 22). </w:t>
      </w:r>
      <w:r w:rsidR="00EF2B08">
        <w:rPr>
          <w:rFonts w:ascii="Courier New" w:hAnsi="Courier New" w:cs="Courier New"/>
          <w:sz w:val="24"/>
          <w:szCs w:val="24"/>
        </w:rPr>
        <w:t xml:space="preserve">This astonishing assertion </w:t>
      </w:r>
      <w:r w:rsidR="004139D7">
        <w:rPr>
          <w:rFonts w:ascii="Courier New" w:hAnsi="Courier New" w:cs="Courier New"/>
          <w:sz w:val="24"/>
          <w:szCs w:val="24"/>
        </w:rPr>
        <w:t>contradict</w:t>
      </w:r>
      <w:r w:rsidR="00EF2B08">
        <w:rPr>
          <w:rFonts w:ascii="Courier New" w:hAnsi="Courier New" w:cs="Courier New"/>
          <w:sz w:val="24"/>
          <w:szCs w:val="24"/>
        </w:rPr>
        <w:t>s</w:t>
      </w:r>
      <w:r w:rsidR="004139D7">
        <w:rPr>
          <w:rFonts w:ascii="Courier New" w:hAnsi="Courier New" w:cs="Courier New"/>
          <w:sz w:val="24"/>
          <w:szCs w:val="24"/>
        </w:rPr>
        <w:t xml:space="preserve"> </w:t>
      </w:r>
      <w:r w:rsidR="00227423">
        <w:rPr>
          <w:rFonts w:ascii="Courier New" w:hAnsi="Courier New" w:cs="Courier New"/>
          <w:sz w:val="24"/>
          <w:szCs w:val="24"/>
        </w:rPr>
        <w:t>known</w:t>
      </w:r>
      <w:r w:rsidR="004139D7">
        <w:rPr>
          <w:rFonts w:ascii="Courier New" w:hAnsi="Courier New" w:cs="Courier New"/>
          <w:sz w:val="24"/>
          <w:szCs w:val="24"/>
        </w:rPr>
        <w:t xml:space="preserve"> scientific </w:t>
      </w:r>
      <w:r w:rsidR="00227423">
        <w:rPr>
          <w:rFonts w:ascii="Courier New" w:hAnsi="Courier New" w:cs="Courier New"/>
          <w:sz w:val="24"/>
          <w:szCs w:val="24"/>
        </w:rPr>
        <w:t xml:space="preserve">facts: </w:t>
      </w:r>
      <w:r w:rsidR="004139D7">
        <w:rPr>
          <w:rFonts w:ascii="Courier New" w:hAnsi="Courier New" w:cs="Courier New"/>
          <w:sz w:val="24"/>
          <w:szCs w:val="24"/>
        </w:rPr>
        <w:t xml:space="preserve">“[p]ass-out . . . typically occurs at BACs of .30 or higher. . . .” </w:t>
      </w:r>
      <w:r w:rsidR="004139D7" w:rsidRPr="004139D7">
        <w:rPr>
          <w:rFonts w:ascii="Courier New" w:hAnsi="Courier New" w:cs="Courier New"/>
          <w:i/>
          <w:sz w:val="24"/>
          <w:szCs w:val="24"/>
        </w:rPr>
        <w:t>Pease</w:t>
      </w:r>
      <w:r w:rsidR="004139D7">
        <w:rPr>
          <w:rFonts w:ascii="Courier New" w:hAnsi="Courier New" w:cs="Courier New"/>
          <w:sz w:val="24"/>
          <w:szCs w:val="24"/>
        </w:rPr>
        <w:t xml:space="preserve">, 74 M.J. at 769. </w:t>
      </w:r>
      <w:r w:rsidR="00132BDD">
        <w:rPr>
          <w:rFonts w:ascii="Courier New" w:hAnsi="Courier New" w:cs="Courier New"/>
          <w:sz w:val="24"/>
          <w:szCs w:val="24"/>
        </w:rPr>
        <w:t xml:space="preserve">The drinks E.H. consumed in the hours prior to having sex with appellant were significantly less than the amount required to cause her to </w:t>
      </w:r>
      <w:r w:rsidR="00EF2B08">
        <w:rPr>
          <w:rFonts w:ascii="Courier New" w:hAnsi="Courier New" w:cs="Courier New"/>
          <w:sz w:val="24"/>
          <w:szCs w:val="24"/>
        </w:rPr>
        <w:t xml:space="preserve">reach a .30 BAC and </w:t>
      </w:r>
      <w:r w:rsidR="00132BDD">
        <w:rPr>
          <w:rFonts w:ascii="Courier New" w:hAnsi="Courier New" w:cs="Courier New"/>
          <w:sz w:val="24"/>
          <w:szCs w:val="24"/>
        </w:rPr>
        <w:t xml:space="preserve">pass-out. </w:t>
      </w:r>
      <w:r w:rsidR="004139D7">
        <w:rPr>
          <w:rFonts w:ascii="Courier New" w:hAnsi="Courier New" w:cs="Courier New"/>
          <w:sz w:val="24"/>
          <w:szCs w:val="24"/>
        </w:rPr>
        <w:t xml:space="preserve">Had the defense counsel called their </w:t>
      </w:r>
      <w:r w:rsidR="00132BDD">
        <w:rPr>
          <w:rFonts w:ascii="Courier New" w:hAnsi="Courier New" w:cs="Courier New"/>
          <w:sz w:val="24"/>
          <w:szCs w:val="24"/>
        </w:rPr>
        <w:t>readily available consultant to testify, this evidence would also be available in this case.</w:t>
      </w:r>
      <w:r w:rsidR="0092166B">
        <w:rPr>
          <w:rFonts w:ascii="Courier New" w:hAnsi="Courier New" w:cs="Courier New"/>
          <w:sz w:val="24"/>
          <w:szCs w:val="24"/>
        </w:rPr>
        <w:t xml:space="preserve"> </w:t>
      </w:r>
    </w:p>
    <w:p w:rsidR="00ED087F" w:rsidRDefault="00ED087F" w:rsidP="007C5CA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31C11" w:rsidRDefault="00772EF5" w:rsidP="00B21586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The government incorrectly asserts that “appellant failed to identify specific information of what he would have submitted” in his clemency request. (Government Br. at 32). </w:t>
      </w:r>
    </w:p>
    <w:p w:rsidR="00772EF5" w:rsidRDefault="00772EF5" w:rsidP="00D952F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Contrary to the government’s brief, appellant’s affidavit identifies specific information that he wanted included in the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clemency submission.  Appellant’s affidavit states, “I provided numerous </w:t>
      </w:r>
      <w:r w:rsidR="00D952F8">
        <w:rPr>
          <w:rFonts w:ascii="Courier New" w:hAnsi="Courier New" w:cs="Courier New"/>
          <w:sz w:val="24"/>
          <w:szCs w:val="24"/>
        </w:rPr>
        <w:t xml:space="preserve">letters of support and records of accomplishment to the brig, and LT Hochmuth told me he would get them from the brig. He never did so.” (Appellant’s Affidavit).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872210" w:rsidRPr="00872210" w:rsidRDefault="00872210" w:rsidP="00872210">
      <w:pPr>
        <w:spacing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872210">
        <w:rPr>
          <w:rFonts w:ascii="Courier New" w:hAnsi="Courier New" w:cs="Courier New"/>
          <w:sz w:val="24"/>
          <w:szCs w:val="24"/>
        </w:rPr>
        <w:t>Conclusion</w:t>
      </w:r>
    </w:p>
    <w:p w:rsidR="00872210" w:rsidRPr="00872210" w:rsidRDefault="00872210" w:rsidP="0087221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872210">
        <w:rPr>
          <w:rFonts w:ascii="Courier New" w:hAnsi="Courier New" w:cs="Courier New"/>
          <w:sz w:val="24"/>
          <w:szCs w:val="24"/>
        </w:rPr>
        <w:t>WHEREFORE, appellant respectfully requests this Honorable</w:t>
      </w:r>
    </w:p>
    <w:p w:rsidR="00872210" w:rsidRDefault="00872210" w:rsidP="00872210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72210">
        <w:rPr>
          <w:rFonts w:ascii="Courier New" w:hAnsi="Courier New" w:cs="Courier New"/>
          <w:sz w:val="24"/>
          <w:szCs w:val="24"/>
        </w:rPr>
        <w:t>Court grant the requested relief.</w:t>
      </w:r>
    </w:p>
    <w:p w:rsidR="00872210" w:rsidRDefault="00872210" w:rsidP="00872210">
      <w:pPr>
        <w:spacing w:after="0" w:line="240" w:lineRule="auto"/>
        <w:ind w:left="5040"/>
        <w:contextualSpacing/>
        <w:rPr>
          <w:rFonts w:ascii="Courier New" w:eastAsia="Calibri" w:hAnsi="Courier New" w:cs="Courier New"/>
          <w:sz w:val="24"/>
          <w:szCs w:val="24"/>
        </w:rPr>
      </w:pPr>
      <w:r w:rsidRPr="00872210">
        <w:rPr>
          <w:rFonts w:ascii="Courier New" w:eastAsia="Calibri" w:hAnsi="Courier New" w:cs="Courier New"/>
          <w:sz w:val="24"/>
          <w:szCs w:val="24"/>
        </w:rPr>
        <w:t>Respectfully submitted,</w:t>
      </w:r>
    </w:p>
    <w:p w:rsidR="00872210" w:rsidRDefault="00872210" w:rsidP="00872210">
      <w:pPr>
        <w:spacing w:after="0" w:line="240" w:lineRule="auto"/>
        <w:ind w:left="5040"/>
        <w:contextualSpacing/>
        <w:rPr>
          <w:rFonts w:ascii="Courier New" w:eastAsia="Calibri" w:hAnsi="Courier New" w:cs="Courier New"/>
          <w:sz w:val="24"/>
          <w:szCs w:val="24"/>
        </w:rPr>
      </w:pPr>
    </w:p>
    <w:p w:rsidR="00872210" w:rsidRDefault="00872210" w:rsidP="00872210">
      <w:pPr>
        <w:spacing w:after="0" w:line="240" w:lineRule="auto"/>
        <w:ind w:left="5040"/>
        <w:contextualSpacing/>
        <w:rPr>
          <w:rFonts w:ascii="Courier New" w:eastAsia="Calibri" w:hAnsi="Courier New" w:cs="Courier New"/>
          <w:sz w:val="24"/>
          <w:szCs w:val="24"/>
        </w:rPr>
      </w:pP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ourier New" w:eastAsia="Calibri" w:hAnsi="Courier New" w:cs="Courier New"/>
          <w:sz w:val="24"/>
          <w:szCs w:val="24"/>
        </w:rPr>
      </w:pPr>
      <w:r w:rsidRPr="00872210">
        <w:rPr>
          <w:rFonts w:ascii="Courier New" w:eastAsia="Calibri" w:hAnsi="Courier New" w:cs="Courier New"/>
          <w:sz w:val="24"/>
          <w:szCs w:val="24"/>
        </w:rPr>
        <w:t>signing for</w:t>
      </w: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ourier New" w:eastAsia="Calibri" w:hAnsi="Courier New" w:cs="Courier New"/>
          <w:sz w:val="24"/>
          <w:szCs w:val="24"/>
        </w:rPr>
      </w:pP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William E. Cassara</w:t>
      </w:r>
      <w:r w:rsidRPr="00872210">
        <w:rPr>
          <w:rFonts w:ascii="Courier New" w:eastAsia="Times New Roman" w:hAnsi="Courier New" w:cs="Courier New"/>
          <w:sz w:val="24"/>
          <w:szCs w:val="24"/>
        </w:rPr>
        <w:tab/>
      </w:r>
      <w:r w:rsidRPr="00872210">
        <w:rPr>
          <w:rFonts w:ascii="Courier New" w:eastAsia="Times New Roman" w:hAnsi="Courier New" w:cs="Courier New"/>
          <w:sz w:val="24"/>
          <w:szCs w:val="24"/>
        </w:rPr>
        <w:tab/>
      </w: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PO Box 2688</w:t>
      </w: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Evans, GA  30809</w:t>
      </w: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706-860-5769</w:t>
      </w:r>
    </w:p>
    <w:p w:rsidR="00872210" w:rsidRPr="00872210" w:rsidRDefault="00872210" w:rsidP="00872210">
      <w:pPr>
        <w:widowControl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bill@williamcassara.com</w:t>
      </w:r>
    </w:p>
    <w:p w:rsidR="00872210" w:rsidRPr="00872210" w:rsidRDefault="00872210" w:rsidP="00872210">
      <w:pPr>
        <w:spacing w:after="0" w:line="240" w:lineRule="auto"/>
        <w:rPr>
          <w:rFonts w:ascii="Calibri" w:eastAsia="Calibri" w:hAnsi="Calibri" w:cs="Times New Roman"/>
        </w:rPr>
      </w:pPr>
    </w:p>
    <w:p w:rsidR="00872210" w:rsidRPr="00872210" w:rsidRDefault="00872210" w:rsidP="00872210">
      <w:pPr>
        <w:spacing w:after="0" w:line="240" w:lineRule="auto"/>
        <w:rPr>
          <w:rFonts w:ascii="Calibri" w:eastAsia="Calibri" w:hAnsi="Calibri" w:cs="Times New Roman"/>
        </w:rPr>
      </w:pPr>
      <w:bookmarkStart w:id="2" w:name="_GoBack"/>
      <w:bookmarkEnd w:id="2"/>
    </w:p>
    <w:p w:rsidR="00872210" w:rsidRPr="00872210" w:rsidRDefault="00872210" w:rsidP="00872210">
      <w:pPr>
        <w:spacing w:after="0" w:line="240" w:lineRule="auto"/>
        <w:rPr>
          <w:rFonts w:ascii="Calibri" w:eastAsia="Calibri" w:hAnsi="Calibri" w:cs="Times New Roman"/>
        </w:rPr>
      </w:pPr>
    </w:p>
    <w:p w:rsidR="00872210" w:rsidRPr="00872210" w:rsidRDefault="00872210" w:rsidP="00872210">
      <w:pPr>
        <w:spacing w:after="0" w:line="240" w:lineRule="auto"/>
        <w:rPr>
          <w:rFonts w:ascii="Calibri" w:eastAsia="Calibri" w:hAnsi="Calibri" w:cs="Times New Roman"/>
        </w:rPr>
      </w:pPr>
    </w:p>
    <w:p w:rsidR="00872210" w:rsidRPr="00872210" w:rsidRDefault="00872210" w:rsidP="00872210">
      <w:pPr>
        <w:spacing w:after="0" w:line="240" w:lineRule="auto"/>
        <w:rPr>
          <w:rFonts w:ascii="Calibri" w:eastAsia="Calibri" w:hAnsi="Calibri" w:cs="Times New Roman"/>
        </w:rPr>
      </w:pP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 xml:space="preserve">Lieutenant, JAGC, USN </w:t>
      </w:r>
    </w:p>
    <w:p w:rsidR="00872210" w:rsidRPr="00872210" w:rsidRDefault="00872210" w:rsidP="00872210">
      <w:pPr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Appellate Defense Counsel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Navy-Marine Corps Appellate Review Activity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1254 Charles Morris Street SE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Building 58, Suite 100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 xml:space="preserve">Washington Navy Yard, D.C. 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>20374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 xml:space="preserve">Phone </w:t>
      </w:r>
      <w:r w:rsidRPr="00872210">
        <w:rPr>
          <w:rFonts w:ascii="Courier New" w:eastAsia="Times New Roman" w:hAnsi="Courier New" w:cs="Courier New"/>
          <w:sz w:val="24"/>
          <w:szCs w:val="24"/>
        </w:rPr>
        <w:tab/>
        <w:t>(202) 685-7713</w:t>
      </w:r>
    </w:p>
    <w:p w:rsidR="00872210" w:rsidRPr="00872210" w:rsidRDefault="0087221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872210">
        <w:rPr>
          <w:rFonts w:ascii="Courier New" w:eastAsia="Times New Roman" w:hAnsi="Courier New" w:cs="Courier New"/>
          <w:sz w:val="24"/>
          <w:szCs w:val="24"/>
        </w:rPr>
        <w:t xml:space="preserve">Fax </w:t>
      </w:r>
      <w:r w:rsidRPr="00872210">
        <w:rPr>
          <w:rFonts w:ascii="Courier New" w:eastAsia="Times New Roman" w:hAnsi="Courier New" w:cs="Courier New"/>
          <w:sz w:val="24"/>
          <w:szCs w:val="24"/>
        </w:rPr>
        <w:tab/>
      </w:r>
      <w:r w:rsidRPr="00872210">
        <w:rPr>
          <w:rFonts w:ascii="Courier New" w:eastAsia="Times New Roman" w:hAnsi="Courier New" w:cs="Courier New"/>
          <w:sz w:val="24"/>
          <w:szCs w:val="24"/>
        </w:rPr>
        <w:tab/>
        <w:t>(202) 685-7426</w:t>
      </w:r>
    </w:p>
    <w:p w:rsidR="00872210" w:rsidRPr="00872210" w:rsidRDefault="006C1F50" w:rsidP="0087221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872210" w:rsidRPr="00872210">
        <w:rPr>
          <w:rFonts w:ascii="Courier New" w:eastAsia="Times New Roman" w:hAnsi="Courier New" w:cs="Courier New"/>
          <w:sz w:val="24"/>
          <w:szCs w:val="24"/>
        </w:rPr>
        <w:t>@navy.mil</w:t>
      </w:r>
    </w:p>
    <w:p w:rsidR="00872210" w:rsidRDefault="00872210" w:rsidP="00872210">
      <w:pPr>
        <w:spacing w:after="0" w:line="240" w:lineRule="auto"/>
        <w:contextualSpacing/>
        <w:rPr>
          <w:rFonts w:ascii="Courier New" w:eastAsia="Calibri" w:hAnsi="Courier New" w:cs="Courier New"/>
          <w:sz w:val="24"/>
          <w:szCs w:val="24"/>
        </w:rPr>
      </w:pPr>
    </w:p>
    <w:sectPr w:rsidR="00872210" w:rsidSect="003A38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53" w:rsidRDefault="007C7A53" w:rsidP="00D952F8">
      <w:pPr>
        <w:spacing w:after="0" w:line="240" w:lineRule="auto"/>
      </w:pPr>
      <w:r>
        <w:separator/>
      </w:r>
    </w:p>
  </w:endnote>
  <w:endnote w:type="continuationSeparator" w:id="0">
    <w:p w:rsidR="007C7A53" w:rsidRDefault="007C7A53" w:rsidP="00D9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6717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952F8" w:rsidRPr="00D952F8" w:rsidRDefault="003D13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52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52F8" w:rsidRPr="00D952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52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F5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952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952F8" w:rsidRDefault="00D95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53" w:rsidRDefault="007C7A53" w:rsidP="00D952F8">
      <w:pPr>
        <w:spacing w:after="0" w:line="240" w:lineRule="auto"/>
      </w:pPr>
      <w:r>
        <w:separator/>
      </w:r>
    </w:p>
  </w:footnote>
  <w:footnote w:type="continuationSeparator" w:id="0">
    <w:p w:rsidR="007C7A53" w:rsidRDefault="007C7A53" w:rsidP="00D9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0E9"/>
    <w:rsid w:val="00003C4A"/>
    <w:rsid w:val="00071588"/>
    <w:rsid w:val="0009451C"/>
    <w:rsid w:val="00097027"/>
    <w:rsid w:val="000D127C"/>
    <w:rsid w:val="000D554C"/>
    <w:rsid w:val="00132BDD"/>
    <w:rsid w:val="00171FD3"/>
    <w:rsid w:val="00173FFB"/>
    <w:rsid w:val="001910E9"/>
    <w:rsid w:val="001E65FF"/>
    <w:rsid w:val="001E6B8A"/>
    <w:rsid w:val="001F1792"/>
    <w:rsid w:val="00227423"/>
    <w:rsid w:val="00231C11"/>
    <w:rsid w:val="002A1700"/>
    <w:rsid w:val="002D1130"/>
    <w:rsid w:val="00311184"/>
    <w:rsid w:val="003604AB"/>
    <w:rsid w:val="00395750"/>
    <w:rsid w:val="003A38B9"/>
    <w:rsid w:val="003D1334"/>
    <w:rsid w:val="00406374"/>
    <w:rsid w:val="00406FFB"/>
    <w:rsid w:val="00412DD4"/>
    <w:rsid w:val="004139D7"/>
    <w:rsid w:val="00420773"/>
    <w:rsid w:val="00443F95"/>
    <w:rsid w:val="004515E7"/>
    <w:rsid w:val="00462553"/>
    <w:rsid w:val="0048213A"/>
    <w:rsid w:val="004D0671"/>
    <w:rsid w:val="004E1A39"/>
    <w:rsid w:val="00523996"/>
    <w:rsid w:val="005722A6"/>
    <w:rsid w:val="005F1B44"/>
    <w:rsid w:val="006C1F50"/>
    <w:rsid w:val="00772EF5"/>
    <w:rsid w:val="007A553E"/>
    <w:rsid w:val="007C5CA7"/>
    <w:rsid w:val="007C7A53"/>
    <w:rsid w:val="00831DF2"/>
    <w:rsid w:val="00860711"/>
    <w:rsid w:val="008709D3"/>
    <w:rsid w:val="00872210"/>
    <w:rsid w:val="00876153"/>
    <w:rsid w:val="00892074"/>
    <w:rsid w:val="008B311A"/>
    <w:rsid w:val="008D655D"/>
    <w:rsid w:val="008D7F9F"/>
    <w:rsid w:val="008E5A1C"/>
    <w:rsid w:val="00911B2D"/>
    <w:rsid w:val="0092166B"/>
    <w:rsid w:val="0098309B"/>
    <w:rsid w:val="009D2E8B"/>
    <w:rsid w:val="009E7B6A"/>
    <w:rsid w:val="009F0B93"/>
    <w:rsid w:val="00A16D81"/>
    <w:rsid w:val="00A309B7"/>
    <w:rsid w:val="00AF7511"/>
    <w:rsid w:val="00B20533"/>
    <w:rsid w:val="00B21586"/>
    <w:rsid w:val="00B36E5E"/>
    <w:rsid w:val="00B37239"/>
    <w:rsid w:val="00B67762"/>
    <w:rsid w:val="00BD6FF5"/>
    <w:rsid w:val="00BF5AC5"/>
    <w:rsid w:val="00C46400"/>
    <w:rsid w:val="00C96C20"/>
    <w:rsid w:val="00CA4BAA"/>
    <w:rsid w:val="00D0748C"/>
    <w:rsid w:val="00D524B8"/>
    <w:rsid w:val="00D952F8"/>
    <w:rsid w:val="00DF695F"/>
    <w:rsid w:val="00E3334E"/>
    <w:rsid w:val="00E3512A"/>
    <w:rsid w:val="00E43881"/>
    <w:rsid w:val="00E663BD"/>
    <w:rsid w:val="00E763FE"/>
    <w:rsid w:val="00ED087F"/>
    <w:rsid w:val="00ED7E24"/>
    <w:rsid w:val="00EF2B08"/>
    <w:rsid w:val="00F315F5"/>
    <w:rsid w:val="00F351D2"/>
    <w:rsid w:val="00F640F0"/>
    <w:rsid w:val="00FA46D1"/>
    <w:rsid w:val="00FE404C"/>
    <w:rsid w:val="00F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F8"/>
  </w:style>
  <w:style w:type="paragraph" w:styleId="Footer">
    <w:name w:val="footer"/>
    <w:basedOn w:val="Normal"/>
    <w:link w:val="FooterChar"/>
    <w:uiPriority w:val="99"/>
    <w:unhideWhenUsed/>
    <w:rsid w:val="00D9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F8"/>
  </w:style>
  <w:style w:type="paragraph" w:styleId="Footer">
    <w:name w:val="footer"/>
    <w:basedOn w:val="Normal"/>
    <w:link w:val="FooterChar"/>
    <w:uiPriority w:val="99"/>
    <w:unhideWhenUsed/>
    <w:rsid w:val="00D9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2015-08-31T13:10:00Z</dcterms:created>
  <dcterms:modified xsi:type="dcterms:W3CDTF">2015-08-31T14:49:00Z</dcterms:modified>
</cp:coreProperties>
</file>