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F9B5" w14:textId="2A922CF4" w:rsidR="00EF716C" w:rsidRPr="00ED673A" w:rsidRDefault="00EF716C" w:rsidP="00EF716C">
      <w:pPr>
        <w:spacing w:before="0" w:line="271" w:lineRule="auto"/>
        <w:ind w:left="475" w:firstLine="0"/>
        <w:rPr>
          <w:rFonts w:ascii="Times New Roman" w:eastAsia="Times New Roman" w:hAnsi="Times New Roman" w:cs="Times New Roman"/>
          <w:b/>
          <w:bCs/>
          <w:kern w:val="0"/>
          <w:sz w:val="48"/>
          <w:szCs w:val="48"/>
          <w14:ligatures w14:val="none"/>
        </w:rPr>
      </w:pPr>
      <w:r>
        <w:rPr>
          <w:rFonts w:ascii="Times New Roman" w:eastAsia="Times New Roman" w:hAnsi="Times New Roman" w:cs="Times New Roman"/>
          <w:kern w:val="0"/>
          <w:sz w:val="48"/>
          <w:szCs w:val="48"/>
          <w14:ligatures w14:val="none"/>
        </w:rPr>
        <w:t xml:space="preserve"> </w:t>
      </w:r>
      <w:r w:rsidRPr="00ED673A">
        <w:rPr>
          <w:rFonts w:ascii="Times New Roman" w:eastAsia="Times New Roman" w:hAnsi="Times New Roman" w:cs="Times New Roman"/>
          <w:b/>
          <w:bCs/>
          <w:kern w:val="0"/>
          <w:sz w:val="48"/>
          <w:szCs w:val="48"/>
          <w14:ligatures w14:val="none"/>
        </w:rPr>
        <w:t xml:space="preserve">Watershed Regional Risk and Resilience  </w:t>
      </w:r>
    </w:p>
    <w:p w14:paraId="446ADA5C" w14:textId="4DB4C263" w:rsidR="00EF716C" w:rsidRPr="00ED673A" w:rsidRDefault="00EF716C" w:rsidP="00EF716C">
      <w:pPr>
        <w:spacing w:before="0" w:line="271" w:lineRule="auto"/>
        <w:ind w:left="6480" w:firstLine="0"/>
        <w:rPr>
          <w:rFonts w:ascii="Times New Roman" w:eastAsia="Times New Roman" w:hAnsi="Times New Roman" w:cs="Times New Roman"/>
          <w:b/>
          <w:bCs/>
          <w:color w:val="156082" w:themeColor="accent1"/>
          <w:kern w:val="0"/>
          <w:sz w:val="60"/>
          <w:szCs w:val="60"/>
          <w14:ligatures w14:val="none"/>
        </w:rPr>
      </w:pPr>
      <w:r w:rsidRPr="00ED673A">
        <w:rPr>
          <w:rFonts w:ascii="Times New Roman" w:eastAsia="Times New Roman" w:hAnsi="Times New Roman" w:cs="Times New Roman"/>
          <w:b/>
          <w:bCs/>
          <w:color w:val="156082" w:themeColor="accent1"/>
          <w:kern w:val="0"/>
          <w:sz w:val="60"/>
          <w:szCs w:val="60"/>
          <w14:ligatures w14:val="none"/>
        </w:rPr>
        <w:t>Playbook</w:t>
      </w:r>
    </w:p>
    <w:p w14:paraId="0F242CFF" w14:textId="3CC55DBB" w:rsidR="00EF716C" w:rsidRPr="00EF716C" w:rsidRDefault="00EF716C" w:rsidP="00ED673A">
      <w:pPr>
        <w:spacing w:before="120" w:line="271" w:lineRule="auto"/>
        <w:ind w:left="0" w:firstLine="0"/>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kern w:val="0"/>
          <w:sz w:val="24"/>
          <w:szCs w:val="24"/>
          <w14:ligatures w14:val="none"/>
        </w:rPr>
        <w:t xml:space="preserve">The </w:t>
      </w:r>
      <w:r w:rsidRPr="00ED673A">
        <w:rPr>
          <w:rFonts w:ascii="Times New Roman" w:eastAsia="Times New Roman" w:hAnsi="Times New Roman" w:cs="Times New Roman"/>
          <w:kern w:val="0"/>
          <w:sz w:val="24"/>
          <w:szCs w:val="24"/>
          <w14:ligatures w14:val="none"/>
        </w:rPr>
        <w:t xml:space="preserve">Watershed Regional Risk and Resilience </w:t>
      </w:r>
      <w:r w:rsidRPr="00EF716C">
        <w:rPr>
          <w:rFonts w:ascii="Times New Roman" w:eastAsia="Times New Roman" w:hAnsi="Times New Roman" w:cs="Times New Roman"/>
          <w:kern w:val="0"/>
          <w:sz w:val="24"/>
          <w:szCs w:val="24"/>
          <w14:ligatures w14:val="none"/>
        </w:rPr>
        <w:t xml:space="preserve">Playbook offers guidance, tools, and resources to organize, conduct, and sustain stakeholder developed and managed collaborative initiatives to assess risk and enhance the resilience of watershed regions.  </w:t>
      </w:r>
      <w:bookmarkStart w:id="0" w:name="_Hlk164386885"/>
      <w:r w:rsidRPr="00EF716C">
        <w:rPr>
          <w:rFonts w:ascii="Times New Roman" w:eastAsia="Times New Roman" w:hAnsi="Times New Roman" w:cs="Times New Roman"/>
          <w:bCs/>
          <w:kern w:val="0"/>
          <w:sz w:val="24"/>
          <w:szCs w:val="24"/>
          <w14:ligatures w14:val="none"/>
        </w:rPr>
        <w:t xml:space="preserve">The Playbook operationalizes a Nationwide Watershed Regional Risk and Resilience (R3) Goal &amp; Strategy developed under the U.S. Army Corps of Engineer’s Dam Sector Regional Risk and Resilience Program (DSR3P).  The Goal &amp; Strategy and Playbook were produced by a national Task Group of practitioners and experts to help meet the urgent need to improve </w:t>
      </w:r>
      <w:r w:rsidR="00F62B19" w:rsidRPr="00ED673A">
        <w:rPr>
          <w:rFonts w:ascii="Times New Roman" w:eastAsia="Times New Roman" w:hAnsi="Times New Roman" w:cs="Times New Roman"/>
          <w:bCs/>
          <w:kern w:val="0"/>
          <w:sz w:val="24"/>
          <w:szCs w:val="24"/>
          <w14:ligatures w14:val="none"/>
        </w:rPr>
        <w:t>the</w:t>
      </w:r>
      <w:r w:rsidRPr="00EF716C">
        <w:rPr>
          <w:rFonts w:ascii="Times New Roman" w:eastAsia="Times New Roman" w:hAnsi="Times New Roman" w:cs="Times New Roman"/>
          <w:bCs/>
          <w:kern w:val="0"/>
          <w:sz w:val="24"/>
          <w:szCs w:val="24"/>
          <w14:ligatures w14:val="none"/>
        </w:rPr>
        <w:t xml:space="preserve"> resilience of the Nation’s watershed regions and the communities and critical infrastructures located within them.  </w:t>
      </w:r>
    </w:p>
    <w:p w14:paraId="79DEEF7A" w14:textId="2F76AFB9" w:rsidR="00EF716C" w:rsidRPr="00EF716C" w:rsidRDefault="00EF716C" w:rsidP="00ED673A">
      <w:pPr>
        <w:spacing w:before="120" w:line="271" w:lineRule="auto"/>
        <w:ind w:left="0" w:firstLine="0"/>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
          <w:noProof/>
          <w:kern w:val="0"/>
          <w:sz w:val="24"/>
          <w:szCs w:val="24"/>
          <w14:ligatures w14:val="none"/>
        </w:rPr>
        <w:drawing>
          <wp:anchor distT="0" distB="0" distL="114300" distR="114300" simplePos="0" relativeHeight="251662336" behindDoc="0" locked="0" layoutInCell="1" allowOverlap="1" wp14:anchorId="1849A333" wp14:editId="6A17B9D3">
            <wp:simplePos x="0" y="0"/>
            <wp:positionH relativeFrom="column">
              <wp:posOffset>2282190</wp:posOffset>
            </wp:positionH>
            <wp:positionV relativeFrom="paragraph">
              <wp:posOffset>151765</wp:posOffset>
            </wp:positionV>
            <wp:extent cx="3576320" cy="2011680"/>
            <wp:effectExtent l="38100" t="38100" r="81280" b="83820"/>
            <wp:wrapSquare wrapText="bothSides"/>
            <wp:docPr id="4" name="Picture 3" descr="A street with cars and buildings in the background&#10;&#10;Description automatically generated">
              <a:extLst xmlns:a="http://schemas.openxmlformats.org/drawingml/2006/main">
                <a:ext uri="{FF2B5EF4-FFF2-40B4-BE49-F238E27FC236}">
                  <a16:creationId xmlns:a16="http://schemas.microsoft.com/office/drawing/2014/main" id="{68140AD5-86EA-CE3B-BFD4-D56897DA83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treet with cars and buildings in the background&#10;&#10;Description automatically generated">
                      <a:extLst>
                        <a:ext uri="{FF2B5EF4-FFF2-40B4-BE49-F238E27FC236}">
                          <a16:creationId xmlns:a16="http://schemas.microsoft.com/office/drawing/2014/main" id="{68140AD5-86EA-CE3B-BFD4-D56897DA83A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76320" cy="2011680"/>
                    </a:xfrm>
                    <a:prstGeom prst="rect">
                      <a:avLst/>
                    </a:prstGeom>
                    <a:ln w="6350" cap="sq">
                      <a:solidFill>
                        <a:sysClr val="windowText" lastClr="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EF716C">
        <w:rPr>
          <w:rFonts w:ascii="Times New Roman" w:eastAsia="Times New Roman" w:hAnsi="Times New Roman" w:cs="Times New Roman"/>
          <w:b/>
          <w:kern w:val="0"/>
          <w:sz w:val="24"/>
          <w:szCs w:val="24"/>
          <w14:ligatures w14:val="none"/>
        </w:rPr>
        <w:t>The</w:t>
      </w:r>
      <w:r w:rsidRPr="00EF716C">
        <w:rPr>
          <w:rFonts w:ascii="Times New Roman" w:eastAsia="Times New Roman" w:hAnsi="Times New Roman" w:cs="Times New Roman"/>
          <w:bCs/>
          <w:kern w:val="0"/>
          <w:sz w:val="24"/>
          <w:szCs w:val="24"/>
          <w14:ligatures w14:val="none"/>
        </w:rPr>
        <w:t xml:space="preserve"> </w:t>
      </w:r>
      <w:r w:rsidRPr="00EF716C">
        <w:rPr>
          <w:rFonts w:ascii="Times New Roman" w:eastAsia="Times New Roman" w:hAnsi="Times New Roman" w:cs="Times New Roman"/>
          <w:b/>
          <w:color w:val="404040"/>
          <w:kern w:val="0"/>
          <w:sz w:val="24"/>
          <w:szCs w:val="24"/>
          <w14:ligatures w14:val="none"/>
        </w:rPr>
        <w:t>Changing Risk Landscape.</w:t>
      </w:r>
      <w:r w:rsidRPr="00EF716C">
        <w:rPr>
          <w:rFonts w:ascii="Times New Roman" w:eastAsia="Times New Roman" w:hAnsi="Times New Roman" w:cs="Times New Roman"/>
          <w:bCs/>
          <w:kern w:val="0"/>
          <w:sz w:val="24"/>
          <w:szCs w:val="24"/>
          <w14:ligatures w14:val="none"/>
        </w:rPr>
        <w:t xml:space="preserve">  Watershed regions are being increasingly impacted by extreme weather events and other natural and manmade hazards of growing scope, scale, and costs with long-term deleterious effects on health and safety, the economy, the environment, and way of life. </w:t>
      </w:r>
    </w:p>
    <w:p w14:paraId="7896080A" w14:textId="77777777" w:rsidR="00EF716C" w:rsidRPr="00EF716C" w:rsidRDefault="00EF716C" w:rsidP="00ED673A">
      <w:pPr>
        <w:spacing w:before="60" w:line="271" w:lineRule="auto"/>
        <w:ind w:left="0" w:firstLine="0"/>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Cs/>
          <w:kern w:val="0"/>
          <w:sz w:val="24"/>
          <w:szCs w:val="24"/>
          <w14:ligatures w14:val="none"/>
        </w:rPr>
        <w:t>Inter-related factors behind this trend include:</w:t>
      </w:r>
    </w:p>
    <w:p w14:paraId="2EBF570D" w14:textId="77777777" w:rsidR="00EF716C" w:rsidRPr="00EF716C" w:rsidRDefault="00EF716C" w:rsidP="00ED673A">
      <w:pPr>
        <w:numPr>
          <w:ilvl w:val="0"/>
          <w:numId w:val="1"/>
        </w:numPr>
        <w:spacing w:before="120" w:after="120" w:line="271" w:lineRule="auto"/>
        <w:ind w:left="331"/>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
          <w:bCs/>
          <w:noProof/>
          <w:kern w:val="0"/>
          <w:sz w:val="24"/>
          <w:szCs w:val="20"/>
          <w14:ligatures w14:val="none"/>
        </w:rPr>
        <w:t xml:space="preserve">Climatic changes </w:t>
      </w:r>
      <w:r w:rsidRPr="00EF716C">
        <w:rPr>
          <w:rFonts w:ascii="Times New Roman" w:eastAsia="Times New Roman" w:hAnsi="Times New Roman" w:cs="Times New Roman"/>
          <w:noProof/>
          <w:kern w:val="0"/>
          <w:sz w:val="24"/>
          <w:szCs w:val="20"/>
          <w14:ligatures w14:val="none"/>
        </w:rPr>
        <w:t xml:space="preserve">resulting in an </w:t>
      </w:r>
      <w:r w:rsidRPr="00EF716C">
        <w:rPr>
          <w:rFonts w:ascii="Times New Roman" w:eastAsia="Times New Roman" w:hAnsi="Times New Roman" w:cs="Times New Roman"/>
          <w:bCs/>
          <w:kern w:val="0"/>
          <w:sz w:val="24"/>
          <w:szCs w:val="24"/>
          <w14:ligatures w14:val="none"/>
        </w:rPr>
        <w:t xml:space="preserve">unprecedented increase in annual global temperatures, sea-level rise, and altered weather patterns; </w:t>
      </w:r>
    </w:p>
    <w:p w14:paraId="7D7B6B74" w14:textId="77400FA4" w:rsidR="00EF716C" w:rsidRPr="00EF716C" w:rsidRDefault="00EF716C" w:rsidP="00ED673A">
      <w:pPr>
        <w:numPr>
          <w:ilvl w:val="0"/>
          <w:numId w:val="1"/>
        </w:numPr>
        <w:spacing w:before="120" w:after="120" w:line="271" w:lineRule="auto"/>
        <w:ind w:left="331"/>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
          <w:color w:val="404040"/>
          <w:kern w:val="0"/>
          <w:sz w:val="24"/>
          <w:szCs w:val="24"/>
          <w14:ligatures w14:val="none"/>
        </w:rPr>
        <w:t>Critical infrastructure dependencies and interdependencies—</w:t>
      </w:r>
      <w:r w:rsidRPr="00EF716C">
        <w:rPr>
          <w:rFonts w:ascii="Times New Roman" w:eastAsia="Times New Roman" w:hAnsi="Times New Roman" w:cs="Times New Roman"/>
          <w:bCs/>
          <w:color w:val="404040"/>
          <w:kern w:val="0"/>
          <w:sz w:val="24"/>
          <w:szCs w:val="24"/>
          <w14:ligatures w14:val="none"/>
        </w:rPr>
        <w:t>c</w:t>
      </w:r>
      <w:r w:rsidRPr="00EF716C">
        <w:rPr>
          <w:rFonts w:ascii="Times New Roman" w:eastAsia="Times New Roman" w:hAnsi="Times New Roman" w:cs="Times New Roman"/>
          <w:bCs/>
          <w:kern w:val="0"/>
          <w:sz w:val="24"/>
          <w:szCs w:val="24"/>
          <w14:ligatures w14:val="none"/>
        </w:rPr>
        <w:t>yber and physical linkages among watershed critical infrastructure functions and services and their supply chains that can exacerbate impacts of disasters and other events;</w:t>
      </w:r>
    </w:p>
    <w:p w14:paraId="02D64A43" w14:textId="77777777" w:rsidR="00EF716C" w:rsidRPr="00EF716C" w:rsidRDefault="00EF716C" w:rsidP="00ED673A">
      <w:pPr>
        <w:numPr>
          <w:ilvl w:val="0"/>
          <w:numId w:val="1"/>
        </w:numPr>
        <w:spacing w:before="120" w:after="120" w:line="271" w:lineRule="auto"/>
        <w:ind w:left="331"/>
        <w:rPr>
          <w:rFonts w:ascii="Times New Roman" w:eastAsia="Times New Roman" w:hAnsi="Times New Roman" w:cs="Times New Roman"/>
          <w:bCs/>
          <w:color w:val="404040"/>
          <w:kern w:val="0"/>
          <w:sz w:val="24"/>
          <w:szCs w:val="24"/>
          <w14:ligatures w14:val="none"/>
        </w:rPr>
      </w:pPr>
      <w:r w:rsidRPr="00EF716C">
        <w:rPr>
          <w:rFonts w:ascii="Times New Roman" w:eastAsia="Times New Roman" w:hAnsi="Times New Roman" w:cs="Times New Roman"/>
          <w:b/>
          <w:color w:val="404040"/>
          <w:kern w:val="0"/>
          <w:sz w:val="24"/>
          <w:szCs w:val="24"/>
          <w14:ligatures w14:val="none"/>
        </w:rPr>
        <w:t>Societal changes—</w:t>
      </w:r>
      <w:r w:rsidRPr="00EF716C">
        <w:rPr>
          <w:rFonts w:ascii="Times New Roman" w:eastAsia="Times New Roman" w:hAnsi="Times New Roman" w:cs="Times New Roman"/>
          <w:kern w:val="0"/>
          <w:sz w:val="24"/>
          <w:szCs w:val="20"/>
          <w14:ligatures w14:val="none"/>
        </w:rPr>
        <w:t xml:space="preserve"> </w:t>
      </w:r>
      <w:r w:rsidRPr="00EF716C">
        <w:rPr>
          <w:rFonts w:ascii="Times New Roman" w:eastAsia="Times New Roman" w:hAnsi="Times New Roman" w:cs="Times New Roman"/>
          <w:bCs/>
          <w:color w:val="404040"/>
          <w:kern w:val="0"/>
          <w:sz w:val="24"/>
          <w:szCs w:val="24"/>
          <w14:ligatures w14:val="none"/>
        </w:rPr>
        <w:t>ongoing expansion of people and infrastructure into rural and undeveloped areas that lack the resources necessary to devote to hazard prevention, preparedness, and mitigation.</w:t>
      </w:r>
    </w:p>
    <w:p w14:paraId="71EBAF66" w14:textId="77777777" w:rsidR="00EF716C" w:rsidRPr="00EF716C" w:rsidRDefault="00EF716C" w:rsidP="00ED673A">
      <w:pPr>
        <w:spacing w:before="120" w:line="271" w:lineRule="auto"/>
        <w:ind w:left="0" w:firstLine="0"/>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Cs/>
          <w:kern w:val="0"/>
          <w:sz w:val="24"/>
          <w:szCs w:val="24"/>
          <w14:ligatures w14:val="none"/>
        </w:rPr>
        <w:t>Addressing the challenges of the changing risk landscape requires:</w:t>
      </w:r>
    </w:p>
    <w:p w14:paraId="79B4CBB2" w14:textId="77777777" w:rsidR="00EF716C" w:rsidRPr="00EF716C" w:rsidRDefault="00EF716C" w:rsidP="00ED673A">
      <w:pPr>
        <w:numPr>
          <w:ilvl w:val="0"/>
          <w:numId w:val="3"/>
        </w:numPr>
        <w:spacing w:before="120" w:after="120" w:line="271" w:lineRule="auto"/>
        <w:ind w:left="360"/>
        <w:contextualSpacing/>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
          <w:i/>
          <w:iCs/>
          <w:kern w:val="0"/>
          <w:sz w:val="24"/>
          <w:szCs w:val="24"/>
          <w14:ligatures w14:val="none"/>
        </w:rPr>
        <w:t>Broad multi-stakeholder engagement and involvement</w:t>
      </w:r>
      <w:r w:rsidRPr="00EF716C">
        <w:rPr>
          <w:rFonts w:ascii="Times New Roman" w:eastAsia="Times New Roman" w:hAnsi="Times New Roman" w:cs="Times New Roman"/>
          <w:b/>
          <w:kern w:val="0"/>
          <w:sz w:val="24"/>
          <w:szCs w:val="24"/>
          <w14:ligatures w14:val="none"/>
        </w:rPr>
        <w:t xml:space="preserve"> </w:t>
      </w:r>
      <w:r w:rsidRPr="00EF716C">
        <w:rPr>
          <w:rFonts w:ascii="Times New Roman" w:eastAsia="Times New Roman" w:hAnsi="Times New Roman" w:cs="Times New Roman"/>
          <w:bCs/>
          <w:kern w:val="0"/>
          <w:sz w:val="24"/>
          <w:szCs w:val="24"/>
          <w14:ligatures w14:val="none"/>
        </w:rPr>
        <w:t>to assess watershed regional risk and undertake planning, mitigation, and other resilience improvement actions  Most of these actions will require cross-sector and jurisdiction collaboration in execution and investment.</w:t>
      </w:r>
    </w:p>
    <w:p w14:paraId="27F7754F" w14:textId="77777777" w:rsidR="00EF716C" w:rsidRPr="00ED673A" w:rsidRDefault="00EF716C" w:rsidP="00ED673A">
      <w:pPr>
        <w:pStyle w:val="ListParagraph"/>
        <w:numPr>
          <w:ilvl w:val="0"/>
          <w:numId w:val="12"/>
        </w:numPr>
        <w:spacing w:before="120" w:after="120" w:line="271" w:lineRule="auto"/>
        <w:rPr>
          <w:rFonts w:ascii="Times New Roman" w:eastAsia="Times New Roman" w:hAnsi="Times New Roman" w:cs="Times New Roman"/>
          <w:bCs/>
          <w:i/>
          <w:iCs/>
          <w:kern w:val="0"/>
          <w:sz w:val="24"/>
          <w:szCs w:val="24"/>
          <w14:ligatures w14:val="none"/>
        </w:rPr>
      </w:pPr>
      <w:r w:rsidRPr="00ED673A">
        <w:rPr>
          <w:rFonts w:ascii="Times New Roman" w:eastAsia="Times New Roman" w:hAnsi="Times New Roman" w:cs="Times New Roman"/>
          <w:b/>
          <w:i/>
          <w:iCs/>
          <w:color w:val="404040"/>
          <w:kern w:val="0"/>
          <w:sz w:val="24"/>
          <w:szCs w:val="24"/>
          <w14:ligatures w14:val="none"/>
        </w:rPr>
        <w:t xml:space="preserve">A continuous Holistic Approach </w:t>
      </w:r>
      <w:r w:rsidRPr="00ED673A">
        <w:rPr>
          <w:rFonts w:ascii="Times New Roman" w:eastAsia="Times New Roman" w:hAnsi="Times New Roman" w:cs="Times New Roman"/>
          <w:b/>
          <w:i/>
          <w:iCs/>
          <w:kern w:val="0"/>
          <w:sz w:val="24"/>
          <w:szCs w:val="24"/>
          <w14:ligatures w14:val="none"/>
        </w:rPr>
        <w:t>and process with enabling tools and resources</w:t>
      </w:r>
      <w:r w:rsidRPr="00ED673A">
        <w:rPr>
          <w:rFonts w:ascii="Times New Roman" w:eastAsia="Times New Roman" w:hAnsi="Times New Roman" w:cs="Times New Roman"/>
          <w:b/>
          <w:kern w:val="0"/>
          <w:sz w:val="24"/>
          <w:szCs w:val="24"/>
          <w14:ligatures w14:val="none"/>
        </w:rPr>
        <w:t xml:space="preserve"> </w:t>
      </w:r>
      <w:r w:rsidRPr="00ED673A">
        <w:rPr>
          <w:rFonts w:ascii="Times New Roman" w:eastAsia="Times New Roman" w:hAnsi="Times New Roman" w:cs="Times New Roman"/>
          <w:bCs/>
          <w:kern w:val="0"/>
          <w:sz w:val="24"/>
          <w:szCs w:val="24"/>
          <w14:ligatures w14:val="none"/>
        </w:rPr>
        <w:t xml:space="preserve">that public, private, and non-profit organizations can customize and use to work together to assess risk and improve resilience consistent with their interests and priorities.  </w:t>
      </w:r>
    </w:p>
    <w:p w14:paraId="5B5C2519" w14:textId="6CD99AAB" w:rsidR="00EF716C" w:rsidRPr="00EF716C" w:rsidRDefault="00EF716C" w:rsidP="00EF716C">
      <w:pPr>
        <w:spacing w:before="120" w:line="271" w:lineRule="auto"/>
        <w:ind w:left="115" w:firstLine="0"/>
        <w:rPr>
          <w:rFonts w:ascii="Times New Roman" w:eastAsia="Times New Roman" w:hAnsi="Times New Roman" w:cs="Times New Roman"/>
          <w:b/>
          <w:kern w:val="0"/>
          <w:sz w:val="24"/>
          <w:szCs w:val="24"/>
          <w14:ligatures w14:val="none"/>
        </w:rPr>
      </w:pPr>
      <w:r w:rsidRPr="00EF716C">
        <w:rPr>
          <w:rFonts w:ascii="Times New Roman" w:eastAsia="Times New Roman" w:hAnsi="Times New Roman" w:cs="Times New Roman"/>
          <w:b/>
          <w:kern w:val="0"/>
          <w:sz w:val="24"/>
          <w:szCs w:val="24"/>
          <w14:ligatures w14:val="none"/>
        </w:rPr>
        <w:lastRenderedPageBreak/>
        <w:t>The Holistic Approach:</w:t>
      </w:r>
    </w:p>
    <w:p w14:paraId="79082245" w14:textId="4BA0AC62" w:rsidR="00EF716C" w:rsidRPr="00EF716C" w:rsidRDefault="00141113" w:rsidP="00EF716C">
      <w:pPr>
        <w:numPr>
          <w:ilvl w:val="0"/>
          <w:numId w:val="2"/>
        </w:numPr>
        <w:spacing w:before="60" w:after="120" w:line="271" w:lineRule="auto"/>
        <w:rPr>
          <w:rFonts w:ascii="Times New Roman" w:eastAsia="Times New Roman" w:hAnsi="Times New Roman" w:cs="Times New Roman"/>
          <w:bCs/>
          <w:i/>
          <w:iCs/>
          <w:kern w:val="0"/>
          <w:sz w:val="24"/>
          <w:szCs w:val="24"/>
          <w14:ligatures w14:val="none"/>
        </w:rPr>
      </w:pPr>
      <w:bookmarkStart w:id="1" w:name="_Hlk208837023"/>
      <w:r w:rsidRPr="00EF716C">
        <w:rPr>
          <w:rFonts w:ascii="Times New Roman" w:eastAsia="Times New Roman" w:hAnsi="Times New Roman" w:cs="Times New Roman"/>
          <w:bCs/>
          <w:noProof/>
          <w:kern w:val="0"/>
          <w:sz w:val="24"/>
          <w:szCs w:val="24"/>
          <w14:ligatures w14:val="none"/>
        </w:rPr>
        <w:drawing>
          <wp:anchor distT="0" distB="0" distL="114300" distR="114300" simplePos="0" relativeHeight="251658240" behindDoc="0" locked="0" layoutInCell="1" allowOverlap="1" wp14:anchorId="0541042B" wp14:editId="17B971E7">
            <wp:simplePos x="0" y="0"/>
            <wp:positionH relativeFrom="column">
              <wp:posOffset>2800350</wp:posOffset>
            </wp:positionH>
            <wp:positionV relativeFrom="page">
              <wp:posOffset>1484630</wp:posOffset>
            </wp:positionV>
            <wp:extent cx="3299460" cy="2834640"/>
            <wp:effectExtent l="0" t="0" r="0" b="0"/>
            <wp:wrapSquare wrapText="bothSides"/>
            <wp:docPr id="1688529635" name="Picture 5" descr="A diagram of a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29635" name="Picture 5" descr="A diagram of a cy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9460" cy="2834640"/>
                    </a:xfrm>
                    <a:prstGeom prst="rect">
                      <a:avLst/>
                    </a:prstGeom>
                    <a:noFill/>
                  </pic:spPr>
                </pic:pic>
              </a:graphicData>
            </a:graphic>
            <wp14:sizeRelH relativeFrom="margin">
              <wp14:pctWidth>0</wp14:pctWidth>
            </wp14:sizeRelH>
            <wp14:sizeRelV relativeFrom="margin">
              <wp14:pctHeight>0</wp14:pctHeight>
            </wp14:sizeRelV>
          </wp:anchor>
        </w:drawing>
      </w:r>
      <w:r w:rsidR="00EF716C" w:rsidRPr="00EF716C">
        <w:rPr>
          <w:rFonts w:ascii="Times New Roman" w:eastAsia="Times New Roman" w:hAnsi="Times New Roman" w:cs="Times New Roman"/>
          <w:bCs/>
          <w:kern w:val="0"/>
          <w:sz w:val="24"/>
          <w:szCs w:val="24"/>
          <w14:ligatures w14:val="none"/>
        </w:rPr>
        <w:t xml:space="preserve">Assesses regional risk and resilience needs and capabilities across the disaster management mission-space of preparedness, pre-event mitigation, response, recovery/restoration, and post-event mitigation, and includes protection and prevention.  </w:t>
      </w:r>
    </w:p>
    <w:p w14:paraId="4817AA60" w14:textId="3480C8B6" w:rsidR="00EF716C" w:rsidRPr="00EF716C" w:rsidRDefault="00EF716C" w:rsidP="00EF716C">
      <w:pPr>
        <w:numPr>
          <w:ilvl w:val="0"/>
          <w:numId w:val="2"/>
        </w:numPr>
        <w:spacing w:before="60" w:after="120" w:line="271" w:lineRule="auto"/>
        <w:rPr>
          <w:rFonts w:ascii="Times New Roman" w:eastAsia="Times New Roman" w:hAnsi="Times New Roman" w:cs="Times New Roman"/>
          <w:bCs/>
          <w:i/>
          <w:iCs/>
          <w:kern w:val="0"/>
          <w:sz w:val="24"/>
          <w:szCs w:val="24"/>
          <w14:ligatures w14:val="none"/>
        </w:rPr>
      </w:pPr>
      <w:r w:rsidRPr="00EF716C">
        <w:rPr>
          <w:rFonts w:ascii="Times New Roman" w:eastAsia="Times New Roman" w:hAnsi="Times New Roman" w:cs="Times New Roman"/>
          <w:bCs/>
          <w:kern w:val="0"/>
          <w:sz w:val="24"/>
          <w:szCs w:val="24"/>
          <w14:ligatures w14:val="none"/>
        </w:rPr>
        <w:t>Requires an understanding of the ongoing relationship between pre-and post-event resilience planning and activities and the need for continuity and enhanced coordination among them; also investments to help assure the integrity of the interdependent critical infrastructures that support the watershed and communities within it.</w:t>
      </w:r>
      <w:bookmarkEnd w:id="1"/>
      <w:r w:rsidRPr="00EF716C">
        <w:rPr>
          <w:rFonts w:ascii="Times New Roman" w:eastAsia="Times New Roman" w:hAnsi="Times New Roman" w:cs="Times New Roman"/>
          <w:bCs/>
          <w:kern w:val="0"/>
          <w:sz w:val="24"/>
          <w:szCs w:val="24"/>
          <w14:ligatures w14:val="none"/>
        </w:rPr>
        <w:t xml:space="preserve"> </w:t>
      </w:r>
    </w:p>
    <w:p w14:paraId="4EF001B6" w14:textId="55B5F102" w:rsidR="00EF716C" w:rsidRPr="00EF716C" w:rsidRDefault="00072134" w:rsidP="00EF716C">
      <w:pPr>
        <w:spacing w:before="120" w:line="271" w:lineRule="auto"/>
        <w:ind w:left="0" w:firstLine="0"/>
        <w:rPr>
          <w:rFonts w:ascii="Times New Roman" w:eastAsia="Times New Roman" w:hAnsi="Times New Roman" w:cs="Times New Roman"/>
          <w:b/>
          <w:color w:val="404040"/>
          <w:kern w:val="0"/>
          <w:sz w:val="26"/>
          <w:szCs w:val="28"/>
          <w14:ligatures w14:val="none"/>
        </w:rPr>
      </w:pPr>
      <w:r w:rsidRPr="00ED673A">
        <w:rPr>
          <w:rFonts w:ascii="Times New Roman" w:eastAsia="Times New Roman" w:hAnsi="Times New Roman" w:cs="Times New Roman"/>
          <w:b/>
          <w:color w:val="404040"/>
          <w:kern w:val="0"/>
          <w:sz w:val="26"/>
          <w:szCs w:val="28"/>
          <w14:ligatures w14:val="none"/>
        </w:rPr>
        <w:t>Playbook Purpose</w:t>
      </w:r>
      <w:r w:rsidR="00141113">
        <w:rPr>
          <w:rFonts w:ascii="Times New Roman" w:eastAsia="Times New Roman" w:hAnsi="Times New Roman" w:cs="Times New Roman"/>
          <w:b/>
          <w:color w:val="404040"/>
          <w:kern w:val="0"/>
          <w:sz w:val="26"/>
          <w:szCs w:val="28"/>
          <w14:ligatures w14:val="none"/>
        </w:rPr>
        <w:t>, Anticipated Users, and What It Provides</w:t>
      </w:r>
    </w:p>
    <w:p w14:paraId="0345DB41" w14:textId="77777777" w:rsidR="00ED673A" w:rsidRDefault="00EF716C" w:rsidP="00EF716C">
      <w:pPr>
        <w:spacing w:before="120" w:line="271" w:lineRule="auto"/>
        <w:ind w:left="0" w:firstLine="0"/>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Cs/>
          <w:kern w:val="0"/>
          <w:sz w:val="24"/>
          <w:szCs w:val="24"/>
          <w14:ligatures w14:val="none"/>
        </w:rPr>
        <w:t xml:space="preserve">The Playbook was developed for decision-makers, practitioners, and experts across all government levels and infrastructure sectors; private sector and non-profit organizations, associations and institutions; and regional governance bodies (e.g., councils of government and economic development organizations) with roles and responsibilities or vested interests in leading, facilitating, or contributing to a collaborative multi-stakeholder initiative to better understand risk and improve watershed regional resilience.  </w:t>
      </w:r>
    </w:p>
    <w:p w14:paraId="689DB548" w14:textId="34BE4ABC" w:rsidR="00EF716C" w:rsidRPr="00EF716C" w:rsidRDefault="00EF716C" w:rsidP="00EF716C">
      <w:pPr>
        <w:spacing w:before="120" w:line="271" w:lineRule="auto"/>
        <w:ind w:left="0" w:firstLine="0"/>
        <w:rPr>
          <w:rFonts w:ascii="Times New Roman" w:eastAsia="Times New Roman" w:hAnsi="Times New Roman" w:cs="Times New Roman"/>
          <w:bCs/>
          <w:i/>
          <w:iCs/>
          <w:kern w:val="0"/>
          <w:sz w:val="24"/>
          <w:szCs w:val="24"/>
          <w14:ligatures w14:val="none"/>
        </w:rPr>
      </w:pPr>
      <w:r w:rsidRPr="00EF716C">
        <w:rPr>
          <w:rFonts w:ascii="Times New Roman" w:eastAsia="Times New Roman" w:hAnsi="Times New Roman" w:cs="Times New Roman"/>
          <w:bCs/>
          <w:kern w:val="0"/>
          <w:sz w:val="24"/>
          <w:szCs w:val="24"/>
          <w14:ligatures w14:val="none"/>
        </w:rPr>
        <w:t xml:space="preserve">Towards this end, the Playbook is designed for users with differing levels of resilience-related knowledge, capabilities, staff, and financial resources. Users can adapt the Playbook guidance to fit their needs and available resources and employ any of the resilience guides or other planning resources cited in the Playbook depending on their interests and/or the requirements of the initiative’s sponsoring organization(s). </w:t>
      </w:r>
    </w:p>
    <w:p w14:paraId="17F59CAF" w14:textId="4B693252" w:rsidR="00EF716C" w:rsidRPr="00EF716C" w:rsidRDefault="00072134" w:rsidP="00EF716C">
      <w:pPr>
        <w:spacing w:before="120" w:line="271" w:lineRule="auto"/>
        <w:ind w:left="0" w:firstLine="0"/>
        <w:rPr>
          <w:rFonts w:ascii="Times New Roman" w:eastAsia="Times New Roman" w:hAnsi="Times New Roman" w:cs="Times New Roman"/>
          <w:bCs/>
          <w:kern w:val="0"/>
          <w:sz w:val="24"/>
          <w:szCs w:val="24"/>
          <w14:ligatures w14:val="none"/>
        </w:rPr>
      </w:pPr>
      <w:r w:rsidRPr="00ED673A">
        <w:rPr>
          <w:rFonts w:ascii="Times New Roman" w:eastAsia="Times New Roman" w:hAnsi="Times New Roman" w:cs="Times New Roman"/>
          <w:bCs/>
          <w:kern w:val="0"/>
          <w:sz w:val="24"/>
          <w:szCs w:val="24"/>
          <w14:ligatures w14:val="none"/>
        </w:rPr>
        <w:t>T</w:t>
      </w:r>
      <w:r w:rsidR="00EF716C" w:rsidRPr="00EF716C">
        <w:rPr>
          <w:rFonts w:ascii="Times New Roman" w:eastAsia="Times New Roman" w:hAnsi="Times New Roman" w:cs="Times New Roman"/>
          <w:bCs/>
          <w:kern w:val="0"/>
          <w:sz w:val="24"/>
          <w:szCs w:val="24"/>
          <w14:ligatures w14:val="none"/>
        </w:rPr>
        <w:t xml:space="preserve">he Playbook </w:t>
      </w:r>
      <w:r w:rsidRPr="00ED673A">
        <w:rPr>
          <w:rFonts w:ascii="Times New Roman" w:eastAsia="Times New Roman" w:hAnsi="Times New Roman" w:cs="Times New Roman"/>
          <w:bCs/>
          <w:kern w:val="0"/>
          <w:sz w:val="24"/>
          <w:szCs w:val="24"/>
          <w14:ligatures w14:val="none"/>
        </w:rPr>
        <w:t>offers</w:t>
      </w:r>
      <w:r w:rsidR="00EF716C" w:rsidRPr="00EF716C">
        <w:rPr>
          <w:rFonts w:ascii="Times New Roman" w:eastAsia="Times New Roman" w:hAnsi="Times New Roman" w:cs="Times New Roman"/>
          <w:bCs/>
          <w:kern w:val="0"/>
          <w:sz w:val="24"/>
          <w:szCs w:val="24"/>
          <w14:ligatures w14:val="none"/>
        </w:rPr>
        <w:t xml:space="preserve"> guidance and selected tools and resources that can be customized for undertaking the continuous Holistic Approach </w:t>
      </w:r>
      <w:r w:rsidR="00EF716C" w:rsidRPr="00EF716C">
        <w:rPr>
          <w:rFonts w:ascii="Times New Roman" w:eastAsia="Times New Roman" w:hAnsi="Times New Roman" w:cs="Times New Roman"/>
          <w:b/>
          <w:kern w:val="0"/>
          <w:sz w:val="24"/>
          <w:szCs w:val="24"/>
          <w14:ligatures w14:val="none"/>
        </w:rPr>
        <w:t xml:space="preserve">with a multi-step process, </w:t>
      </w:r>
      <w:r w:rsidR="00EF716C" w:rsidRPr="00EF716C">
        <w:rPr>
          <w:rFonts w:ascii="Times New Roman" w:eastAsia="Times New Roman" w:hAnsi="Times New Roman" w:cs="Times New Roman"/>
          <w:bCs/>
          <w:kern w:val="0"/>
          <w:sz w:val="24"/>
          <w:szCs w:val="24"/>
          <w14:ligatures w14:val="none"/>
        </w:rPr>
        <w:t xml:space="preserve">providing a description of each step in the process and how to accomplish it: </w:t>
      </w:r>
    </w:p>
    <w:p w14:paraId="44889E4C" w14:textId="77777777" w:rsidR="00EF716C" w:rsidRPr="00EF716C" w:rsidRDefault="00EF716C" w:rsidP="00072134">
      <w:pPr>
        <w:numPr>
          <w:ilvl w:val="0"/>
          <w:numId w:val="4"/>
        </w:numPr>
        <w:spacing w:before="120" w:line="271" w:lineRule="auto"/>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Cs/>
          <w:kern w:val="0"/>
          <w:sz w:val="24"/>
          <w:szCs w:val="24"/>
          <w14:ligatures w14:val="none"/>
        </w:rPr>
        <w:t>Laying the foundation with broad stakeholder engagement</w:t>
      </w:r>
    </w:p>
    <w:p w14:paraId="482D9057" w14:textId="77777777" w:rsidR="00EF716C" w:rsidRPr="00EF716C" w:rsidRDefault="00EF716C" w:rsidP="00EF716C">
      <w:pPr>
        <w:numPr>
          <w:ilvl w:val="0"/>
          <w:numId w:val="4"/>
        </w:numPr>
        <w:spacing w:before="120" w:after="120" w:line="271" w:lineRule="auto"/>
        <w:contextualSpacing/>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Cs/>
          <w:kern w:val="0"/>
          <w:sz w:val="24"/>
          <w:szCs w:val="24"/>
          <w14:ligatures w14:val="none"/>
        </w:rPr>
        <w:t>Characterizing regional infrastructures and designing the assessment</w:t>
      </w:r>
    </w:p>
    <w:p w14:paraId="1707456E" w14:textId="77777777" w:rsidR="00EF716C" w:rsidRPr="00EF716C" w:rsidRDefault="00EF716C" w:rsidP="00EF716C">
      <w:pPr>
        <w:numPr>
          <w:ilvl w:val="0"/>
          <w:numId w:val="4"/>
        </w:numPr>
        <w:spacing w:before="120" w:after="120" w:line="271" w:lineRule="auto"/>
        <w:contextualSpacing/>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Cs/>
          <w:kern w:val="0"/>
          <w:sz w:val="24"/>
          <w:szCs w:val="24"/>
          <w14:ligatures w14:val="none"/>
        </w:rPr>
        <w:t xml:space="preserve">Data collection </w:t>
      </w:r>
    </w:p>
    <w:p w14:paraId="0CFF4F0D" w14:textId="77777777" w:rsidR="00EF716C" w:rsidRPr="00EF716C" w:rsidRDefault="00EF716C" w:rsidP="00EF716C">
      <w:pPr>
        <w:numPr>
          <w:ilvl w:val="0"/>
          <w:numId w:val="4"/>
        </w:numPr>
        <w:spacing w:before="120" w:after="120" w:line="271" w:lineRule="auto"/>
        <w:contextualSpacing/>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Cs/>
          <w:kern w:val="0"/>
          <w:sz w:val="24"/>
          <w:szCs w:val="24"/>
          <w14:ligatures w14:val="none"/>
        </w:rPr>
        <w:t>Undertaking the risk assessment</w:t>
      </w:r>
    </w:p>
    <w:p w14:paraId="39886124" w14:textId="77777777" w:rsidR="00EF716C" w:rsidRPr="00EF716C" w:rsidRDefault="00EF716C" w:rsidP="00EF716C">
      <w:pPr>
        <w:numPr>
          <w:ilvl w:val="0"/>
          <w:numId w:val="4"/>
        </w:numPr>
        <w:spacing w:before="120" w:after="120" w:line="271" w:lineRule="auto"/>
        <w:contextualSpacing/>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Cs/>
          <w:kern w:val="0"/>
          <w:sz w:val="24"/>
          <w:szCs w:val="24"/>
          <w14:ligatures w14:val="none"/>
        </w:rPr>
        <w:t xml:space="preserve">Developing an action strategy and implementation plan </w:t>
      </w:r>
    </w:p>
    <w:p w14:paraId="40037D7E" w14:textId="77777777" w:rsidR="00EF716C" w:rsidRPr="00EF716C" w:rsidRDefault="00EF716C" w:rsidP="00EF716C">
      <w:pPr>
        <w:numPr>
          <w:ilvl w:val="0"/>
          <w:numId w:val="4"/>
        </w:numPr>
        <w:spacing w:before="120" w:after="120" w:line="271" w:lineRule="auto"/>
        <w:contextualSpacing/>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Cs/>
          <w:kern w:val="0"/>
          <w:sz w:val="24"/>
          <w:szCs w:val="24"/>
          <w14:ligatures w14:val="none"/>
        </w:rPr>
        <w:t xml:space="preserve">Identifying and securing resources and investment for implementation and sustainment, and </w:t>
      </w:r>
    </w:p>
    <w:p w14:paraId="60F21553" w14:textId="77777777" w:rsidR="00EF716C" w:rsidRPr="00EF716C" w:rsidRDefault="00EF716C" w:rsidP="00EF716C">
      <w:pPr>
        <w:numPr>
          <w:ilvl w:val="0"/>
          <w:numId w:val="4"/>
        </w:numPr>
        <w:spacing w:before="120" w:after="120" w:line="271" w:lineRule="auto"/>
        <w:contextualSpacing/>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Cs/>
          <w:kern w:val="0"/>
          <w:sz w:val="24"/>
          <w:szCs w:val="24"/>
          <w14:ligatures w14:val="none"/>
        </w:rPr>
        <w:t xml:space="preserve">Enabling continuous resilience improvement using lessons learned from future events, exercises, and best practices from other states and regions.  </w:t>
      </w:r>
    </w:p>
    <w:p w14:paraId="3B01D373" w14:textId="436EECFE" w:rsidR="00EF716C" w:rsidRPr="00EF716C" w:rsidRDefault="00EF716C" w:rsidP="00ED673A">
      <w:pPr>
        <w:spacing w:before="240" w:line="271" w:lineRule="auto"/>
        <w:ind w:left="0" w:firstLine="0"/>
        <w:rPr>
          <w:rFonts w:ascii="Times New Roman" w:eastAsia="Times New Roman" w:hAnsi="Times New Roman" w:cs="Times New Roman"/>
          <w:bCs/>
          <w:kern w:val="0"/>
          <w:sz w:val="24"/>
          <w:szCs w:val="24"/>
          <w14:ligatures w14:val="none"/>
        </w:rPr>
      </w:pPr>
      <w:r w:rsidRPr="00EF716C">
        <w:rPr>
          <w:rFonts w:ascii="Times New Roman" w:eastAsia="Times New Roman" w:hAnsi="Times New Roman" w:cs="Times New Roman"/>
          <w:bCs/>
          <w:kern w:val="0"/>
          <w:sz w:val="24"/>
          <w:szCs w:val="24"/>
          <w14:ligatures w14:val="none"/>
        </w:rPr>
        <w:t xml:space="preserve">The Playbook  also  provides information on challenges decisionmakers and key stakeholders typically face and how to address them, including how to facilitate information-sharing, obtain necessary data, secure investments, and generate political will and community support.  The Playbook in addition provides examples of Watershed Regional Resilience Initiatives that have employed a multi-step process.  </w:t>
      </w:r>
    </w:p>
    <w:bookmarkEnd w:id="0"/>
    <w:p w14:paraId="5019B14D" w14:textId="70F84094" w:rsidR="00EF716C" w:rsidRPr="00EF716C" w:rsidRDefault="00ED673A" w:rsidP="00EF716C">
      <w:pPr>
        <w:keepNext/>
        <w:keepLines/>
        <w:spacing w:before="240" w:line="271" w:lineRule="auto"/>
        <w:ind w:left="0" w:firstLine="0"/>
        <w:outlineLvl w:val="1"/>
        <w:rPr>
          <w:rFonts w:ascii="Times New Roman" w:eastAsia="Times New Roman" w:hAnsi="Times New Roman" w:cs="Times New Roman"/>
          <w:b/>
          <w:color w:val="404040"/>
          <w:kern w:val="0"/>
          <w:sz w:val="26"/>
          <w:szCs w:val="28"/>
          <w14:ligatures w14:val="none"/>
        </w:rPr>
      </w:pPr>
      <w:r w:rsidRPr="00ED673A">
        <w:rPr>
          <w:rFonts w:ascii="Times New Roman" w:eastAsia="Times New Roman" w:hAnsi="Times New Roman" w:cs="Times New Roman"/>
          <w:b/>
          <w:color w:val="404040"/>
          <w:kern w:val="0"/>
          <w:sz w:val="26"/>
          <w:szCs w:val="28"/>
          <w14:ligatures w14:val="none"/>
        </w:rPr>
        <w:t>Using the Playbook</w:t>
      </w:r>
    </w:p>
    <w:p w14:paraId="6E400C11" w14:textId="37F296C3" w:rsidR="00EF716C" w:rsidRPr="00EF716C" w:rsidRDefault="00EF716C" w:rsidP="00ED673A">
      <w:pPr>
        <w:spacing w:before="120" w:line="271" w:lineRule="auto"/>
        <w:ind w:left="0" w:firstLine="0"/>
        <w:rPr>
          <w:rFonts w:ascii="Times New Roman" w:eastAsia="Times New Roman" w:hAnsi="Times New Roman" w:cs="Times New Roman"/>
          <w:color w:val="000000"/>
          <w:kern w:val="0"/>
          <w:sz w:val="24"/>
          <w:szCs w:val="24"/>
          <w14:ligatures w14:val="none"/>
        </w:rPr>
      </w:pPr>
      <w:r w:rsidRPr="00EF716C">
        <w:rPr>
          <w:rFonts w:ascii="Times New Roman" w:eastAsia="Times New Roman" w:hAnsi="Times New Roman" w:cs="Times New Roman"/>
          <w:bCs/>
          <w:iCs/>
          <w:kern w:val="0"/>
          <w:sz w:val="24"/>
          <w:szCs w:val="24"/>
          <w14:ligatures w14:val="none"/>
        </w:rPr>
        <w:t xml:space="preserve">The Playbook is organized into sections and subsections that describe how to outreach and engage key stakeholders and develop, conduct, and sustain a Watershed Regional Risk and Resilience Initiative.  Each section and subsection provides the relevant guidance with a list of selected enabling tools and resources.  Each reference is described with its type (fact sheet, backgrounder, guide or plan, database, software tool, training tool, study or report, website, PowerPoint presentation, or article, and what it provides with an access link to its host Internet site. </w:t>
      </w:r>
      <w:r w:rsidRPr="00EF716C">
        <w:rPr>
          <w:rFonts w:ascii="Times New Roman" w:eastAsia="Times New Roman" w:hAnsi="Times New Roman" w:cs="Times New Roman"/>
          <w:color w:val="000000"/>
          <w:kern w:val="0"/>
          <w:sz w:val="24"/>
          <w:szCs w:val="24"/>
          <w14:ligatures w14:val="none"/>
        </w:rPr>
        <w:t>Playbook users can scan the guidance for each of the topical areas and examine and choose relevant tools and resources to acquire background information or customize them for undertaking a Watershed Regional Risk and Resilience Initiative or to meet specific needs associated with assessing multi- risks, identifying gaps, mitigation and other risk reduction actions, and resilience capacity-building.</w:t>
      </w:r>
    </w:p>
    <w:p w14:paraId="2A1BD50C" w14:textId="77777777" w:rsidR="00EF716C" w:rsidRPr="00EF716C" w:rsidRDefault="00EF716C" w:rsidP="00F62B19">
      <w:pPr>
        <w:autoSpaceDE w:val="0"/>
        <w:autoSpaceDN w:val="0"/>
        <w:adjustRightInd w:val="0"/>
        <w:spacing w:before="120" w:line="271" w:lineRule="auto"/>
        <w:ind w:left="0" w:firstLine="0"/>
        <w:rPr>
          <w:rFonts w:ascii="Times New Roman" w:eastAsia="Times New Roman" w:hAnsi="Times New Roman" w:cs="Times New Roman"/>
          <w:b/>
          <w:bCs/>
          <w:kern w:val="0"/>
          <w:sz w:val="24"/>
          <w:szCs w:val="24"/>
          <w14:ligatures w14:val="none"/>
        </w:rPr>
      </w:pPr>
      <w:bookmarkStart w:id="2" w:name="_Hlk194879654"/>
      <w:r w:rsidRPr="00EF716C">
        <w:rPr>
          <w:rFonts w:ascii="Times New Roman" w:eastAsia="Times New Roman" w:hAnsi="Times New Roman" w:cs="Times New Roman"/>
          <w:b/>
          <w:bCs/>
          <w:kern w:val="0"/>
          <w:sz w:val="24"/>
          <w:szCs w:val="24"/>
          <w14:ligatures w14:val="none"/>
        </w:rPr>
        <w:t>Watershed Regional Risk and Resilience (R3) Artificial Intelligence (AI) Assistant</w:t>
      </w:r>
    </w:p>
    <w:p w14:paraId="5096849F" w14:textId="36F81D06" w:rsidR="00EF716C" w:rsidRPr="00EF716C" w:rsidRDefault="00EF716C" w:rsidP="00F62B19">
      <w:pPr>
        <w:spacing w:before="60" w:line="271" w:lineRule="auto"/>
        <w:ind w:left="0" w:firstLine="0"/>
        <w:rPr>
          <w:rFonts w:ascii="Times New Roman" w:eastAsia="Aptos" w:hAnsi="Times New Roman" w:cs="Times New Roman"/>
          <w:sz w:val="24"/>
          <w:szCs w:val="24"/>
        </w:rPr>
      </w:pPr>
      <w:r w:rsidRPr="00ED673A">
        <w:rPr>
          <w:rFonts w:ascii="Times New Roman" w:eastAsia="Times New Roman" w:hAnsi="Times New Roman" w:cs="Times New Roman"/>
          <w:kern w:val="0"/>
          <w:sz w:val="24"/>
          <w:szCs w:val="24"/>
          <w14:ligatures w14:val="none"/>
        </w:rPr>
        <w:t xml:space="preserve">Interested Playbook users can also choose to use the </w:t>
      </w:r>
      <w:bookmarkStart w:id="3" w:name="_Hlk194878009"/>
      <w:r w:rsidRPr="00ED673A">
        <w:rPr>
          <w:rFonts w:ascii="Times New Roman" w:eastAsia="Times New Roman" w:hAnsi="Times New Roman" w:cs="Times New Roman"/>
          <w:kern w:val="0"/>
          <w:sz w:val="24"/>
          <w:szCs w:val="24"/>
          <w14:ligatures w14:val="none"/>
        </w:rPr>
        <w:t xml:space="preserve">Watershed R3 Assistant </w:t>
      </w:r>
      <w:bookmarkEnd w:id="3"/>
      <w:r w:rsidRPr="00ED673A">
        <w:rPr>
          <w:rFonts w:ascii="Times New Roman" w:eastAsia="Times New Roman" w:hAnsi="Times New Roman" w:cs="Times New Roman"/>
          <w:kern w:val="0"/>
          <w:sz w:val="24"/>
          <w:szCs w:val="24"/>
          <w14:ligatures w14:val="none"/>
        </w:rPr>
        <w:t xml:space="preserve">to facilitate use of the Playbook. </w:t>
      </w:r>
      <w:r w:rsidRPr="00ED673A">
        <w:rPr>
          <w:rFonts w:ascii="Times New Roman" w:eastAsia="MS Mincho" w:hAnsi="Times New Roman" w:cs="Times New Roman"/>
          <w:kern w:val="0"/>
          <w:sz w:val="24"/>
          <w:szCs w:val="24"/>
          <w14:ligatures w14:val="none"/>
        </w:rPr>
        <w:t>The R3 Assistant is a prototype artificial intelligence tools based that currently employs ChatGPT as the platform for user convenience.</w:t>
      </w:r>
      <w:r w:rsidRPr="00ED673A">
        <w:rPr>
          <w:rFonts w:ascii="Times New Roman" w:eastAsia="Times New Roman" w:hAnsi="Times New Roman" w:cs="Times New Roman"/>
          <w:kern w:val="0"/>
          <w:sz w:val="24"/>
          <w:szCs w:val="24"/>
          <w14:ligatures w14:val="none"/>
        </w:rPr>
        <w:t xml:space="preserve"> It was developed as a practical, AI-powered companion tool to the Playbook in recognition that many</w:t>
      </w:r>
      <w:r w:rsidRPr="00ED673A">
        <w:rPr>
          <w:rFonts w:ascii="Times New Roman" w:eastAsia="MS Mincho" w:hAnsi="Times New Roman" w:cs="Times New Roman"/>
          <w:kern w:val="0"/>
          <w:sz w:val="24"/>
          <w:szCs w:val="24"/>
          <w14:ligatures w14:val="none"/>
        </w:rPr>
        <w:t xml:space="preserve"> state and local agencies, regional organizations, and other potential users face significant time constraints, limited staffing, funding and other resources.</w:t>
      </w:r>
      <w:r w:rsidR="00C13867" w:rsidRPr="00ED673A">
        <w:rPr>
          <w:rFonts w:ascii="Times New Roman" w:eastAsia="MS Mincho" w:hAnsi="Times New Roman" w:cs="Times New Roman"/>
          <w:kern w:val="0"/>
          <w:sz w:val="24"/>
          <w:szCs w:val="24"/>
          <w14:ligatures w14:val="none"/>
        </w:rPr>
        <w:t xml:space="preserve"> The Playbook </w:t>
      </w:r>
      <w:r w:rsidR="00F62B19" w:rsidRPr="00ED673A">
        <w:rPr>
          <w:rFonts w:ascii="Times New Roman" w:eastAsia="MS Mincho" w:hAnsi="Times New Roman" w:cs="Times New Roman"/>
          <w:kern w:val="0"/>
          <w:sz w:val="24"/>
          <w:szCs w:val="24"/>
          <w14:ligatures w14:val="none"/>
        </w:rPr>
        <w:t>provides</w:t>
      </w:r>
      <w:r w:rsidR="00C13867" w:rsidRPr="00ED673A">
        <w:rPr>
          <w:rFonts w:ascii="Times New Roman" w:eastAsia="MS Mincho" w:hAnsi="Times New Roman" w:cs="Times New Roman"/>
          <w:kern w:val="0"/>
          <w:sz w:val="24"/>
          <w:szCs w:val="24"/>
          <w14:ligatures w14:val="none"/>
        </w:rPr>
        <w:t xml:space="preserve"> </w:t>
      </w:r>
      <w:r w:rsidR="00F62B19" w:rsidRPr="00ED673A">
        <w:rPr>
          <w:rFonts w:ascii="Times New Roman" w:eastAsia="MS Mincho" w:hAnsi="Times New Roman" w:cs="Times New Roman"/>
          <w:kern w:val="0"/>
          <w:sz w:val="24"/>
          <w:szCs w:val="24"/>
          <w14:ligatures w14:val="none"/>
        </w:rPr>
        <w:t>guidance</w:t>
      </w:r>
      <w:r w:rsidR="00C13867" w:rsidRPr="00ED673A">
        <w:rPr>
          <w:rFonts w:ascii="Times New Roman" w:hAnsi="Times New Roman" w:cs="Times New Roman"/>
        </w:rPr>
        <w:t xml:space="preserve"> on t</w:t>
      </w:r>
      <w:r w:rsidRPr="00EF716C">
        <w:rPr>
          <w:rFonts w:ascii="Times New Roman" w:eastAsia="Aptos" w:hAnsi="Times New Roman" w:cs="Times New Roman"/>
          <w:sz w:val="24"/>
          <w:szCs w:val="24"/>
        </w:rPr>
        <w:t>he R3 Assistant</w:t>
      </w:r>
      <w:r w:rsidR="00C13867" w:rsidRPr="00ED673A">
        <w:rPr>
          <w:rFonts w:ascii="Times New Roman" w:eastAsia="Aptos" w:hAnsi="Times New Roman" w:cs="Times New Roman"/>
          <w:sz w:val="24"/>
          <w:szCs w:val="24"/>
        </w:rPr>
        <w:t xml:space="preserve"> and how to use it and </w:t>
      </w:r>
      <w:r w:rsidR="00141113">
        <w:rPr>
          <w:rFonts w:ascii="Times New Roman" w:eastAsia="Aptos" w:hAnsi="Times New Roman" w:cs="Times New Roman"/>
          <w:sz w:val="24"/>
          <w:szCs w:val="24"/>
        </w:rPr>
        <w:t xml:space="preserve">explains </w:t>
      </w:r>
      <w:r w:rsidR="00C13867" w:rsidRPr="00ED673A">
        <w:rPr>
          <w:rFonts w:ascii="Times New Roman" w:eastAsia="Aptos" w:hAnsi="Times New Roman" w:cs="Times New Roman"/>
          <w:sz w:val="24"/>
          <w:szCs w:val="24"/>
        </w:rPr>
        <w:t>its benefits and limitations</w:t>
      </w:r>
      <w:r w:rsidRPr="00EF716C">
        <w:rPr>
          <w:rFonts w:ascii="Times New Roman" w:eastAsia="Aptos" w:hAnsi="Times New Roman" w:cs="Times New Roman"/>
          <w:sz w:val="24"/>
          <w:szCs w:val="24"/>
        </w:rPr>
        <w:t>:</w:t>
      </w:r>
    </w:p>
    <w:p w14:paraId="7F308019" w14:textId="058852AC" w:rsidR="00EF716C" w:rsidRPr="00EF716C" w:rsidRDefault="00EF716C" w:rsidP="00F62B19">
      <w:pPr>
        <w:autoSpaceDE w:val="0"/>
        <w:autoSpaceDN w:val="0"/>
        <w:adjustRightInd w:val="0"/>
        <w:spacing w:before="120" w:line="271" w:lineRule="auto"/>
        <w:ind w:left="0" w:firstLine="0"/>
        <w:rPr>
          <w:rFonts w:ascii="Times New Roman" w:eastAsia="Aptos" w:hAnsi="Times New Roman" w:cs="Times New Roman"/>
        </w:rPr>
      </w:pPr>
      <w:r w:rsidRPr="00EF716C">
        <w:rPr>
          <w:rFonts w:ascii="Times New Roman" w:eastAsia="Times New Roman" w:hAnsi="Times New Roman" w:cs="Times New Roman"/>
          <w:color w:val="000000"/>
          <w:kern w:val="0"/>
          <w:sz w:val="24"/>
          <w:szCs w:val="24"/>
          <w14:ligatures w14:val="none"/>
        </w:rPr>
        <w:t xml:space="preserve">The Playbook </w:t>
      </w:r>
      <w:r w:rsidR="00141113">
        <w:rPr>
          <w:rFonts w:ascii="Times New Roman" w:eastAsia="Times New Roman" w:hAnsi="Times New Roman" w:cs="Times New Roman"/>
          <w:color w:val="000000"/>
          <w:kern w:val="0"/>
          <w:sz w:val="24"/>
          <w:szCs w:val="24"/>
          <w14:ligatures w14:val="none"/>
        </w:rPr>
        <w:t xml:space="preserve">lastly </w:t>
      </w:r>
      <w:r w:rsidR="00C13867" w:rsidRPr="00ED673A">
        <w:rPr>
          <w:rFonts w:ascii="Times New Roman" w:eastAsia="Times New Roman" w:hAnsi="Times New Roman" w:cs="Times New Roman"/>
          <w:color w:val="000000"/>
          <w:kern w:val="0"/>
          <w:sz w:val="24"/>
          <w:szCs w:val="24"/>
          <w14:ligatures w14:val="none"/>
        </w:rPr>
        <w:t xml:space="preserve">includes an </w:t>
      </w:r>
      <w:r w:rsidR="00C13867" w:rsidRPr="00ED673A">
        <w:rPr>
          <w:rFonts w:ascii="Times New Roman" w:eastAsia="Times New Roman" w:hAnsi="Times New Roman" w:cs="Times New Roman"/>
          <w:b/>
          <w:bCs/>
          <w:i/>
          <w:iCs/>
          <w:color w:val="000000"/>
          <w:kern w:val="0"/>
          <w:sz w:val="24"/>
          <w:szCs w:val="24"/>
          <w14:ligatures w14:val="none"/>
        </w:rPr>
        <w:t>Ask the Expert</w:t>
      </w:r>
      <w:r w:rsidR="00C13867" w:rsidRPr="00ED673A">
        <w:rPr>
          <w:rFonts w:ascii="Times New Roman" w:eastAsia="Times New Roman" w:hAnsi="Times New Roman" w:cs="Times New Roman"/>
          <w:color w:val="000000"/>
          <w:kern w:val="0"/>
          <w:sz w:val="24"/>
          <w:szCs w:val="24"/>
          <w14:ligatures w14:val="none"/>
        </w:rPr>
        <w:t xml:space="preserve"> feature that</w:t>
      </w:r>
      <w:r w:rsidRPr="00EF716C">
        <w:rPr>
          <w:rFonts w:ascii="Times New Roman" w:eastAsia="Times New Roman" w:hAnsi="Times New Roman" w:cs="Times New Roman"/>
          <w:color w:val="000000"/>
          <w:kern w:val="0"/>
          <w:sz w:val="24"/>
          <w:szCs w:val="24"/>
          <w14:ligatures w14:val="none"/>
        </w:rPr>
        <w:t xml:space="preserve"> provides contact information and areas of expertise of Task Group members available to answer questions about using the Playbook guidance, tools and resources, </w:t>
      </w:r>
      <w:r w:rsidR="00141113">
        <w:rPr>
          <w:rFonts w:ascii="Times New Roman" w:eastAsia="Times New Roman" w:hAnsi="Times New Roman" w:cs="Times New Roman"/>
          <w:kern w:val="0"/>
          <w:sz w:val="24"/>
          <w:szCs w:val="24"/>
          <w14:ligatures w14:val="none"/>
        </w:rPr>
        <w:t>assist</w:t>
      </w:r>
      <w:r w:rsidRPr="00EF716C">
        <w:rPr>
          <w:rFonts w:ascii="Times New Roman" w:eastAsia="Times New Roman" w:hAnsi="Times New Roman" w:cs="Times New Roman"/>
          <w:kern w:val="0"/>
          <w:sz w:val="24"/>
          <w:szCs w:val="24"/>
          <w14:ligatures w14:val="none"/>
        </w:rPr>
        <w:t xml:space="preserve"> in using the Watershed R3 Assistant, </w:t>
      </w:r>
      <w:r w:rsidRPr="00EF716C">
        <w:rPr>
          <w:rFonts w:ascii="Times New Roman" w:eastAsia="Times New Roman" w:hAnsi="Times New Roman" w:cs="Times New Roman"/>
          <w:color w:val="000000"/>
          <w:kern w:val="0"/>
          <w:sz w:val="24"/>
          <w:szCs w:val="24"/>
          <w14:ligatures w14:val="none"/>
        </w:rPr>
        <w:t xml:space="preserve">or direct users to other useful information to help them improve watershed regional resilience.  </w:t>
      </w:r>
      <w:bookmarkEnd w:id="2"/>
    </w:p>
    <w:p w14:paraId="705AC92C" w14:textId="77777777" w:rsidR="00F62B19" w:rsidRPr="00ED673A" w:rsidRDefault="00F62B19" w:rsidP="00F62B19">
      <w:pPr>
        <w:pStyle w:val="Footer"/>
        <w:rPr>
          <w:rFonts w:ascii="Times New Roman" w:hAnsi="Times New Roman" w:cs="Times New Roman"/>
          <w:b/>
          <w:bCs/>
          <w:color w:val="6373BA"/>
        </w:rPr>
      </w:pPr>
    </w:p>
    <w:p w14:paraId="62F7B157" w14:textId="56CCF20E" w:rsidR="00F62B19" w:rsidRPr="00ED673A" w:rsidRDefault="00F62B19" w:rsidP="00F62B19">
      <w:pPr>
        <w:pStyle w:val="Footer"/>
        <w:rPr>
          <w:rFonts w:ascii="Times New Roman" w:hAnsi="Times New Roman" w:cs="Times New Roman"/>
          <w:b/>
          <w:bCs/>
          <w:i/>
          <w:iCs/>
          <w:color w:val="6373BA"/>
        </w:rPr>
      </w:pPr>
      <w:r w:rsidRPr="00ED673A">
        <w:rPr>
          <w:rFonts w:ascii="Times New Roman" w:hAnsi="Times New Roman" w:cs="Times New Roman"/>
          <w:b/>
          <w:bCs/>
          <w:i/>
          <w:iCs/>
          <w:color w:val="6373BA"/>
        </w:rPr>
        <w:t>For further information</w:t>
      </w:r>
      <w:r w:rsidR="00072134" w:rsidRPr="00ED673A">
        <w:rPr>
          <w:rFonts w:ascii="Times New Roman" w:hAnsi="Times New Roman" w:cs="Times New Roman"/>
          <w:b/>
          <w:bCs/>
          <w:i/>
          <w:iCs/>
          <w:color w:val="6373BA"/>
        </w:rPr>
        <w:t>:</w:t>
      </w:r>
      <w:r w:rsidRPr="00ED673A">
        <w:rPr>
          <w:rFonts w:ascii="Times New Roman" w:hAnsi="Times New Roman" w:cs="Times New Roman"/>
          <w:b/>
          <w:bCs/>
          <w:i/>
          <w:iCs/>
          <w:color w:val="6373BA"/>
        </w:rPr>
        <w:t xml:space="preserve"> (name and contact information </w:t>
      </w:r>
      <w:r w:rsidR="00072134" w:rsidRPr="00ED673A">
        <w:rPr>
          <w:rFonts w:ascii="Times New Roman" w:hAnsi="Times New Roman" w:cs="Times New Roman"/>
          <w:b/>
          <w:bCs/>
          <w:i/>
          <w:iCs/>
          <w:color w:val="6373BA"/>
        </w:rPr>
        <w:t>t</w:t>
      </w:r>
      <w:r w:rsidRPr="00ED673A">
        <w:rPr>
          <w:rFonts w:ascii="Times New Roman" w:hAnsi="Times New Roman" w:cs="Times New Roman"/>
          <w:b/>
          <w:bCs/>
          <w:i/>
          <w:iCs/>
          <w:color w:val="6373BA"/>
        </w:rPr>
        <w:t>o be added)</w:t>
      </w:r>
    </w:p>
    <w:p w14:paraId="233BCCD4" w14:textId="77777777" w:rsidR="00AA15A6" w:rsidRPr="00ED673A" w:rsidRDefault="00AA15A6">
      <w:pPr>
        <w:rPr>
          <w:rFonts w:ascii="Times New Roman" w:hAnsi="Times New Roman" w:cs="Times New Roman"/>
        </w:rPr>
      </w:pPr>
    </w:p>
    <w:sectPr w:rsidR="00AA15A6" w:rsidRPr="00ED673A" w:rsidSect="00ED67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17B1C" w14:textId="77777777" w:rsidR="00525E8B" w:rsidRDefault="00525E8B" w:rsidP="00EF716C">
      <w:pPr>
        <w:spacing w:before="0"/>
      </w:pPr>
      <w:r>
        <w:separator/>
      </w:r>
    </w:p>
  </w:endnote>
  <w:endnote w:type="continuationSeparator" w:id="0">
    <w:p w14:paraId="2C8A1BE9" w14:textId="77777777" w:rsidR="00525E8B" w:rsidRDefault="00525E8B" w:rsidP="00EF71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2EB5" w14:textId="77777777" w:rsidR="001B6251" w:rsidRDefault="001B6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325031"/>
      <w:docPartObj>
        <w:docPartGallery w:val="Page Numbers (Bottom of Page)"/>
        <w:docPartUnique/>
      </w:docPartObj>
    </w:sdtPr>
    <w:sdtEndPr>
      <w:rPr>
        <w:noProof/>
      </w:rPr>
    </w:sdtEndPr>
    <w:sdtContent>
      <w:p w14:paraId="5765FD15" w14:textId="1916FF60" w:rsidR="00ED673A" w:rsidRDefault="00ED67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431F39" w14:textId="77777777" w:rsidR="00ED673A" w:rsidRDefault="00ED6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0AC8" w14:textId="77777777" w:rsidR="001B6251" w:rsidRDefault="001B6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8372" w14:textId="77777777" w:rsidR="00525E8B" w:rsidRDefault="00525E8B" w:rsidP="00EF716C">
      <w:pPr>
        <w:spacing w:before="0"/>
      </w:pPr>
      <w:r>
        <w:separator/>
      </w:r>
    </w:p>
  </w:footnote>
  <w:footnote w:type="continuationSeparator" w:id="0">
    <w:p w14:paraId="67FAC0D9" w14:textId="77777777" w:rsidR="00525E8B" w:rsidRDefault="00525E8B" w:rsidP="00EF716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DDD1" w14:textId="77777777" w:rsidR="001B6251" w:rsidRDefault="001B6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F681" w14:textId="77777777" w:rsidR="001B6251" w:rsidRDefault="001B6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0250" w14:textId="5360D5C8" w:rsidR="00ED673A" w:rsidRPr="001B6251" w:rsidRDefault="00ED673A" w:rsidP="001B6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6DE"/>
    <w:multiLevelType w:val="hybridMultilevel"/>
    <w:tmpl w:val="601A4626"/>
    <w:lvl w:ilvl="0" w:tplc="04090005">
      <w:start w:val="1"/>
      <w:numFmt w:val="bullet"/>
      <w:lvlText w:val=""/>
      <w:lvlJc w:val="left"/>
      <w:pPr>
        <w:ind w:left="475" w:hanging="360"/>
      </w:pPr>
      <w:rPr>
        <w:rFonts w:ascii="Wingdings" w:hAnsi="Wingdings"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 w15:restartNumberingAfterBreak="0">
    <w:nsid w:val="146F0C54"/>
    <w:multiLevelType w:val="hybridMultilevel"/>
    <w:tmpl w:val="98AC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657C6"/>
    <w:multiLevelType w:val="hybridMultilevel"/>
    <w:tmpl w:val="156416F2"/>
    <w:lvl w:ilvl="0" w:tplc="FFFFFFFF">
      <w:start w:val="1"/>
      <w:numFmt w:val="bullet"/>
      <w:lvlText w:val="–"/>
      <w:lvlJc w:val="left"/>
      <w:pPr>
        <w:ind w:left="1080" w:hanging="360"/>
      </w:pPr>
      <w:rPr>
        <w:rFonts w:ascii="Times New Roman" w:eastAsia="Times New Roman" w:hAnsi="Times New Roman" w:hint="default"/>
        <w:w w:val="100"/>
        <w:sz w:val="20"/>
        <w:szCs w:val="20"/>
      </w:rPr>
    </w:lvl>
    <w:lvl w:ilvl="1" w:tplc="B33C9888">
      <w:start w:val="1"/>
      <w:numFmt w:val="bullet"/>
      <w:lvlText w:val="–"/>
      <w:lvlJc w:val="left"/>
      <w:pPr>
        <w:ind w:left="360" w:hanging="360"/>
      </w:pPr>
      <w:rPr>
        <w:rFonts w:ascii="Times New Roman" w:eastAsia="Times New Roman" w:hAnsi="Times New Roman" w:hint="default"/>
        <w:w w:val="100"/>
        <w:sz w:val="20"/>
        <w:szCs w:val="20"/>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47C27C1"/>
    <w:multiLevelType w:val="hybridMultilevel"/>
    <w:tmpl w:val="B8CCED3E"/>
    <w:lvl w:ilvl="0" w:tplc="04090005">
      <w:start w:val="1"/>
      <w:numFmt w:val="bullet"/>
      <w:lvlText w:val=""/>
      <w:lvlJc w:val="left"/>
      <w:pPr>
        <w:ind w:left="475" w:hanging="360"/>
      </w:pPr>
      <w:rPr>
        <w:rFonts w:ascii="Wingdings" w:hAnsi="Wingdings"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4" w15:restartNumberingAfterBreak="0">
    <w:nsid w:val="43CC378E"/>
    <w:multiLevelType w:val="hybridMultilevel"/>
    <w:tmpl w:val="65B2B4A2"/>
    <w:lvl w:ilvl="0" w:tplc="04090005">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5" w15:restartNumberingAfterBreak="0">
    <w:nsid w:val="54E23CD5"/>
    <w:multiLevelType w:val="hybridMultilevel"/>
    <w:tmpl w:val="E8D84892"/>
    <w:lvl w:ilvl="0" w:tplc="B33C9888">
      <w:start w:val="1"/>
      <w:numFmt w:val="bullet"/>
      <w:lvlText w:val="–"/>
      <w:lvlJc w:val="left"/>
      <w:pPr>
        <w:ind w:left="360" w:hanging="360"/>
      </w:pPr>
      <w:rPr>
        <w:rFonts w:ascii="Times New Roman" w:eastAsia="Times New Roman" w:hAnsi="Times New Roman" w:hint="default"/>
        <w:w w:val="100"/>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74407E"/>
    <w:multiLevelType w:val="hybridMultilevel"/>
    <w:tmpl w:val="4D540BB4"/>
    <w:lvl w:ilvl="0" w:tplc="2676C636">
      <w:start w:val="1"/>
      <w:numFmt w:val="bullet"/>
      <w:lvlText w:val=""/>
      <w:lvlJc w:val="left"/>
      <w:pPr>
        <w:ind w:left="835" w:hanging="360"/>
      </w:pPr>
      <w:rPr>
        <w:rFonts w:ascii="Wingdings" w:hAnsi="Wingdings" w:hint="default"/>
        <w:w w:val="100"/>
        <w:sz w:val="24"/>
        <w:szCs w:val="24"/>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15:restartNumberingAfterBreak="0">
    <w:nsid w:val="64DF0549"/>
    <w:multiLevelType w:val="hybridMultilevel"/>
    <w:tmpl w:val="EBA2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B72F4"/>
    <w:multiLevelType w:val="hybridMultilevel"/>
    <w:tmpl w:val="85B04578"/>
    <w:lvl w:ilvl="0" w:tplc="B33C9888">
      <w:start w:val="1"/>
      <w:numFmt w:val="bullet"/>
      <w:lvlText w:val="–"/>
      <w:lvlJc w:val="left"/>
      <w:pPr>
        <w:ind w:left="360" w:hanging="360"/>
      </w:pPr>
      <w:rPr>
        <w:rFonts w:ascii="Times New Roman" w:eastAsia="Times New Roman" w:hAnsi="Times New Roman" w:hint="default"/>
        <w:w w:val="100"/>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847F77"/>
    <w:multiLevelType w:val="hybridMultilevel"/>
    <w:tmpl w:val="181C3F5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7D1F74D3"/>
    <w:multiLevelType w:val="hybridMultilevel"/>
    <w:tmpl w:val="1AC41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C90C78"/>
    <w:multiLevelType w:val="hybridMultilevel"/>
    <w:tmpl w:val="86747FDE"/>
    <w:lvl w:ilvl="0" w:tplc="04090001">
      <w:start w:val="1"/>
      <w:numFmt w:val="bullet"/>
      <w:lvlText w:val=""/>
      <w:lvlJc w:val="left"/>
      <w:pPr>
        <w:ind w:left="360" w:hanging="360"/>
      </w:pPr>
      <w:rPr>
        <w:rFonts w:ascii="Symbol" w:hAnsi="Symbol" w:hint="default"/>
      </w:rPr>
    </w:lvl>
    <w:lvl w:ilvl="1" w:tplc="D3BC8C58">
      <w:start w:val="4"/>
      <w:numFmt w:val="bullet"/>
      <w:lvlText w:val="-"/>
      <w:lvlJc w:val="left"/>
      <w:pPr>
        <w:ind w:left="1080" w:hanging="360"/>
      </w:pPr>
      <w:rPr>
        <w:rFonts w:ascii="Times New Roman" w:eastAsia="Aptos"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33041999">
    <w:abstractNumId w:val="9"/>
  </w:num>
  <w:num w:numId="2" w16cid:durableId="427893149">
    <w:abstractNumId w:val="3"/>
  </w:num>
  <w:num w:numId="3" w16cid:durableId="958412652">
    <w:abstractNumId w:val="6"/>
  </w:num>
  <w:num w:numId="4" w16cid:durableId="2055277528">
    <w:abstractNumId w:val="10"/>
  </w:num>
  <w:num w:numId="5" w16cid:durableId="181475934">
    <w:abstractNumId w:val="1"/>
  </w:num>
  <w:num w:numId="6" w16cid:durableId="167788625">
    <w:abstractNumId w:val="11"/>
  </w:num>
  <w:num w:numId="7" w16cid:durableId="274799186">
    <w:abstractNumId w:val="8"/>
  </w:num>
  <w:num w:numId="8" w16cid:durableId="1558083363">
    <w:abstractNumId w:val="5"/>
  </w:num>
  <w:num w:numId="9" w16cid:durableId="2145851396">
    <w:abstractNumId w:val="2"/>
  </w:num>
  <w:num w:numId="10" w16cid:durableId="2139102578">
    <w:abstractNumId w:val="7"/>
  </w:num>
  <w:num w:numId="11" w16cid:durableId="95055880">
    <w:abstractNumId w:val="4"/>
  </w:num>
  <w:num w:numId="12" w16cid:durableId="136848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6C"/>
    <w:rsid w:val="00012BD4"/>
    <w:rsid w:val="00072134"/>
    <w:rsid w:val="00141113"/>
    <w:rsid w:val="001B6251"/>
    <w:rsid w:val="00401584"/>
    <w:rsid w:val="00525E8B"/>
    <w:rsid w:val="005E1DE0"/>
    <w:rsid w:val="006E6B40"/>
    <w:rsid w:val="008B2328"/>
    <w:rsid w:val="00AA15A6"/>
    <w:rsid w:val="00C046F9"/>
    <w:rsid w:val="00C13867"/>
    <w:rsid w:val="00C93AEC"/>
    <w:rsid w:val="00EC7A3A"/>
    <w:rsid w:val="00ED673A"/>
    <w:rsid w:val="00EF716C"/>
    <w:rsid w:val="00F62B19"/>
    <w:rsid w:val="00F8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02BE"/>
  <w15:chartTrackingRefBased/>
  <w15:docId w15:val="{E63CF0B0-A44D-4F69-8B0E-F84AB0A0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60" w:hanging="360"/>
    </w:pPr>
  </w:style>
  <w:style w:type="paragraph" w:styleId="Heading1">
    <w:name w:val="heading 1"/>
    <w:basedOn w:val="Normal"/>
    <w:next w:val="Normal"/>
    <w:link w:val="Heading1Char"/>
    <w:uiPriority w:val="9"/>
    <w:qFormat/>
    <w:rsid w:val="00EF7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1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1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16C"/>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16C"/>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16C"/>
    <w:rPr>
      <w:rFonts w:eastAsiaTheme="majorEastAsia" w:cstheme="majorBidi"/>
      <w:color w:val="272727" w:themeColor="text1" w:themeTint="D8"/>
    </w:rPr>
  </w:style>
  <w:style w:type="paragraph" w:styleId="Title">
    <w:name w:val="Title"/>
    <w:basedOn w:val="Normal"/>
    <w:next w:val="Normal"/>
    <w:link w:val="TitleChar"/>
    <w:uiPriority w:val="10"/>
    <w:qFormat/>
    <w:rsid w:val="00EF716C"/>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16C"/>
    <w:pPr>
      <w:numPr>
        <w:ilvl w:val="1"/>
      </w:numPr>
      <w:spacing w:after="160"/>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1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716C"/>
    <w:rPr>
      <w:i/>
      <w:iCs/>
      <w:color w:val="404040" w:themeColor="text1" w:themeTint="BF"/>
    </w:rPr>
  </w:style>
  <w:style w:type="paragraph" w:styleId="ListParagraph">
    <w:name w:val="List Paragraph"/>
    <w:basedOn w:val="Normal"/>
    <w:uiPriority w:val="34"/>
    <w:qFormat/>
    <w:rsid w:val="00EF716C"/>
    <w:pPr>
      <w:ind w:left="720"/>
      <w:contextualSpacing/>
    </w:pPr>
  </w:style>
  <w:style w:type="character" w:styleId="IntenseEmphasis">
    <w:name w:val="Intense Emphasis"/>
    <w:basedOn w:val="DefaultParagraphFont"/>
    <w:uiPriority w:val="21"/>
    <w:qFormat/>
    <w:rsid w:val="00EF716C"/>
    <w:rPr>
      <w:i/>
      <w:iCs/>
      <w:color w:val="0F4761" w:themeColor="accent1" w:themeShade="BF"/>
    </w:rPr>
  </w:style>
  <w:style w:type="paragraph" w:styleId="IntenseQuote">
    <w:name w:val="Intense Quote"/>
    <w:basedOn w:val="Normal"/>
    <w:next w:val="Normal"/>
    <w:link w:val="IntenseQuoteChar"/>
    <w:uiPriority w:val="30"/>
    <w:qFormat/>
    <w:rsid w:val="00EF7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16C"/>
    <w:rPr>
      <w:i/>
      <w:iCs/>
      <w:color w:val="0F4761" w:themeColor="accent1" w:themeShade="BF"/>
    </w:rPr>
  </w:style>
  <w:style w:type="character" w:styleId="IntenseReference">
    <w:name w:val="Intense Reference"/>
    <w:basedOn w:val="DefaultParagraphFont"/>
    <w:uiPriority w:val="32"/>
    <w:qFormat/>
    <w:rsid w:val="00EF716C"/>
    <w:rPr>
      <w:b/>
      <w:bCs/>
      <w:smallCaps/>
      <w:color w:val="0F4761" w:themeColor="accent1" w:themeShade="BF"/>
      <w:spacing w:val="5"/>
    </w:rPr>
  </w:style>
  <w:style w:type="paragraph" w:styleId="FootnoteText">
    <w:name w:val="footnote text"/>
    <w:basedOn w:val="Normal"/>
    <w:link w:val="FootnoteTextChar"/>
    <w:uiPriority w:val="99"/>
    <w:semiHidden/>
    <w:unhideWhenUsed/>
    <w:rsid w:val="00EF716C"/>
    <w:pPr>
      <w:spacing w:before="0"/>
    </w:pPr>
    <w:rPr>
      <w:sz w:val="20"/>
      <w:szCs w:val="20"/>
    </w:rPr>
  </w:style>
  <w:style w:type="character" w:customStyle="1" w:styleId="FootnoteTextChar">
    <w:name w:val="Footnote Text Char"/>
    <w:basedOn w:val="DefaultParagraphFont"/>
    <w:link w:val="FootnoteText"/>
    <w:uiPriority w:val="99"/>
    <w:semiHidden/>
    <w:rsid w:val="00EF716C"/>
    <w:rPr>
      <w:sz w:val="20"/>
      <w:szCs w:val="20"/>
    </w:rPr>
  </w:style>
  <w:style w:type="character" w:styleId="FootnoteReference">
    <w:name w:val="footnote reference"/>
    <w:basedOn w:val="DefaultParagraphFont"/>
    <w:uiPriority w:val="99"/>
    <w:semiHidden/>
    <w:unhideWhenUsed/>
    <w:rsid w:val="00EF716C"/>
    <w:rPr>
      <w:vertAlign w:val="superscript"/>
    </w:rPr>
  </w:style>
  <w:style w:type="paragraph" w:styleId="Header">
    <w:name w:val="header"/>
    <w:basedOn w:val="Normal"/>
    <w:link w:val="HeaderChar"/>
    <w:uiPriority w:val="99"/>
    <w:unhideWhenUsed/>
    <w:rsid w:val="00C13867"/>
    <w:pPr>
      <w:tabs>
        <w:tab w:val="center" w:pos="4680"/>
        <w:tab w:val="right" w:pos="9360"/>
      </w:tabs>
      <w:spacing w:before="0"/>
    </w:pPr>
  </w:style>
  <w:style w:type="character" w:customStyle="1" w:styleId="HeaderChar">
    <w:name w:val="Header Char"/>
    <w:basedOn w:val="DefaultParagraphFont"/>
    <w:link w:val="Header"/>
    <w:uiPriority w:val="99"/>
    <w:rsid w:val="00C13867"/>
  </w:style>
  <w:style w:type="paragraph" w:styleId="Footer">
    <w:name w:val="footer"/>
    <w:basedOn w:val="Normal"/>
    <w:link w:val="FooterChar"/>
    <w:uiPriority w:val="99"/>
    <w:unhideWhenUsed/>
    <w:rsid w:val="00C13867"/>
    <w:pPr>
      <w:tabs>
        <w:tab w:val="center" w:pos="4680"/>
        <w:tab w:val="right" w:pos="9360"/>
      </w:tabs>
      <w:spacing w:before="0"/>
    </w:pPr>
  </w:style>
  <w:style w:type="character" w:customStyle="1" w:styleId="FooterChar">
    <w:name w:val="Footer Char"/>
    <w:basedOn w:val="DefaultParagraphFont"/>
    <w:link w:val="Footer"/>
    <w:uiPriority w:val="99"/>
    <w:rsid w:val="00C13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1060</Words>
  <Characters>6046</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Using the Playbook</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pscalingi scalingigroup.com</dc:creator>
  <cp:keywords/>
  <dc:description/>
  <cp:lastModifiedBy>pscalingi scalingigroup.com</cp:lastModifiedBy>
  <cp:revision>3</cp:revision>
  <dcterms:created xsi:type="dcterms:W3CDTF">2025-06-29T07:53:00Z</dcterms:created>
  <dcterms:modified xsi:type="dcterms:W3CDTF">2025-09-22T06:42:00Z</dcterms:modified>
</cp:coreProperties>
</file>