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3FDD6" w14:textId="6529AC6B" w:rsidR="006249C9" w:rsidRPr="00EF22AE" w:rsidRDefault="00EF22AE" w:rsidP="009A760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Noto Sans" w:eastAsia="Montserrat" w:hAnsi="Noto Sans" w:cs="Noto Sans"/>
          <w:b/>
          <w:sz w:val="20"/>
          <w:szCs w:val="20"/>
        </w:rPr>
      </w:pPr>
      <w:r w:rsidRPr="00EF22AE">
        <w:rPr>
          <w:rFonts w:ascii="Noto Sans" w:hAnsi="Noto Sans" w:cs="Noto Sans"/>
          <w:b/>
          <w:sz w:val="20"/>
          <w:szCs w:val="20"/>
        </w:rPr>
        <w:t xml:space="preserve">EJEMPLO: </w:t>
      </w:r>
      <w:r w:rsidR="006249C9" w:rsidRPr="00EF22AE">
        <w:rPr>
          <w:rFonts w:ascii="Noto Sans" w:eastAsia="Montserrat" w:hAnsi="Noto Sans" w:cs="Noto Sans"/>
          <w:b/>
          <w:sz w:val="20"/>
          <w:szCs w:val="20"/>
        </w:rPr>
        <w:t>IMPACTO POTENCIAL DE TUZAS EN UNA ZONA PRODUCTORA DE PLÁTANO EN TABASCO</w:t>
      </w:r>
    </w:p>
    <w:p w14:paraId="1ADA3A94" w14:textId="79E273EC" w:rsidR="006249C9" w:rsidRPr="00F51365" w:rsidRDefault="006249C9" w:rsidP="0087488B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jc w:val="center"/>
        <w:rPr>
          <w:rFonts w:ascii="Noto Sans" w:eastAsia="Montserrat" w:hAnsi="Noto Sans" w:cs="Noto Sans"/>
          <w:color w:val="000000"/>
          <w:sz w:val="20"/>
          <w:szCs w:val="20"/>
        </w:rPr>
      </w:pPr>
      <w:r w:rsidRPr="006249C9">
        <w:rPr>
          <w:rFonts w:ascii="Noto Sans" w:eastAsia="Montserrat" w:hAnsi="Noto Sans" w:cs="Noto Sans"/>
          <w:color w:val="000000"/>
          <w:sz w:val="20"/>
          <w:szCs w:val="20"/>
        </w:rPr>
        <w:t>Pablo Ulises Hernández-Lara</w:t>
      </w:r>
      <w:r w:rsidRPr="0087488B">
        <w:rPr>
          <w:rFonts w:ascii="Noto Sans" w:eastAsia="Montserrat" w:hAnsi="Noto Sans" w:cs="Noto Sans"/>
          <w:color w:val="000000"/>
          <w:sz w:val="20"/>
          <w:szCs w:val="20"/>
          <w:vertAlign w:val="superscript"/>
        </w:rPr>
        <w:t>1</w:t>
      </w:r>
      <w:r w:rsidRPr="006249C9">
        <w:rPr>
          <w:rFonts w:ascii="Noto Sans" w:eastAsia="Montserrat" w:hAnsi="Noto Sans" w:cs="Noto Sans"/>
          <w:color w:val="000000"/>
          <w:sz w:val="20"/>
          <w:szCs w:val="20"/>
        </w:rPr>
        <w:t xml:space="preserve">*, Diana </w:t>
      </w:r>
      <w:proofErr w:type="spellStart"/>
      <w:r w:rsidRPr="006249C9">
        <w:rPr>
          <w:rFonts w:ascii="Noto Sans" w:eastAsia="Montserrat" w:hAnsi="Noto Sans" w:cs="Noto Sans"/>
          <w:color w:val="000000"/>
          <w:sz w:val="20"/>
          <w:szCs w:val="20"/>
        </w:rPr>
        <w:t>Rubi</w:t>
      </w:r>
      <w:proofErr w:type="spellEnd"/>
      <w:r w:rsidRPr="006249C9">
        <w:rPr>
          <w:rFonts w:ascii="Noto Sans" w:eastAsia="Montserrat" w:hAnsi="Noto Sans" w:cs="Noto Sans"/>
          <w:color w:val="000000"/>
          <w:sz w:val="20"/>
          <w:szCs w:val="20"/>
        </w:rPr>
        <w:t xml:space="preserve"> Ramos-López</w:t>
      </w:r>
      <w:r w:rsidRPr="0087488B">
        <w:rPr>
          <w:rFonts w:ascii="Noto Sans" w:eastAsia="Montserrat" w:hAnsi="Noto Sans" w:cs="Noto Sans"/>
          <w:color w:val="000000"/>
          <w:sz w:val="20"/>
          <w:szCs w:val="20"/>
          <w:vertAlign w:val="superscript"/>
        </w:rPr>
        <w:t>2</w:t>
      </w:r>
      <w:r w:rsidRPr="006249C9">
        <w:rPr>
          <w:rFonts w:ascii="Noto Sans" w:eastAsia="Montserrat" w:hAnsi="Noto Sans" w:cs="Noto Sans"/>
          <w:color w:val="000000"/>
          <w:sz w:val="20"/>
          <w:szCs w:val="20"/>
        </w:rPr>
        <w:t xml:space="preserve"> y Sergio Salgado-Velázquez</w:t>
      </w:r>
      <w:r w:rsidRPr="0087488B">
        <w:rPr>
          <w:rFonts w:ascii="Noto Sans" w:eastAsia="Montserrat" w:hAnsi="Noto Sans" w:cs="Noto Sans"/>
          <w:color w:val="000000"/>
          <w:sz w:val="20"/>
          <w:szCs w:val="20"/>
          <w:vertAlign w:val="superscript"/>
        </w:rPr>
        <w:t>1</w:t>
      </w:r>
      <w:r w:rsidRPr="006249C9">
        <w:rPr>
          <w:rFonts w:ascii="Noto Sans" w:eastAsia="Montserrat" w:hAnsi="Noto Sans" w:cs="Noto Sans"/>
          <w:color w:val="000000"/>
          <w:sz w:val="20"/>
          <w:szCs w:val="20"/>
        </w:rPr>
        <w:t>.</w:t>
      </w:r>
    </w:p>
    <w:p w14:paraId="781E09F1" w14:textId="58637B96" w:rsidR="006249C9" w:rsidRPr="006249C9" w:rsidRDefault="006249C9" w:rsidP="006249C9">
      <w:pPr>
        <w:jc w:val="both"/>
        <w:rPr>
          <w:rFonts w:ascii="Arial" w:hAnsi="Arial" w:cs="Arial"/>
          <w:sz w:val="20"/>
          <w:szCs w:val="20"/>
        </w:rPr>
      </w:pPr>
      <w:r w:rsidRPr="006249C9">
        <w:rPr>
          <w:rFonts w:ascii="Arial" w:hAnsi="Arial" w:cs="Arial"/>
          <w:sz w:val="20"/>
          <w:szCs w:val="20"/>
          <w:vertAlign w:val="superscript"/>
        </w:rPr>
        <w:t>1</w:t>
      </w:r>
      <w:r w:rsidRPr="006249C9">
        <w:rPr>
          <w:rFonts w:ascii="Arial" w:hAnsi="Arial" w:cs="Arial"/>
          <w:sz w:val="20"/>
          <w:szCs w:val="20"/>
        </w:rPr>
        <w:t xml:space="preserve">Instituto Nacional de Investigaciones Forestales, Agrícolas y Pecuarias. INIFAP- CIRGOC. Campo Experimental Huimanguillo. Km 1. Carretera Huimanguillo-Cárdenas, C.P. 86400, Huimanguillo Tabasco, México; </w:t>
      </w:r>
      <w:r w:rsidRPr="006249C9">
        <w:rPr>
          <w:rFonts w:ascii="Arial" w:hAnsi="Arial" w:cs="Arial"/>
          <w:sz w:val="20"/>
          <w:szCs w:val="20"/>
          <w:vertAlign w:val="superscript"/>
        </w:rPr>
        <w:t>2</w:t>
      </w:r>
      <w:r w:rsidRPr="006249C9">
        <w:rPr>
          <w:rFonts w:ascii="Arial" w:hAnsi="Arial" w:cs="Arial"/>
          <w:sz w:val="20"/>
          <w:szCs w:val="20"/>
        </w:rPr>
        <w:t xml:space="preserve">Universidad Popular de la </w:t>
      </w:r>
      <w:proofErr w:type="spellStart"/>
      <w:r w:rsidRPr="006249C9">
        <w:rPr>
          <w:rFonts w:ascii="Arial" w:hAnsi="Arial" w:cs="Arial"/>
          <w:sz w:val="20"/>
          <w:szCs w:val="20"/>
        </w:rPr>
        <w:t>Chontalpa</w:t>
      </w:r>
      <w:proofErr w:type="spellEnd"/>
      <w:r w:rsidRPr="006249C9">
        <w:rPr>
          <w:rFonts w:ascii="Arial" w:hAnsi="Arial" w:cs="Arial"/>
          <w:sz w:val="20"/>
          <w:szCs w:val="20"/>
        </w:rPr>
        <w:t>. Carretera Cárdenas - Huimanguillo, Km. 2.0 Cárdenas, Tabasco. CP. 86500.</w:t>
      </w:r>
    </w:p>
    <w:p w14:paraId="1D940AC0" w14:textId="2BA51B88" w:rsidR="00BE4959" w:rsidRPr="00612FF3" w:rsidRDefault="00BE4959" w:rsidP="00BE495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Noto Sans" w:hAnsi="Noto Sans" w:cs="Noto Sans"/>
          <w:color w:val="FF0000"/>
        </w:rPr>
      </w:pPr>
      <w:r w:rsidRPr="00F51365">
        <w:rPr>
          <w:rFonts w:ascii="Noto Sans" w:eastAsia="Montserrat" w:hAnsi="Noto Sans" w:cs="Noto Sans"/>
          <w:color w:val="000000"/>
          <w:sz w:val="20"/>
          <w:szCs w:val="20"/>
        </w:rPr>
        <w:t>*Autor para correspondencia:</w:t>
      </w:r>
      <w:r w:rsidRPr="00612FF3">
        <w:rPr>
          <w:rFonts w:ascii="Noto Sans" w:eastAsia="Montserrat" w:hAnsi="Noto Sans" w:cs="Noto Sans"/>
          <w:color w:val="FF0000"/>
          <w:sz w:val="20"/>
          <w:szCs w:val="20"/>
        </w:rPr>
        <w:t xml:space="preserve"> </w:t>
      </w:r>
      <w:hyperlink r:id="rId7" w:history="1">
        <w:r w:rsidR="00101427" w:rsidRPr="00831BC6">
          <w:rPr>
            <w:rStyle w:val="Hipervnculo"/>
          </w:rPr>
          <w:t>inifap.tabasco@inifap.gob.mx</w:t>
        </w:r>
      </w:hyperlink>
      <w:r w:rsidR="00101427">
        <w:t xml:space="preserve"> </w:t>
      </w:r>
      <w:r w:rsidR="00101427" w:rsidRPr="00EB187E">
        <w:rPr>
          <w:rFonts w:ascii="Noto Sans" w:hAnsi="Noto Sans" w:cs="Noto Sans"/>
          <w:sz w:val="20"/>
          <w:szCs w:val="20"/>
        </w:rPr>
        <w:t xml:space="preserve"> </w:t>
      </w:r>
    </w:p>
    <w:p w14:paraId="55BFA24E" w14:textId="623CBF6B" w:rsidR="00BE4959" w:rsidRPr="00F51365" w:rsidRDefault="00BE4959" w:rsidP="00BE4959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Noto Sans" w:eastAsia="Montserrat" w:hAnsi="Noto Sans" w:cs="Noto Sans"/>
          <w:b/>
          <w:color w:val="000000"/>
          <w:sz w:val="20"/>
          <w:szCs w:val="20"/>
        </w:rPr>
      </w:pPr>
      <w:r>
        <w:rPr>
          <w:rFonts w:ascii="Noto Sans" w:eastAsia="Montserrat" w:hAnsi="Noto Sans" w:cs="Noto Sans"/>
          <w:b/>
          <w:color w:val="000000"/>
          <w:sz w:val="20"/>
          <w:szCs w:val="20"/>
        </w:rPr>
        <w:t xml:space="preserve">Palabras clave: </w:t>
      </w:r>
      <w:r w:rsidR="007D1C2B" w:rsidRPr="007D1C2B">
        <w:rPr>
          <w:rFonts w:cs="Arial"/>
          <w:i/>
          <w:color w:val="000000"/>
        </w:rPr>
        <w:t>túnel</w:t>
      </w:r>
      <w:r w:rsidR="007D1C2B">
        <w:rPr>
          <w:rFonts w:cs="Arial"/>
          <w:i/>
          <w:color w:val="000000"/>
        </w:rPr>
        <w:t>es, montículos, manejo integrado.</w:t>
      </w:r>
    </w:p>
    <w:p w14:paraId="522223E1" w14:textId="77777777" w:rsidR="00AE35A0" w:rsidRDefault="00EF22AE" w:rsidP="00AE35A0">
      <w:pPr>
        <w:jc w:val="both"/>
        <w:rPr>
          <w:rFonts w:ascii="Arial" w:hAnsi="Arial" w:cs="Arial"/>
          <w:b/>
          <w:sz w:val="20"/>
          <w:szCs w:val="20"/>
        </w:rPr>
      </w:pPr>
      <w:r w:rsidRPr="005A4ED0">
        <w:rPr>
          <w:rFonts w:ascii="Arial" w:hAnsi="Arial" w:cs="Arial"/>
          <w:b/>
          <w:sz w:val="20"/>
          <w:szCs w:val="20"/>
        </w:rPr>
        <w:t>Introducción</w:t>
      </w:r>
    </w:p>
    <w:p w14:paraId="32EA5F6C" w14:textId="1E8BFF0F" w:rsidR="00AE35A0" w:rsidRPr="00AE35A0" w:rsidRDefault="009A7608" w:rsidP="00AE35A0">
      <w:pPr>
        <w:jc w:val="both"/>
        <w:rPr>
          <w:rFonts w:ascii="Arial" w:hAnsi="Arial" w:cs="Arial"/>
          <w:b/>
          <w:sz w:val="20"/>
          <w:szCs w:val="20"/>
        </w:rPr>
      </w:pPr>
      <w:r w:rsidRPr="0000538F">
        <w:rPr>
          <w:rFonts w:ascii="Arial" w:hAnsi="Arial" w:cs="Arial"/>
          <w:color w:val="000000" w:themeColor="text1"/>
          <w:sz w:val="20"/>
          <w:szCs w:val="20"/>
        </w:rPr>
        <w:t>Las tuzas (</w:t>
      </w:r>
      <w:proofErr w:type="spellStart"/>
      <w:r w:rsidRPr="0000538F">
        <w:rPr>
          <w:rFonts w:ascii="Arial" w:hAnsi="Arial" w:cs="Arial"/>
          <w:color w:val="000000" w:themeColor="text1"/>
          <w:sz w:val="20"/>
          <w:szCs w:val="20"/>
        </w:rPr>
        <w:t>Geomydae</w:t>
      </w:r>
      <w:proofErr w:type="spellEnd"/>
      <w:r w:rsidRPr="0000538F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proofErr w:type="spellStart"/>
      <w:r w:rsidRPr="0000538F">
        <w:rPr>
          <w:rFonts w:ascii="Arial" w:hAnsi="Arial" w:cs="Arial"/>
          <w:i/>
          <w:color w:val="000000" w:themeColor="text1"/>
          <w:sz w:val="20"/>
          <w:szCs w:val="20"/>
        </w:rPr>
        <w:t>Orthogeomys</w:t>
      </w:r>
      <w:proofErr w:type="spellEnd"/>
      <w:r w:rsidRPr="0000538F">
        <w:rPr>
          <w:rFonts w:ascii="Arial" w:hAnsi="Arial" w:cs="Arial"/>
          <w:color w:val="000000" w:themeColor="text1"/>
          <w:sz w:val="20"/>
          <w:szCs w:val="20"/>
        </w:rPr>
        <w:t xml:space="preserve">), son roedores y se consideran plagas en algunos países del centro y 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>sur de América (</w:t>
      </w:r>
      <w:r w:rsidRPr="00933797">
        <w:rPr>
          <w:rFonts w:ascii="Arial" w:hAnsi="Arial" w:cs="Arial"/>
          <w:color w:val="000000" w:themeColor="text1"/>
          <w:sz w:val="20"/>
          <w:szCs w:val="20"/>
        </w:rPr>
        <w:t>Monge, 2010).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A pesar de que se reconoce su impacto como una de las principales plagas de vertebrados en los cultivos, poco se sabe de su comportamiento y la magnitud de los daños que ocasionan. La zona donde se establece el cultivo de plátano y banano en la costa del Golfo de México coincide con el área en la que se localiza la tuza (</w:t>
      </w:r>
      <w:proofErr w:type="spellStart"/>
      <w:r w:rsidRPr="00056D07">
        <w:rPr>
          <w:rFonts w:ascii="Arial" w:hAnsi="Arial" w:cs="Arial"/>
          <w:i/>
          <w:color w:val="000000" w:themeColor="text1"/>
          <w:sz w:val="20"/>
          <w:szCs w:val="20"/>
        </w:rPr>
        <w:t>Orthogeomys</w:t>
      </w:r>
      <w:proofErr w:type="spellEnd"/>
      <w:r w:rsidRPr="00056D0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056D07">
        <w:rPr>
          <w:rFonts w:ascii="Arial" w:hAnsi="Arial" w:cs="Arial"/>
          <w:i/>
          <w:color w:val="000000" w:themeColor="text1"/>
          <w:sz w:val="20"/>
          <w:szCs w:val="20"/>
        </w:rPr>
        <w:t>hispidus</w:t>
      </w:r>
      <w:proofErr w:type="spellEnd"/>
      <w:r>
        <w:rPr>
          <w:rFonts w:ascii="Arial" w:hAnsi="Arial" w:cs="Arial"/>
          <w:i/>
          <w:color w:val="000000" w:themeColor="text1"/>
          <w:sz w:val="20"/>
          <w:szCs w:val="20"/>
        </w:rPr>
        <w:t>,</w:t>
      </w:r>
      <w:r w:rsidRPr="00056D0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J. L. Le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Conte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), una de las especies con más amplia distribución en México.</w:t>
      </w:r>
      <w:r>
        <w:rPr>
          <w:rFonts w:ascii="ArialMT" w:eastAsiaTheme="minorHAnsi" w:hAnsi="ArialMT" w:cs="ArialMT"/>
          <w:sz w:val="20"/>
          <w:szCs w:val="20"/>
          <w:lang w:val="es-MX" w:eastAsia="en-US"/>
        </w:rPr>
        <w:t xml:space="preserve"> </w:t>
      </w:r>
      <w:r w:rsidRPr="00056D07">
        <w:rPr>
          <w:rFonts w:ascii="Arial" w:hAnsi="Arial" w:cs="Arial"/>
          <w:color w:val="000000" w:themeColor="text1"/>
          <w:sz w:val="20"/>
          <w:szCs w:val="20"/>
        </w:rPr>
        <w:t>En total, en México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existen seis géneros y 21 especies de estos </w:t>
      </w:r>
      <w:r w:rsidRPr="00056D07">
        <w:rPr>
          <w:rFonts w:ascii="Arial" w:hAnsi="Arial" w:cs="Arial"/>
          <w:color w:val="000000" w:themeColor="text1"/>
          <w:sz w:val="20"/>
          <w:szCs w:val="20"/>
        </w:rPr>
        <w:t>roedores, de las que 11 son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endémicas (53%); cinco (24%) </w:t>
      </w:r>
      <w:r w:rsidRPr="00056D07">
        <w:rPr>
          <w:rFonts w:ascii="Arial" w:hAnsi="Arial" w:cs="Arial"/>
          <w:color w:val="000000" w:themeColor="text1"/>
          <w:sz w:val="20"/>
          <w:szCs w:val="20"/>
        </w:rPr>
        <w:t>son consideradas en alguna cat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egoría de riesgo en la NOM-059- SEMARNAT-2010; </w:t>
      </w:r>
      <w:r w:rsidRPr="00056D07">
        <w:rPr>
          <w:rFonts w:ascii="Arial" w:hAnsi="Arial" w:cs="Arial"/>
          <w:color w:val="000000" w:themeColor="text1"/>
          <w:sz w:val="20"/>
          <w:szCs w:val="20"/>
        </w:rPr>
        <w:t>cuatr</w:t>
      </w:r>
      <w:r>
        <w:rPr>
          <w:rFonts w:ascii="Arial" w:hAnsi="Arial" w:cs="Arial"/>
          <w:color w:val="000000" w:themeColor="text1"/>
          <w:sz w:val="20"/>
          <w:szCs w:val="20"/>
        </w:rPr>
        <w:t>o amenazadas (19%) y una en peligro de extinción (4</w:t>
      </w:r>
      <w:r w:rsidRPr="00056D07">
        <w:rPr>
          <w:rFonts w:ascii="Arial" w:hAnsi="Arial" w:cs="Arial"/>
          <w:color w:val="000000" w:themeColor="text1"/>
          <w:sz w:val="20"/>
          <w:szCs w:val="20"/>
        </w:rPr>
        <w:t>%); 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demás, una subespecie está bajo </w:t>
      </w:r>
      <w:r w:rsidRPr="00056D07">
        <w:rPr>
          <w:rFonts w:ascii="Arial" w:hAnsi="Arial" w:cs="Arial"/>
          <w:color w:val="000000" w:themeColor="text1"/>
          <w:sz w:val="20"/>
          <w:szCs w:val="20"/>
        </w:rPr>
        <w:t xml:space="preserve">protección </w:t>
      </w:r>
      <w:r w:rsidRPr="007C7485">
        <w:rPr>
          <w:rFonts w:ascii="Arial" w:hAnsi="Arial" w:cs="Arial"/>
          <w:color w:val="000000" w:themeColor="text1"/>
          <w:sz w:val="20"/>
          <w:szCs w:val="20"/>
        </w:rPr>
        <w:t>especial (</w:t>
      </w:r>
      <w:proofErr w:type="spellStart"/>
      <w:r w:rsidRPr="007C7485">
        <w:rPr>
          <w:rFonts w:ascii="Arial" w:hAnsi="Arial" w:cs="Arial"/>
          <w:color w:val="000000" w:themeColor="text1"/>
          <w:sz w:val="20"/>
          <w:szCs w:val="20"/>
        </w:rPr>
        <w:t>Semarnat</w:t>
      </w:r>
      <w:proofErr w:type="spellEnd"/>
      <w:r w:rsidRPr="007C7485">
        <w:rPr>
          <w:rFonts w:ascii="Arial" w:hAnsi="Arial" w:cs="Arial"/>
          <w:color w:val="000000" w:themeColor="text1"/>
          <w:sz w:val="20"/>
          <w:szCs w:val="20"/>
        </w:rPr>
        <w:t xml:space="preserve">, 2010).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Las tuzas están adaptadas </w:t>
      </w:r>
      <w:r w:rsidRPr="0021748F">
        <w:rPr>
          <w:rFonts w:ascii="Arial" w:hAnsi="Arial" w:cs="Arial"/>
          <w:color w:val="000000" w:themeColor="text1"/>
          <w:sz w:val="20"/>
          <w:szCs w:val="20"/>
        </w:rPr>
        <w:t>a vivir en ambi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entes con disturbio, por causas naturales o por actividades </w:t>
      </w:r>
      <w:r w:rsidRPr="0021748F">
        <w:rPr>
          <w:rFonts w:ascii="Arial" w:hAnsi="Arial" w:cs="Arial"/>
          <w:color w:val="000000" w:themeColor="text1"/>
          <w:sz w:val="20"/>
          <w:szCs w:val="20"/>
        </w:rPr>
        <w:t>humanas, l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 cual les permite prosperar en </w:t>
      </w:r>
      <w:r w:rsidRPr="0021748F">
        <w:rPr>
          <w:rFonts w:ascii="Arial" w:hAnsi="Arial" w:cs="Arial"/>
          <w:color w:val="000000" w:themeColor="text1"/>
          <w:sz w:val="20"/>
          <w:szCs w:val="20"/>
        </w:rPr>
        <w:t xml:space="preserve">estrecha cercanía al hombre; y dado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que son organismos herbívoros y </w:t>
      </w:r>
      <w:r w:rsidRPr="0021748F">
        <w:rPr>
          <w:rFonts w:ascii="Arial" w:hAnsi="Arial" w:cs="Arial"/>
          <w:color w:val="000000" w:themeColor="text1"/>
          <w:sz w:val="20"/>
          <w:szCs w:val="20"/>
        </w:rPr>
        <w:t>de hábitos subterráneos, la relación, por l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 regular, resulta perjudicial </w:t>
      </w:r>
      <w:r w:rsidRPr="0021748F">
        <w:rPr>
          <w:rFonts w:ascii="Arial" w:hAnsi="Arial" w:cs="Arial"/>
          <w:color w:val="000000" w:themeColor="text1"/>
          <w:sz w:val="20"/>
          <w:szCs w:val="20"/>
        </w:rPr>
        <w:t xml:space="preserve">para las actividades económicas de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la población </w:t>
      </w:r>
      <w:r w:rsidRPr="007C7485">
        <w:rPr>
          <w:rFonts w:ascii="Arial" w:hAnsi="Arial" w:cs="Arial"/>
          <w:color w:val="000000" w:themeColor="text1"/>
          <w:sz w:val="20"/>
          <w:szCs w:val="20"/>
        </w:rPr>
        <w:t xml:space="preserve">(Fernández </w:t>
      </w:r>
      <w:r w:rsidRPr="0044607F">
        <w:rPr>
          <w:rFonts w:ascii="Arial" w:hAnsi="Arial" w:cs="Arial"/>
          <w:i/>
          <w:iCs/>
          <w:color w:val="000000" w:themeColor="text1"/>
          <w:sz w:val="20"/>
          <w:szCs w:val="20"/>
        </w:rPr>
        <w:t>et al.,</w:t>
      </w:r>
      <w:r w:rsidRPr="007C7485">
        <w:rPr>
          <w:rFonts w:ascii="Arial" w:hAnsi="Arial" w:cs="Arial"/>
          <w:color w:val="000000" w:themeColor="text1"/>
          <w:sz w:val="20"/>
          <w:szCs w:val="20"/>
        </w:rPr>
        <w:t xml:space="preserve"> 2014). Sin </w:t>
      </w:r>
      <w:r w:rsidRPr="0021748F">
        <w:rPr>
          <w:rFonts w:ascii="Arial" w:hAnsi="Arial" w:cs="Arial"/>
          <w:color w:val="000000" w:themeColor="text1"/>
          <w:sz w:val="20"/>
          <w:szCs w:val="20"/>
        </w:rPr>
        <w:t>embargo, cont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ribuyen de manera positiva a la aireación y </w:t>
      </w:r>
      <w:r w:rsidRPr="0021748F">
        <w:rPr>
          <w:rFonts w:ascii="Arial" w:hAnsi="Arial" w:cs="Arial"/>
          <w:color w:val="000000" w:themeColor="text1"/>
          <w:sz w:val="20"/>
          <w:szCs w:val="20"/>
        </w:rPr>
        <w:t>remoción de los suelos, lo que constituye un importante servicio ambiental.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En la actualidad, en México la tuza no es reconocida como plaga, aun cuando este </w:t>
      </w:r>
      <w:r>
        <w:rPr>
          <w:rFonts w:ascii="Arial" w:hAnsi="Arial" w:cs="Arial"/>
          <w:color w:val="000000" w:themeColor="text1"/>
          <w:sz w:val="20"/>
          <w:szCs w:val="20"/>
        </w:rPr>
        <w:t>mamífero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 afecta a diversos cultivos como lo son el plátano, banano, limón, caña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de azúcar, cacao, entre otros. 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En la actividad agrícola, los daños se relacionan con el consumo de raíces, rizomas y cortezas de tallos, además, provocan pérdidas del recurso suelo por acción de la erosión, debido a que los montículos de suelo que forman quedan sueltos y expuestos en la superficie. </w:t>
      </w:r>
      <w:r w:rsidRPr="00436850">
        <w:rPr>
          <w:rFonts w:ascii="Arial" w:hAnsi="Arial" w:cs="Arial"/>
          <w:color w:val="000000" w:themeColor="text1"/>
          <w:sz w:val="20"/>
          <w:szCs w:val="20"/>
        </w:rPr>
        <w:t>Las tuzas son conocidas por los agricultores debido a los daños que producen en los cultivos, cercas vivas y jardines, además, por sus hábitos hipogeos, afectan los sistemas de riego, cañerías y cableado. Asimismo, roen o muerden las líneas de riego y líneas eléctricas. Los túneles pueden desviar el agua de riego, aumentando la erosión y reduciendo la uniformidad del riego.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>La producción forestal es afectada por el daño de las raíces de árboles recién establecidos y en etapa p</w:t>
      </w:r>
      <w:r>
        <w:rPr>
          <w:rFonts w:ascii="Arial" w:hAnsi="Arial" w:cs="Arial"/>
          <w:color w:val="000000" w:themeColor="text1"/>
          <w:sz w:val="20"/>
          <w:szCs w:val="20"/>
        </w:rPr>
        <w:t>roductiva de cosecha de madera. Por su parte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, la producción pecuaria puede afectarse por los daños que ocasiona a praderas y por los accidentes que sufre el ganado al introducir sus patas en los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montículos o 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>nidos provocando quebraduras (</w:t>
      </w:r>
      <w:r w:rsidRPr="007C7485">
        <w:rPr>
          <w:rFonts w:ascii="Arial" w:hAnsi="Arial" w:cs="Arial"/>
          <w:color w:val="000000" w:themeColor="text1"/>
          <w:sz w:val="20"/>
          <w:szCs w:val="20"/>
        </w:rPr>
        <w:t xml:space="preserve">Monge, 2010). 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En Costa Rica, en donde se encuentra la especie </w:t>
      </w:r>
      <w:proofErr w:type="spellStart"/>
      <w:r w:rsidRPr="00DA3F32">
        <w:rPr>
          <w:rFonts w:ascii="Arial" w:hAnsi="Arial" w:cs="Arial"/>
          <w:i/>
          <w:color w:val="000000" w:themeColor="text1"/>
          <w:sz w:val="20"/>
          <w:szCs w:val="20"/>
        </w:rPr>
        <w:t>Orthogeomys</w:t>
      </w:r>
      <w:proofErr w:type="spellEnd"/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7C7485">
        <w:rPr>
          <w:rFonts w:ascii="Arial" w:hAnsi="Arial" w:cs="Arial"/>
          <w:i/>
          <w:color w:val="000000" w:themeColor="text1"/>
          <w:sz w:val="20"/>
          <w:szCs w:val="20"/>
        </w:rPr>
        <w:t>cherriei</w:t>
      </w:r>
      <w:proofErr w:type="spellEnd"/>
      <w:r w:rsidRPr="007C7485">
        <w:rPr>
          <w:rFonts w:ascii="Arial" w:hAnsi="Arial" w:cs="Arial"/>
          <w:color w:val="000000" w:themeColor="text1"/>
          <w:sz w:val="20"/>
          <w:szCs w:val="20"/>
        </w:rPr>
        <w:t xml:space="preserve"> se han estimado pérdidas hasta del 80% en cultivos de plátano, banano, yuca, maíz y malanga (Fernández et al, 2014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), del 60 al 80% en cacao y del 50 al 60% en banano y yuca </w:t>
      </w:r>
      <w:r w:rsidRPr="007C7485">
        <w:rPr>
          <w:rFonts w:ascii="Arial" w:hAnsi="Arial" w:cs="Arial"/>
          <w:color w:val="000000" w:themeColor="text1"/>
          <w:sz w:val="20"/>
          <w:szCs w:val="20"/>
        </w:rPr>
        <w:t xml:space="preserve">(Delgado, 1990). </w:t>
      </w:r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Las pérdidas en algunos cultivos son preocupantes y cuantiosas, ejemplo de ello, en zonas productoras de plátano en la región de San Rafael, Veracruz, se han calculado mermas de hasta un 30% en cultivos de plátano y banano, al igual que en los municipios de </w:t>
      </w:r>
      <w:proofErr w:type="spellStart"/>
      <w:r w:rsidRPr="00DA3F32">
        <w:rPr>
          <w:rFonts w:ascii="Arial" w:hAnsi="Arial" w:cs="Arial"/>
          <w:color w:val="000000" w:themeColor="text1"/>
          <w:sz w:val="20"/>
          <w:szCs w:val="20"/>
        </w:rPr>
        <w:t>Nautla</w:t>
      </w:r>
      <w:proofErr w:type="spellEnd"/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, Papantla, </w:t>
      </w:r>
      <w:proofErr w:type="spellStart"/>
      <w:r w:rsidRPr="00DA3F32">
        <w:rPr>
          <w:rFonts w:ascii="Arial" w:hAnsi="Arial" w:cs="Arial"/>
          <w:color w:val="000000" w:themeColor="text1"/>
          <w:sz w:val="20"/>
          <w:szCs w:val="20"/>
        </w:rPr>
        <w:t>Atzalan</w:t>
      </w:r>
      <w:proofErr w:type="spellEnd"/>
      <w:r w:rsidRPr="00DA3F32">
        <w:rPr>
          <w:rFonts w:ascii="Arial" w:hAnsi="Arial" w:cs="Arial"/>
          <w:color w:val="000000" w:themeColor="text1"/>
          <w:sz w:val="20"/>
          <w:szCs w:val="20"/>
        </w:rPr>
        <w:t xml:space="preserve"> y </w:t>
      </w:r>
      <w:proofErr w:type="spellStart"/>
      <w:r w:rsidRPr="00DA3F32">
        <w:rPr>
          <w:rFonts w:ascii="Arial" w:hAnsi="Arial" w:cs="Arial"/>
          <w:color w:val="000000" w:themeColor="text1"/>
          <w:sz w:val="20"/>
          <w:szCs w:val="20"/>
        </w:rPr>
        <w:t>Tlapacoyan</w:t>
      </w:r>
      <w:proofErr w:type="spellEnd"/>
      <w:r w:rsidRPr="00DA3F32">
        <w:rPr>
          <w:rFonts w:ascii="Arial" w:hAnsi="Arial" w:cs="Arial"/>
          <w:color w:val="000000" w:themeColor="text1"/>
          <w:sz w:val="20"/>
          <w:szCs w:val="20"/>
        </w:rPr>
        <w:t>, per</w:t>
      </w:r>
      <w:r>
        <w:rPr>
          <w:rFonts w:ascii="Arial" w:hAnsi="Arial" w:cs="Arial"/>
          <w:color w:val="000000" w:themeColor="text1"/>
          <w:sz w:val="20"/>
          <w:szCs w:val="20"/>
        </w:rPr>
        <w:t>tenecientes a la misma entidad.</w:t>
      </w:r>
    </w:p>
    <w:p w14:paraId="40FA73C9" w14:textId="77777777" w:rsidR="009A7608" w:rsidRDefault="009A7608" w:rsidP="00AE35A0">
      <w:pPr>
        <w:jc w:val="both"/>
        <w:rPr>
          <w:rFonts w:ascii="Arial" w:hAnsi="Arial" w:cs="Arial"/>
          <w:b/>
          <w:sz w:val="20"/>
          <w:szCs w:val="20"/>
        </w:rPr>
      </w:pPr>
    </w:p>
    <w:p w14:paraId="67BECA32" w14:textId="7BC49E51" w:rsidR="00AE35A0" w:rsidRDefault="00EF22AE" w:rsidP="00AE35A0">
      <w:pPr>
        <w:jc w:val="both"/>
        <w:rPr>
          <w:rFonts w:ascii="Arial" w:hAnsi="Arial" w:cs="Arial"/>
          <w:b/>
          <w:sz w:val="20"/>
          <w:szCs w:val="20"/>
        </w:rPr>
      </w:pPr>
      <w:r w:rsidRPr="002914C4">
        <w:rPr>
          <w:rFonts w:ascii="Arial" w:hAnsi="Arial" w:cs="Arial"/>
          <w:b/>
          <w:sz w:val="20"/>
          <w:szCs w:val="20"/>
        </w:rPr>
        <w:t>Materiale</w:t>
      </w:r>
      <w:r w:rsidR="00AE35A0">
        <w:rPr>
          <w:rFonts w:ascii="Arial" w:hAnsi="Arial" w:cs="Arial"/>
          <w:b/>
          <w:sz w:val="20"/>
          <w:szCs w:val="20"/>
        </w:rPr>
        <w:t>s y métodos</w:t>
      </w:r>
    </w:p>
    <w:p w14:paraId="73ABCB9E" w14:textId="77777777" w:rsidR="009A7608" w:rsidRPr="00395AD7" w:rsidRDefault="009A7608" w:rsidP="009A7608">
      <w:pPr>
        <w:jc w:val="both"/>
        <w:rPr>
          <w:rFonts w:ascii="Arial" w:hAnsi="Arial" w:cs="Arial"/>
          <w:sz w:val="20"/>
          <w:szCs w:val="20"/>
        </w:rPr>
      </w:pPr>
      <w:r w:rsidRPr="00395AD7">
        <w:rPr>
          <w:rFonts w:ascii="Arial" w:hAnsi="Arial" w:cs="Arial"/>
          <w:sz w:val="20"/>
          <w:szCs w:val="20"/>
        </w:rPr>
        <w:t xml:space="preserve">Ubicación del área de estudio. </w:t>
      </w:r>
      <w:r w:rsidRPr="00285C20">
        <w:rPr>
          <w:rFonts w:ascii="Arial" w:hAnsi="Arial" w:cs="Arial"/>
          <w:bCs/>
          <w:sz w:val="20"/>
          <w:szCs w:val="20"/>
        </w:rPr>
        <w:t xml:space="preserve">El estudio de se realizó en el poblado </w:t>
      </w:r>
      <w:proofErr w:type="spellStart"/>
      <w:r w:rsidRPr="00285C20">
        <w:rPr>
          <w:rFonts w:ascii="Arial" w:hAnsi="Arial" w:cs="Arial"/>
          <w:bCs/>
          <w:sz w:val="20"/>
          <w:szCs w:val="20"/>
        </w:rPr>
        <w:t>Cucuyulapa</w:t>
      </w:r>
      <w:proofErr w:type="spellEnd"/>
      <w:r w:rsidRPr="00285C20">
        <w:rPr>
          <w:rFonts w:ascii="Arial" w:hAnsi="Arial" w:cs="Arial"/>
          <w:bCs/>
          <w:sz w:val="20"/>
          <w:szCs w:val="20"/>
        </w:rPr>
        <w:t>, perteneciente al municipio de Cundu</w:t>
      </w:r>
      <w:r>
        <w:rPr>
          <w:rFonts w:ascii="Arial" w:hAnsi="Arial" w:cs="Arial"/>
          <w:bCs/>
          <w:sz w:val="20"/>
          <w:szCs w:val="20"/>
        </w:rPr>
        <w:t>acán, Tabasco, México</w:t>
      </w:r>
      <w:r w:rsidRPr="00285C20">
        <w:rPr>
          <w:rFonts w:ascii="Arial" w:hAnsi="Arial" w:cs="Arial"/>
          <w:bCs/>
          <w:sz w:val="20"/>
          <w:szCs w:val="20"/>
        </w:rPr>
        <w:t xml:space="preserve">, en una huerta comercial de plátano </w:t>
      </w:r>
      <w:r w:rsidRPr="00BA1A9A">
        <w:rPr>
          <w:rFonts w:ascii="Arial" w:hAnsi="Arial" w:cs="Arial"/>
          <w:bCs/>
          <w:sz w:val="20"/>
          <w:szCs w:val="20"/>
        </w:rPr>
        <w:t xml:space="preserve">macho </w:t>
      </w:r>
      <w:proofErr w:type="spellStart"/>
      <w:r w:rsidRPr="00BA1A9A">
        <w:rPr>
          <w:rFonts w:ascii="Arial" w:hAnsi="Arial" w:cs="Arial"/>
          <w:bCs/>
          <w:sz w:val="20"/>
          <w:szCs w:val="20"/>
        </w:rPr>
        <w:t>c.v.</w:t>
      </w:r>
      <w:proofErr w:type="spellEnd"/>
      <w:r w:rsidRPr="00BA1A9A">
        <w:rPr>
          <w:rFonts w:ascii="Arial" w:hAnsi="Arial" w:cs="Arial"/>
          <w:bCs/>
          <w:sz w:val="20"/>
          <w:szCs w:val="20"/>
        </w:rPr>
        <w:t xml:space="preserve"> </w:t>
      </w:r>
      <w:r w:rsidRPr="00285C20">
        <w:rPr>
          <w:rFonts w:ascii="Arial" w:hAnsi="Arial" w:cs="Arial"/>
          <w:bCs/>
          <w:sz w:val="20"/>
          <w:szCs w:val="20"/>
        </w:rPr>
        <w:t xml:space="preserve">criollo de </w:t>
      </w:r>
      <w:r w:rsidRPr="00BA1A9A">
        <w:rPr>
          <w:rFonts w:ascii="Arial" w:hAnsi="Arial" w:cs="Arial"/>
          <w:bCs/>
          <w:sz w:val="20"/>
          <w:szCs w:val="20"/>
        </w:rPr>
        <w:t xml:space="preserve">una </w:t>
      </w:r>
      <w:r w:rsidRPr="00285C20">
        <w:rPr>
          <w:rFonts w:ascii="Arial" w:hAnsi="Arial" w:cs="Arial"/>
          <w:bCs/>
          <w:sz w:val="20"/>
          <w:szCs w:val="20"/>
        </w:rPr>
        <w:t>hectárea intercalada con plátano dátil en el periodo del 15 de enero al 20 de abril de</w:t>
      </w:r>
      <w:r>
        <w:rPr>
          <w:rFonts w:ascii="Arial" w:hAnsi="Arial" w:cs="Arial"/>
          <w:bCs/>
          <w:sz w:val="20"/>
          <w:szCs w:val="20"/>
        </w:rPr>
        <w:t>l año</w:t>
      </w:r>
      <w:r w:rsidRPr="00285C20">
        <w:rPr>
          <w:rFonts w:ascii="Arial" w:hAnsi="Arial" w:cs="Arial"/>
          <w:bCs/>
          <w:sz w:val="20"/>
          <w:szCs w:val="20"/>
        </w:rPr>
        <w:t xml:space="preserve"> 2025. El área se localiza en las coordenadas 17° 58´, 23.2” N; 93°, 14´, 32.2” W. Esta zona, como en la mayor parte del territorio tabasqueño (95%), presenta clima cálido húmedo con</w:t>
      </w:r>
      <w:r>
        <w:rPr>
          <w:rFonts w:ascii="Arial" w:hAnsi="Arial" w:cs="Arial"/>
          <w:bCs/>
          <w:sz w:val="20"/>
          <w:szCs w:val="20"/>
        </w:rPr>
        <w:t xml:space="preserve"> una</w:t>
      </w:r>
      <w:r w:rsidRPr="00285C20">
        <w:rPr>
          <w:rFonts w:ascii="Arial" w:hAnsi="Arial" w:cs="Arial"/>
          <w:bCs/>
          <w:sz w:val="20"/>
          <w:szCs w:val="20"/>
        </w:rPr>
        <w:t xml:space="preserve"> temperatura promedio </w:t>
      </w:r>
      <w:r w:rsidRPr="00DA3F32">
        <w:rPr>
          <w:rFonts w:ascii="Arial" w:hAnsi="Arial" w:cs="Arial"/>
          <w:bCs/>
          <w:sz w:val="20"/>
          <w:szCs w:val="20"/>
        </w:rPr>
        <w:t>anual que varía de 25 a 27°C, prevaleciendo el clima cálido húmedo con ab</w:t>
      </w:r>
      <w:r>
        <w:rPr>
          <w:rFonts w:ascii="Arial" w:hAnsi="Arial" w:cs="Arial"/>
          <w:bCs/>
          <w:sz w:val="20"/>
          <w:szCs w:val="20"/>
        </w:rPr>
        <w:t xml:space="preserve">undantes lluvias en verano (Am). La temperatura máxima se registra antes de la estación lluviosa y del solsticio de verano (mayo) con valor medio de 35°C llegando a 42°C como el mes más caluroso y la temperatura mínima es de 18.5°C que se presenta en el mes de </w:t>
      </w:r>
      <w:r w:rsidRPr="00BA1A9A">
        <w:rPr>
          <w:rFonts w:ascii="Arial" w:hAnsi="Arial" w:cs="Arial"/>
          <w:bCs/>
          <w:sz w:val="20"/>
          <w:szCs w:val="20"/>
        </w:rPr>
        <w:t>enero (García, 1973).</w:t>
      </w:r>
    </w:p>
    <w:p w14:paraId="20AF535A" w14:textId="77777777" w:rsidR="009A7608" w:rsidRDefault="009A7608" w:rsidP="009A7608">
      <w:pPr>
        <w:jc w:val="both"/>
        <w:rPr>
          <w:rFonts w:ascii="Arial" w:hAnsi="Arial" w:cs="Arial"/>
          <w:bCs/>
          <w:sz w:val="20"/>
          <w:szCs w:val="20"/>
        </w:rPr>
      </w:pPr>
    </w:p>
    <w:p w14:paraId="011D6D5B" w14:textId="10089A42" w:rsidR="009A7608" w:rsidRDefault="009A7608" w:rsidP="009A760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Recorridos de campo. </w:t>
      </w:r>
      <w:r w:rsidRPr="00285C20">
        <w:rPr>
          <w:rFonts w:ascii="Arial" w:hAnsi="Arial" w:cs="Arial"/>
          <w:bCs/>
          <w:sz w:val="20"/>
          <w:szCs w:val="20"/>
        </w:rPr>
        <w:t>Se realizaron recorridos quincenales en el área de estudio con la finalidad de reconocer montículos y daños ocasionados a plant</w:t>
      </w:r>
      <w:r w:rsidRPr="00395AD7">
        <w:rPr>
          <w:rFonts w:ascii="Arial" w:hAnsi="Arial" w:cs="Arial"/>
          <w:bCs/>
          <w:sz w:val="20"/>
          <w:szCs w:val="20"/>
        </w:rPr>
        <w:t>as</w:t>
      </w:r>
      <w:r w:rsidRPr="00FD5D61">
        <w:rPr>
          <w:rFonts w:ascii="Arial" w:hAnsi="Arial" w:cs="Arial"/>
          <w:bCs/>
          <w:color w:val="0000CC"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85C20">
        <w:rPr>
          <w:rFonts w:ascii="Arial" w:hAnsi="Arial" w:cs="Arial"/>
          <w:bCs/>
          <w:sz w:val="20"/>
          <w:szCs w:val="20"/>
        </w:rPr>
        <w:t>Se registró la actividad de las tuzas y se contabilizó el número de montículos frescos y viejos en el área de estudio</w:t>
      </w:r>
      <w:r>
        <w:rPr>
          <w:rFonts w:ascii="Arial" w:hAnsi="Arial" w:cs="Arial"/>
          <w:bCs/>
          <w:sz w:val="20"/>
          <w:szCs w:val="20"/>
        </w:rPr>
        <w:t xml:space="preserve"> subdividida en cuatro áreas y recorrida por </w:t>
      </w:r>
      <w:proofErr w:type="spellStart"/>
      <w:r>
        <w:rPr>
          <w:rFonts w:ascii="Arial" w:hAnsi="Arial" w:cs="Arial"/>
          <w:bCs/>
          <w:sz w:val="20"/>
          <w:szCs w:val="20"/>
        </w:rPr>
        <w:t>transectos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(Figura 1</w:t>
      </w:r>
      <w:r w:rsidRPr="00285C20">
        <w:rPr>
          <w:rFonts w:ascii="Arial" w:hAnsi="Arial" w:cs="Arial"/>
          <w:bCs/>
          <w:sz w:val="20"/>
          <w:szCs w:val="20"/>
        </w:rPr>
        <w:t xml:space="preserve">). Con flexómetro se midió el diámetro vertical y horizontal de la apertura de los túneles y la profundidad de los túneles, así mismo, se evaluó el daño a plantas. </w:t>
      </w:r>
    </w:p>
    <w:p w14:paraId="35127D64" w14:textId="460018C0" w:rsidR="009A7608" w:rsidRDefault="009A7608" w:rsidP="009A760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  <w:lang w:val="es-MX" w:eastAsia="es-MX"/>
        </w:rPr>
        <w:drawing>
          <wp:inline distT="0" distB="0" distL="0" distR="0" wp14:anchorId="263E8C0C" wp14:editId="3F6CA4EE">
            <wp:extent cx="5846324" cy="2138084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014" t="39963" r="21954" b="22959"/>
                    <a:stretch/>
                  </pic:blipFill>
                  <pic:spPr bwMode="auto">
                    <a:xfrm>
                      <a:off x="0" y="0"/>
                      <a:ext cx="5883723" cy="2151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66627" w14:textId="77777777" w:rsidR="009A7608" w:rsidRPr="00285C20" w:rsidRDefault="009A7608" w:rsidP="009A760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Figura 1</w:t>
      </w:r>
      <w:r w:rsidRPr="00285C2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Croquis representativo</w:t>
      </w:r>
      <w:r w:rsidRPr="00285C20">
        <w:rPr>
          <w:rFonts w:ascii="Arial" w:hAnsi="Arial" w:cs="Arial"/>
          <w:sz w:val="20"/>
          <w:szCs w:val="20"/>
        </w:rPr>
        <w:t xml:space="preserve"> de la huerta comercial de plátano </w:t>
      </w:r>
      <w:r w:rsidRPr="00BA1A9A">
        <w:rPr>
          <w:rFonts w:ascii="Arial" w:hAnsi="Arial" w:cs="Arial"/>
          <w:sz w:val="20"/>
          <w:szCs w:val="20"/>
        </w:rPr>
        <w:t xml:space="preserve">macho </w:t>
      </w:r>
      <w:proofErr w:type="spellStart"/>
      <w:r w:rsidRPr="00BA1A9A">
        <w:rPr>
          <w:rFonts w:ascii="Arial" w:hAnsi="Arial" w:cs="Arial"/>
          <w:sz w:val="20"/>
          <w:szCs w:val="20"/>
        </w:rPr>
        <w:t>c.v.</w:t>
      </w:r>
      <w:proofErr w:type="spellEnd"/>
      <w:r w:rsidRPr="00BA1A9A">
        <w:rPr>
          <w:rFonts w:ascii="Arial" w:hAnsi="Arial" w:cs="Arial"/>
          <w:sz w:val="20"/>
          <w:szCs w:val="20"/>
        </w:rPr>
        <w:t xml:space="preserve"> criollo</w:t>
      </w:r>
      <w:r w:rsidRPr="00D54C74">
        <w:rPr>
          <w:rFonts w:ascii="Arial" w:hAnsi="Arial" w:cs="Arial"/>
          <w:color w:val="0000CC"/>
          <w:sz w:val="20"/>
          <w:szCs w:val="20"/>
        </w:rPr>
        <w:t>,</w:t>
      </w:r>
      <w:r w:rsidRPr="00285C20">
        <w:rPr>
          <w:rFonts w:ascii="Arial" w:hAnsi="Arial" w:cs="Arial"/>
          <w:sz w:val="20"/>
          <w:szCs w:val="20"/>
        </w:rPr>
        <w:t xml:space="preserve"> subdividida en </w:t>
      </w:r>
      <w:r>
        <w:rPr>
          <w:rFonts w:ascii="Arial" w:hAnsi="Arial" w:cs="Arial"/>
          <w:sz w:val="20"/>
          <w:szCs w:val="20"/>
        </w:rPr>
        <w:t>áreas</w:t>
      </w:r>
      <w:r w:rsidRPr="00285C20">
        <w:rPr>
          <w:rFonts w:ascii="Arial" w:hAnsi="Arial" w:cs="Arial"/>
          <w:sz w:val="20"/>
          <w:szCs w:val="20"/>
        </w:rPr>
        <w:t>.</w:t>
      </w:r>
    </w:p>
    <w:p w14:paraId="008E7A94" w14:textId="63D9C374" w:rsidR="00AE35A0" w:rsidRDefault="00AE35A0" w:rsidP="00AE35A0">
      <w:pPr>
        <w:jc w:val="both"/>
        <w:rPr>
          <w:rFonts w:ascii="Arial" w:hAnsi="Arial" w:cs="Arial"/>
          <w:b/>
          <w:sz w:val="20"/>
          <w:szCs w:val="20"/>
        </w:rPr>
      </w:pPr>
    </w:p>
    <w:p w14:paraId="4677EA0F" w14:textId="77777777" w:rsidR="009A7608" w:rsidRPr="00AE35A0" w:rsidRDefault="009A7608" w:rsidP="00AE35A0">
      <w:pPr>
        <w:jc w:val="both"/>
        <w:rPr>
          <w:rFonts w:ascii="Arial" w:hAnsi="Arial" w:cs="Arial"/>
          <w:b/>
          <w:sz w:val="20"/>
          <w:szCs w:val="20"/>
        </w:rPr>
      </w:pPr>
    </w:p>
    <w:p w14:paraId="00D49E60" w14:textId="77777777" w:rsidR="00AE35A0" w:rsidRDefault="00AE35A0" w:rsidP="00AE35A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Resultados y discusión</w:t>
      </w:r>
    </w:p>
    <w:p w14:paraId="1AB2CF6B" w14:textId="2A1BE54A" w:rsidR="009A7608" w:rsidRDefault="009A7608" w:rsidP="009A7608">
      <w:pPr>
        <w:jc w:val="both"/>
        <w:rPr>
          <w:rFonts w:ascii="Arial" w:hAnsi="Arial" w:cs="Arial"/>
          <w:bCs/>
          <w:sz w:val="20"/>
          <w:szCs w:val="20"/>
        </w:rPr>
      </w:pPr>
      <w:r w:rsidRPr="00984D3E">
        <w:rPr>
          <w:rFonts w:ascii="Arial" w:hAnsi="Arial" w:cs="Arial"/>
          <w:sz w:val="20"/>
          <w:szCs w:val="20"/>
        </w:rPr>
        <w:t>Actividad de tuzas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Durante los r</w:t>
      </w:r>
      <w:r w:rsidRPr="00285C20">
        <w:rPr>
          <w:rFonts w:ascii="Arial" w:hAnsi="Arial" w:cs="Arial"/>
          <w:bCs/>
          <w:sz w:val="20"/>
          <w:szCs w:val="20"/>
        </w:rPr>
        <w:t xml:space="preserve">ecorridos de campo se observaron montículos </w:t>
      </w:r>
      <w:r>
        <w:rPr>
          <w:rFonts w:ascii="Arial" w:hAnsi="Arial" w:cs="Arial"/>
          <w:bCs/>
          <w:sz w:val="20"/>
          <w:szCs w:val="20"/>
        </w:rPr>
        <w:t>con</w:t>
      </w:r>
      <w:r w:rsidRPr="00285C20">
        <w:rPr>
          <w:rFonts w:ascii="Arial" w:hAnsi="Arial" w:cs="Arial"/>
          <w:bCs/>
          <w:sz w:val="20"/>
          <w:szCs w:val="20"/>
        </w:rPr>
        <w:t xml:space="preserve"> tierra </w:t>
      </w:r>
      <w:r>
        <w:rPr>
          <w:rFonts w:ascii="Arial" w:hAnsi="Arial" w:cs="Arial"/>
          <w:bCs/>
          <w:sz w:val="20"/>
          <w:szCs w:val="20"/>
        </w:rPr>
        <w:t xml:space="preserve">suelta </w:t>
      </w:r>
      <w:r w:rsidRPr="00285C20">
        <w:rPr>
          <w:rFonts w:ascii="Arial" w:hAnsi="Arial" w:cs="Arial"/>
          <w:bCs/>
          <w:sz w:val="20"/>
          <w:szCs w:val="20"/>
        </w:rPr>
        <w:t xml:space="preserve">tanto frescos como viejos, evidenciando la presencia y actividad de tuzas en el </w:t>
      </w:r>
      <w:r>
        <w:rPr>
          <w:rFonts w:ascii="Arial" w:hAnsi="Arial" w:cs="Arial"/>
          <w:bCs/>
          <w:sz w:val="20"/>
          <w:szCs w:val="20"/>
        </w:rPr>
        <w:t>área de estudio</w:t>
      </w:r>
      <w:r w:rsidRPr="00285C20">
        <w:rPr>
          <w:rFonts w:ascii="Arial" w:hAnsi="Arial" w:cs="Arial"/>
          <w:bCs/>
          <w:sz w:val="20"/>
          <w:szCs w:val="20"/>
        </w:rPr>
        <w:t>. De acuerdo con el “</w:t>
      </w:r>
      <w:proofErr w:type="spellStart"/>
      <w:r w:rsidRPr="00285C20">
        <w:rPr>
          <w:rFonts w:ascii="Arial" w:hAnsi="Arial" w:cs="Arial"/>
          <w:bCs/>
          <w:sz w:val="20"/>
          <w:szCs w:val="20"/>
        </w:rPr>
        <w:t>tuzero</w:t>
      </w:r>
      <w:proofErr w:type="spellEnd"/>
      <w:r w:rsidRPr="00285C20">
        <w:rPr>
          <w:rFonts w:ascii="Arial" w:hAnsi="Arial" w:cs="Arial"/>
          <w:bCs/>
          <w:sz w:val="20"/>
          <w:szCs w:val="20"/>
        </w:rPr>
        <w:t>” el Sr. Francisco Custodio Flores y productores de plátano en la zona</w:t>
      </w:r>
      <w:r>
        <w:rPr>
          <w:rFonts w:ascii="Arial" w:hAnsi="Arial" w:cs="Arial"/>
          <w:bCs/>
          <w:sz w:val="20"/>
          <w:szCs w:val="20"/>
        </w:rPr>
        <w:t xml:space="preserve"> de estudio </w:t>
      </w:r>
      <w:r w:rsidRPr="00285C20">
        <w:rPr>
          <w:rFonts w:ascii="Arial" w:hAnsi="Arial" w:cs="Arial"/>
          <w:bCs/>
          <w:sz w:val="20"/>
          <w:szCs w:val="20"/>
        </w:rPr>
        <w:t xml:space="preserve">(comunicación personal), las tuzas se reproducen </w:t>
      </w:r>
      <w:r>
        <w:rPr>
          <w:rFonts w:ascii="Arial" w:hAnsi="Arial" w:cs="Arial"/>
          <w:bCs/>
          <w:sz w:val="20"/>
          <w:szCs w:val="20"/>
        </w:rPr>
        <w:t xml:space="preserve">durante </w:t>
      </w:r>
      <w:r w:rsidRPr="00285C20">
        <w:rPr>
          <w:rFonts w:ascii="Arial" w:hAnsi="Arial" w:cs="Arial"/>
          <w:bCs/>
          <w:sz w:val="20"/>
          <w:szCs w:val="20"/>
        </w:rPr>
        <w:t xml:space="preserve">todo el año con dos picos de actividad reproductiva y de daño; el primero </w:t>
      </w:r>
      <w:r>
        <w:rPr>
          <w:rFonts w:ascii="Arial" w:hAnsi="Arial" w:cs="Arial"/>
          <w:bCs/>
          <w:sz w:val="20"/>
          <w:szCs w:val="20"/>
        </w:rPr>
        <w:t>que va de los meses de</w:t>
      </w:r>
      <w:r w:rsidRPr="00285C20">
        <w:rPr>
          <w:rFonts w:ascii="Arial" w:hAnsi="Arial" w:cs="Arial"/>
          <w:bCs/>
          <w:sz w:val="20"/>
          <w:szCs w:val="20"/>
        </w:rPr>
        <w:t xml:space="preserve"> marzo a junio y el segundo de</w:t>
      </w:r>
      <w:r>
        <w:rPr>
          <w:rFonts w:ascii="Arial" w:hAnsi="Arial" w:cs="Arial"/>
          <w:bCs/>
          <w:sz w:val="20"/>
          <w:szCs w:val="20"/>
        </w:rPr>
        <w:t xml:space="preserve"> los meses de</w:t>
      </w:r>
      <w:r w:rsidRPr="00285C20">
        <w:rPr>
          <w:rFonts w:ascii="Arial" w:hAnsi="Arial" w:cs="Arial"/>
          <w:bCs/>
          <w:sz w:val="20"/>
          <w:szCs w:val="20"/>
        </w:rPr>
        <w:t xml:space="preserve"> septiembre a diciembre, así mismo, mencionaron que las tuzas muestran una mayor actividad </w:t>
      </w:r>
      <w:r>
        <w:rPr>
          <w:rFonts w:ascii="Arial" w:hAnsi="Arial" w:cs="Arial"/>
          <w:bCs/>
          <w:sz w:val="20"/>
          <w:szCs w:val="20"/>
        </w:rPr>
        <w:t xml:space="preserve">en la formación de nuevos túneles y daño a plantas </w:t>
      </w:r>
      <w:r w:rsidRPr="00285C20">
        <w:rPr>
          <w:rFonts w:ascii="Arial" w:hAnsi="Arial" w:cs="Arial"/>
          <w:bCs/>
          <w:sz w:val="20"/>
          <w:szCs w:val="20"/>
        </w:rPr>
        <w:t>entre las 18:00</w:t>
      </w:r>
      <w:r>
        <w:rPr>
          <w:rFonts w:ascii="Arial" w:hAnsi="Arial" w:cs="Arial"/>
          <w:bCs/>
          <w:sz w:val="20"/>
          <w:szCs w:val="20"/>
        </w:rPr>
        <w:t xml:space="preserve"> pm</w:t>
      </w:r>
      <w:r w:rsidRPr="00285C20">
        <w:rPr>
          <w:rFonts w:ascii="Arial" w:hAnsi="Arial" w:cs="Arial"/>
          <w:bCs/>
          <w:sz w:val="20"/>
          <w:szCs w:val="20"/>
        </w:rPr>
        <w:t xml:space="preserve"> a las 6:00 </w:t>
      </w:r>
      <w:r>
        <w:rPr>
          <w:rFonts w:ascii="Arial" w:hAnsi="Arial" w:cs="Arial"/>
          <w:bCs/>
          <w:sz w:val="20"/>
          <w:szCs w:val="20"/>
        </w:rPr>
        <w:t>am</w:t>
      </w:r>
      <w:r w:rsidRPr="00285C20">
        <w:rPr>
          <w:rFonts w:ascii="Arial" w:hAnsi="Arial" w:cs="Arial"/>
          <w:bCs/>
          <w:sz w:val="20"/>
          <w:szCs w:val="20"/>
        </w:rPr>
        <w:t xml:space="preserve">, lo cual coincide a lo reportado </w:t>
      </w:r>
      <w:r w:rsidRPr="00DA3F32">
        <w:rPr>
          <w:rFonts w:ascii="Arial" w:hAnsi="Arial" w:cs="Arial"/>
          <w:bCs/>
          <w:sz w:val="20"/>
          <w:szCs w:val="20"/>
        </w:rPr>
        <w:t>por Delgado, 1990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285C20">
        <w:rPr>
          <w:rFonts w:ascii="Arial" w:hAnsi="Arial" w:cs="Arial"/>
          <w:bCs/>
          <w:sz w:val="20"/>
          <w:szCs w:val="20"/>
        </w:rPr>
        <w:t>donde menciona que la mayor actividad ocurre entre las 16:00</w:t>
      </w:r>
      <w:r>
        <w:rPr>
          <w:rFonts w:ascii="Arial" w:hAnsi="Arial" w:cs="Arial"/>
          <w:bCs/>
          <w:sz w:val="20"/>
          <w:szCs w:val="20"/>
        </w:rPr>
        <w:t xml:space="preserve"> pm</w:t>
      </w:r>
      <w:r w:rsidRPr="00285C20">
        <w:rPr>
          <w:rFonts w:ascii="Arial" w:hAnsi="Arial" w:cs="Arial"/>
          <w:bCs/>
          <w:sz w:val="20"/>
          <w:szCs w:val="20"/>
        </w:rPr>
        <w:t xml:space="preserve"> a las 8:00 </w:t>
      </w:r>
      <w:r>
        <w:rPr>
          <w:rFonts w:ascii="Arial" w:hAnsi="Arial" w:cs="Arial"/>
          <w:bCs/>
          <w:sz w:val="20"/>
          <w:szCs w:val="20"/>
        </w:rPr>
        <w:t>am</w:t>
      </w:r>
      <w:r w:rsidRPr="00285C20">
        <w:rPr>
          <w:rFonts w:ascii="Arial" w:hAnsi="Arial" w:cs="Arial"/>
          <w:bCs/>
          <w:sz w:val="20"/>
          <w:szCs w:val="20"/>
        </w:rPr>
        <w:t xml:space="preserve">. Los registros del número y estado de madurez de los montículos, dimensiones de la boca del túnel y el daño a plantas de plátano </w:t>
      </w:r>
      <w:r w:rsidRPr="00BA1A9A">
        <w:rPr>
          <w:rFonts w:ascii="Arial" w:hAnsi="Arial" w:cs="Arial"/>
          <w:bCs/>
          <w:sz w:val="20"/>
          <w:szCs w:val="20"/>
        </w:rPr>
        <w:t xml:space="preserve">macho </w:t>
      </w:r>
      <w:proofErr w:type="spellStart"/>
      <w:r w:rsidRPr="00BA1A9A">
        <w:rPr>
          <w:rFonts w:ascii="Arial" w:hAnsi="Arial" w:cs="Arial"/>
          <w:bCs/>
          <w:sz w:val="20"/>
          <w:szCs w:val="20"/>
        </w:rPr>
        <w:t>c.v.</w:t>
      </w:r>
      <w:proofErr w:type="spellEnd"/>
      <w:r w:rsidRPr="00BA1A9A">
        <w:rPr>
          <w:rFonts w:ascii="Arial" w:hAnsi="Arial" w:cs="Arial"/>
          <w:bCs/>
          <w:sz w:val="20"/>
          <w:szCs w:val="20"/>
        </w:rPr>
        <w:t xml:space="preserve"> criollo</w:t>
      </w:r>
      <w:r w:rsidRPr="00D54C74">
        <w:rPr>
          <w:rFonts w:ascii="Arial" w:hAnsi="Arial" w:cs="Arial"/>
          <w:bCs/>
          <w:color w:val="0000CC"/>
          <w:sz w:val="20"/>
          <w:szCs w:val="20"/>
        </w:rPr>
        <w:t>,</w:t>
      </w:r>
      <w:r w:rsidRPr="00285C20">
        <w:rPr>
          <w:rFonts w:ascii="Arial" w:hAnsi="Arial" w:cs="Arial"/>
          <w:bCs/>
          <w:sz w:val="20"/>
          <w:szCs w:val="20"/>
        </w:rPr>
        <w:t xml:space="preserve"> derivados de seis evaluaciones quincenales se señalan en la </w:t>
      </w:r>
      <w:r>
        <w:rPr>
          <w:rFonts w:ascii="Arial" w:hAnsi="Arial" w:cs="Arial"/>
          <w:bCs/>
          <w:sz w:val="20"/>
          <w:szCs w:val="20"/>
        </w:rPr>
        <w:t>Cuadro</w:t>
      </w:r>
      <w:r w:rsidRPr="00285C20">
        <w:rPr>
          <w:rFonts w:ascii="Arial" w:hAnsi="Arial" w:cs="Arial"/>
          <w:bCs/>
          <w:sz w:val="20"/>
          <w:szCs w:val="20"/>
        </w:rPr>
        <w:t xml:space="preserve"> 1.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0B380973" w14:textId="77777777" w:rsidR="009A7608" w:rsidRDefault="009A7608" w:rsidP="009A7608">
      <w:pPr>
        <w:jc w:val="both"/>
        <w:rPr>
          <w:rFonts w:ascii="Arial" w:hAnsi="Arial" w:cs="Arial"/>
          <w:bCs/>
          <w:sz w:val="20"/>
          <w:szCs w:val="20"/>
        </w:rPr>
      </w:pPr>
    </w:p>
    <w:p w14:paraId="4E3FEA46" w14:textId="77777777" w:rsidR="009A7608" w:rsidRPr="00285C20" w:rsidRDefault="009A7608" w:rsidP="009A760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Cuadro</w:t>
      </w:r>
      <w:r w:rsidRPr="00285C20">
        <w:rPr>
          <w:rFonts w:ascii="Arial" w:hAnsi="Arial" w:cs="Arial"/>
          <w:bCs/>
          <w:sz w:val="20"/>
          <w:szCs w:val="20"/>
        </w:rPr>
        <w:t xml:space="preserve"> 1. Número y estado de madurez de los montículos, dimensiones de la boca del túnel y daño a plantas registrados en una huerta comercial de plátano </w:t>
      </w:r>
      <w:proofErr w:type="spellStart"/>
      <w:r w:rsidRPr="00285C20">
        <w:rPr>
          <w:rFonts w:ascii="Arial" w:hAnsi="Arial" w:cs="Arial"/>
          <w:bCs/>
          <w:sz w:val="20"/>
          <w:szCs w:val="20"/>
        </w:rPr>
        <w:t>c.v</w:t>
      </w:r>
      <w:proofErr w:type="spellEnd"/>
      <w:r w:rsidRPr="00285C20">
        <w:rPr>
          <w:rFonts w:ascii="Arial" w:hAnsi="Arial" w:cs="Arial"/>
          <w:bCs/>
          <w:sz w:val="20"/>
          <w:szCs w:val="20"/>
        </w:rPr>
        <w:t xml:space="preserve"> criollo en </w:t>
      </w:r>
      <w:proofErr w:type="spellStart"/>
      <w:r w:rsidRPr="00285C20">
        <w:rPr>
          <w:rFonts w:ascii="Arial" w:hAnsi="Arial" w:cs="Arial"/>
          <w:bCs/>
          <w:sz w:val="20"/>
          <w:szCs w:val="20"/>
        </w:rPr>
        <w:t>Cucuyulapa</w:t>
      </w:r>
      <w:proofErr w:type="spellEnd"/>
      <w:r w:rsidRPr="00285C20">
        <w:rPr>
          <w:rFonts w:ascii="Arial" w:hAnsi="Arial" w:cs="Arial"/>
          <w:bCs/>
          <w:sz w:val="20"/>
          <w:szCs w:val="20"/>
        </w:rPr>
        <w:t>, Cunduacán Tab</w:t>
      </w:r>
      <w:r>
        <w:rPr>
          <w:rFonts w:ascii="Arial" w:hAnsi="Arial" w:cs="Arial"/>
          <w:bCs/>
          <w:sz w:val="20"/>
          <w:szCs w:val="20"/>
        </w:rPr>
        <w:t xml:space="preserve">asco </w:t>
      </w:r>
      <w:r w:rsidRPr="00285C20">
        <w:rPr>
          <w:rFonts w:ascii="Arial" w:hAnsi="Arial" w:cs="Arial"/>
          <w:bCs/>
          <w:sz w:val="20"/>
          <w:szCs w:val="20"/>
        </w:rPr>
        <w:t xml:space="preserve">en el periodo del 15 de enero al 20 de abril de 2025. 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1"/>
        <w:gridCol w:w="984"/>
        <w:gridCol w:w="802"/>
        <w:gridCol w:w="679"/>
        <w:gridCol w:w="1150"/>
        <w:gridCol w:w="1158"/>
        <w:gridCol w:w="1158"/>
        <w:gridCol w:w="1422"/>
      </w:tblGrid>
      <w:tr w:rsidR="009A7608" w:rsidRPr="00821261" w14:paraId="1A93FF00" w14:textId="77777777" w:rsidTr="008537BC">
        <w:tc>
          <w:tcPr>
            <w:tcW w:w="1095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50B7033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Área de estudio </w:t>
            </w:r>
          </w:p>
          <w:p w14:paraId="22DC162B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>(1 hectárea)</w:t>
            </w:r>
          </w:p>
        </w:tc>
        <w:tc>
          <w:tcPr>
            <w:tcW w:w="128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4B2797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Montículos </w:t>
            </w:r>
          </w:p>
        </w:tc>
        <w:tc>
          <w:tcPr>
            <w:tcW w:w="186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3ABFFF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Dimensiones de la boca del túnel (montículos frescos) (cm) 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EE46217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Plantas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dañadas</w:t>
            </w:r>
          </w:p>
        </w:tc>
      </w:tr>
      <w:tr w:rsidR="009A7608" w:rsidRPr="00821261" w14:paraId="35E0E840" w14:textId="77777777" w:rsidTr="008537BC">
        <w:tc>
          <w:tcPr>
            <w:tcW w:w="1095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AA532E" w14:textId="77777777" w:rsidR="009A7608" w:rsidRPr="00821261" w:rsidRDefault="009A7608" w:rsidP="008537B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14:paraId="3345DDAF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>Frescos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14:paraId="1A56517A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>Viejos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14:paraId="7C80730F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14:paraId="66CAFA10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>DV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14:paraId="13E81C25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>DH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14:paraId="4A8C733C" w14:textId="77777777" w:rsidR="009A7608" w:rsidRPr="00821261" w:rsidRDefault="009A7608" w:rsidP="008537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261">
              <w:rPr>
                <w:rFonts w:ascii="Arial" w:hAnsi="Arial" w:cs="Arial"/>
                <w:b/>
                <w:bCs/>
                <w:sz w:val="20"/>
                <w:szCs w:val="20"/>
              </w:rPr>
              <w:t>PROF</w:t>
            </w:r>
          </w:p>
        </w:tc>
        <w:tc>
          <w:tcPr>
            <w:tcW w:w="76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2D9CB1" w14:textId="77777777" w:rsidR="009A7608" w:rsidRPr="00821261" w:rsidRDefault="009A7608" w:rsidP="008537B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A7608" w:rsidRPr="00285C20" w14:paraId="050EBE30" w14:textId="77777777" w:rsidTr="008537BC">
        <w:tc>
          <w:tcPr>
            <w:tcW w:w="1095" w:type="pct"/>
            <w:tcBorders>
              <w:top w:val="single" w:sz="4" w:space="0" w:color="auto"/>
            </w:tcBorders>
          </w:tcPr>
          <w:p w14:paraId="103AB0B3" w14:textId="77777777" w:rsidR="009A7608" w:rsidRPr="00285C20" w:rsidRDefault="009A7608" w:rsidP="008537B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Área</w:t>
            </w:r>
            <w:r w:rsidRPr="00285C20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493" w:type="pct"/>
            <w:tcBorders>
              <w:top w:val="single" w:sz="4" w:space="0" w:color="auto"/>
            </w:tcBorders>
          </w:tcPr>
          <w:p w14:paraId="36998783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14:paraId="3AF0872E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28</w:t>
            </w: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387EBA57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38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70BF7225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12.0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7B8AEDC6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11.8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1BD0BA58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31.7</w:t>
            </w:r>
          </w:p>
        </w:tc>
        <w:tc>
          <w:tcPr>
            <w:tcW w:w="760" w:type="pct"/>
            <w:tcBorders>
              <w:top w:val="single" w:sz="4" w:space="0" w:color="auto"/>
            </w:tcBorders>
          </w:tcPr>
          <w:p w14:paraId="31898DB9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</w:tr>
      <w:tr w:rsidR="009A7608" w:rsidRPr="00285C20" w14:paraId="720E98DD" w14:textId="77777777" w:rsidTr="008537BC">
        <w:tc>
          <w:tcPr>
            <w:tcW w:w="1095" w:type="pct"/>
          </w:tcPr>
          <w:p w14:paraId="21A2F1F5" w14:textId="77777777" w:rsidR="009A7608" w:rsidRPr="00285C20" w:rsidRDefault="009A7608" w:rsidP="008537B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Área</w:t>
            </w:r>
            <w:r w:rsidRPr="00285C20">
              <w:rPr>
                <w:rFonts w:ascii="Arial" w:hAnsi="Arial" w:cs="Arial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493" w:type="pct"/>
          </w:tcPr>
          <w:p w14:paraId="03291887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  <w:tc>
          <w:tcPr>
            <w:tcW w:w="427" w:type="pct"/>
          </w:tcPr>
          <w:p w14:paraId="5A9EA252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365" w:type="pct"/>
          </w:tcPr>
          <w:p w14:paraId="12C6153C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126</w:t>
            </w:r>
          </w:p>
        </w:tc>
        <w:tc>
          <w:tcPr>
            <w:tcW w:w="620" w:type="pct"/>
          </w:tcPr>
          <w:p w14:paraId="5429696D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11.1</w:t>
            </w:r>
          </w:p>
        </w:tc>
        <w:tc>
          <w:tcPr>
            <w:tcW w:w="620" w:type="pct"/>
          </w:tcPr>
          <w:p w14:paraId="53BE5124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10.9</w:t>
            </w:r>
          </w:p>
        </w:tc>
        <w:tc>
          <w:tcPr>
            <w:tcW w:w="620" w:type="pct"/>
          </w:tcPr>
          <w:p w14:paraId="473BA40D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33.8</w:t>
            </w:r>
          </w:p>
        </w:tc>
        <w:tc>
          <w:tcPr>
            <w:tcW w:w="760" w:type="pct"/>
          </w:tcPr>
          <w:p w14:paraId="5611559F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36</w:t>
            </w:r>
          </w:p>
        </w:tc>
      </w:tr>
      <w:tr w:rsidR="009A7608" w:rsidRPr="00285C20" w14:paraId="6454574B" w14:textId="77777777" w:rsidTr="008537BC">
        <w:tc>
          <w:tcPr>
            <w:tcW w:w="1095" w:type="pct"/>
          </w:tcPr>
          <w:p w14:paraId="350B49E7" w14:textId="77777777" w:rsidR="009A7608" w:rsidRPr="00285C20" w:rsidRDefault="009A7608" w:rsidP="008537B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Área</w:t>
            </w:r>
            <w:r w:rsidRPr="00285C20">
              <w:rPr>
                <w:rFonts w:ascii="Arial" w:hAnsi="Arial" w:cs="Arial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493" w:type="pct"/>
          </w:tcPr>
          <w:p w14:paraId="0D1EE0E3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427" w:type="pct"/>
          </w:tcPr>
          <w:p w14:paraId="74A62041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365" w:type="pct"/>
          </w:tcPr>
          <w:p w14:paraId="24305BDF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620" w:type="pct"/>
          </w:tcPr>
          <w:p w14:paraId="6E413008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12.3</w:t>
            </w:r>
          </w:p>
        </w:tc>
        <w:tc>
          <w:tcPr>
            <w:tcW w:w="620" w:type="pct"/>
          </w:tcPr>
          <w:p w14:paraId="55DCA1AF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11.1</w:t>
            </w:r>
          </w:p>
        </w:tc>
        <w:tc>
          <w:tcPr>
            <w:tcW w:w="620" w:type="pct"/>
          </w:tcPr>
          <w:p w14:paraId="0C339D4E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35.2</w:t>
            </w:r>
          </w:p>
        </w:tc>
        <w:tc>
          <w:tcPr>
            <w:tcW w:w="760" w:type="pct"/>
          </w:tcPr>
          <w:p w14:paraId="33266DF0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9A7608" w:rsidRPr="00285C20" w14:paraId="7F96B988" w14:textId="77777777" w:rsidTr="008537BC">
        <w:tc>
          <w:tcPr>
            <w:tcW w:w="1095" w:type="pct"/>
          </w:tcPr>
          <w:p w14:paraId="12A5C08D" w14:textId="77777777" w:rsidR="009A7608" w:rsidRPr="00285C20" w:rsidRDefault="009A7608" w:rsidP="008537B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Área </w:t>
            </w:r>
            <w:r w:rsidRPr="00285C20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14:paraId="7BD88EB3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3DE7730C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365" w:type="pct"/>
          </w:tcPr>
          <w:p w14:paraId="73355D50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  <w:tc>
          <w:tcPr>
            <w:tcW w:w="620" w:type="pct"/>
          </w:tcPr>
          <w:p w14:paraId="6149AA9D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12.0</w:t>
            </w:r>
          </w:p>
        </w:tc>
        <w:tc>
          <w:tcPr>
            <w:tcW w:w="620" w:type="pct"/>
          </w:tcPr>
          <w:p w14:paraId="6223403F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12.1</w:t>
            </w:r>
          </w:p>
        </w:tc>
        <w:tc>
          <w:tcPr>
            <w:tcW w:w="620" w:type="pct"/>
          </w:tcPr>
          <w:p w14:paraId="7D648A59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30.0</w:t>
            </w:r>
          </w:p>
        </w:tc>
        <w:tc>
          <w:tcPr>
            <w:tcW w:w="760" w:type="pct"/>
          </w:tcPr>
          <w:p w14:paraId="151C73E4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5C20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9A7608" w:rsidRPr="00285C20" w14:paraId="317F0420" w14:textId="77777777" w:rsidTr="008537BC">
        <w:tc>
          <w:tcPr>
            <w:tcW w:w="1095" w:type="pct"/>
            <w:tcBorders>
              <w:bottom w:val="single" w:sz="4" w:space="0" w:color="auto"/>
            </w:tcBorders>
          </w:tcPr>
          <w:p w14:paraId="54589017" w14:textId="77777777" w:rsidR="009A7608" w:rsidRDefault="009A7608" w:rsidP="008537B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14:paraId="649C9B98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6709FCDE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0536CB03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2216D6F5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55A6F">
              <w:rPr>
                <w:rFonts w:ascii="Arial" w:hAnsi="Arial" w:cs="Arial"/>
                <w:bCs/>
                <w:sz w:val="20"/>
                <w:szCs w:val="20"/>
              </w:rPr>
              <w:t>x̄</w:t>
            </w:r>
            <w:r>
              <w:rPr>
                <w:rFonts w:ascii="Arial" w:hAnsi="Arial" w:cs="Arial"/>
                <w:bCs/>
                <w:sz w:val="20"/>
                <w:szCs w:val="20"/>
              </w:rPr>
              <w:t>=11.8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61413691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55A6F">
              <w:rPr>
                <w:rFonts w:ascii="Arial" w:hAnsi="Arial" w:cs="Arial"/>
                <w:bCs/>
                <w:sz w:val="20"/>
                <w:szCs w:val="20"/>
              </w:rPr>
              <w:t>x̄</w:t>
            </w:r>
            <w:r>
              <w:rPr>
                <w:rFonts w:ascii="Arial" w:hAnsi="Arial" w:cs="Arial"/>
                <w:bCs/>
                <w:sz w:val="20"/>
                <w:szCs w:val="20"/>
              </w:rPr>
              <w:t>=11.4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1DD7300B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55A6F">
              <w:rPr>
                <w:rFonts w:ascii="Arial" w:hAnsi="Arial" w:cs="Arial"/>
                <w:bCs/>
                <w:sz w:val="20"/>
                <w:szCs w:val="20"/>
              </w:rPr>
              <w:t>x̄</w:t>
            </w:r>
            <w:r>
              <w:rPr>
                <w:rFonts w:ascii="Arial" w:hAnsi="Arial" w:cs="Arial"/>
                <w:bCs/>
                <w:sz w:val="20"/>
                <w:szCs w:val="20"/>
              </w:rPr>
              <w:t>=32.6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635AE7E4" w14:textId="77777777" w:rsidR="009A7608" w:rsidRPr="00285C20" w:rsidRDefault="009A7608" w:rsidP="008537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0CE017C" w14:textId="77777777" w:rsidR="009A7608" w:rsidRDefault="009A7608" w:rsidP="009A7608">
      <w:pPr>
        <w:jc w:val="both"/>
        <w:rPr>
          <w:rFonts w:ascii="Arial" w:hAnsi="Arial" w:cs="Arial"/>
          <w:bCs/>
          <w:sz w:val="20"/>
          <w:szCs w:val="20"/>
        </w:rPr>
      </w:pPr>
      <w:r w:rsidRPr="00285C20">
        <w:rPr>
          <w:rFonts w:ascii="Arial" w:hAnsi="Arial" w:cs="Arial"/>
          <w:bCs/>
          <w:sz w:val="20"/>
          <w:szCs w:val="20"/>
        </w:rPr>
        <w:t xml:space="preserve">DV: Diámetro </w:t>
      </w:r>
      <w:r>
        <w:rPr>
          <w:rFonts w:ascii="Arial" w:hAnsi="Arial" w:cs="Arial"/>
          <w:bCs/>
          <w:sz w:val="20"/>
          <w:szCs w:val="20"/>
        </w:rPr>
        <w:t>Vertical, DH: Diámetro H</w:t>
      </w:r>
      <w:r w:rsidRPr="00285C20">
        <w:rPr>
          <w:rFonts w:ascii="Arial" w:hAnsi="Arial" w:cs="Arial"/>
          <w:bCs/>
          <w:sz w:val="20"/>
          <w:szCs w:val="20"/>
        </w:rPr>
        <w:t>orizontal, PROF: Profundidad.</w:t>
      </w:r>
    </w:p>
    <w:p w14:paraId="2381914E" w14:textId="77777777" w:rsidR="009A7608" w:rsidRPr="00984D3E" w:rsidRDefault="009A7608" w:rsidP="009A7608">
      <w:pPr>
        <w:jc w:val="both"/>
        <w:rPr>
          <w:rFonts w:ascii="Arial" w:hAnsi="Arial" w:cs="Arial"/>
          <w:sz w:val="20"/>
          <w:szCs w:val="20"/>
        </w:rPr>
      </w:pPr>
    </w:p>
    <w:p w14:paraId="6196481B" w14:textId="7FCF31C7" w:rsidR="00EF22AE" w:rsidRDefault="00EF22AE" w:rsidP="00EF22A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Noto Sans" w:eastAsia="Montserrat" w:hAnsi="Noto Sans" w:cs="Noto Sans"/>
          <w:b/>
          <w:color w:val="000000"/>
          <w:sz w:val="20"/>
          <w:szCs w:val="20"/>
        </w:rPr>
      </w:pPr>
    </w:p>
    <w:p w14:paraId="4AB5978D" w14:textId="77777777" w:rsidR="009A7608" w:rsidRDefault="009A7608" w:rsidP="00EF22A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Noto Sans" w:eastAsia="Montserrat" w:hAnsi="Noto Sans" w:cs="Noto Sans"/>
          <w:b/>
          <w:color w:val="000000"/>
          <w:sz w:val="20"/>
          <w:szCs w:val="20"/>
        </w:rPr>
      </w:pPr>
    </w:p>
    <w:p w14:paraId="636CB5A4" w14:textId="77777777" w:rsidR="00AE35A0" w:rsidRDefault="00AE35A0" w:rsidP="00AE35A0">
      <w:pPr>
        <w:jc w:val="both"/>
        <w:rPr>
          <w:rFonts w:ascii="Arial" w:hAnsi="Arial" w:cs="Arial"/>
          <w:b/>
          <w:sz w:val="20"/>
          <w:szCs w:val="20"/>
        </w:rPr>
      </w:pPr>
      <w:r w:rsidRPr="00285C20">
        <w:rPr>
          <w:rFonts w:ascii="Arial" w:hAnsi="Arial" w:cs="Arial"/>
          <w:b/>
          <w:sz w:val="20"/>
          <w:szCs w:val="20"/>
        </w:rPr>
        <w:t xml:space="preserve">Conclusión </w:t>
      </w:r>
    </w:p>
    <w:p w14:paraId="4CA6633C" w14:textId="77777777" w:rsidR="009A7608" w:rsidRDefault="009A7608" w:rsidP="009A760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285C20">
        <w:rPr>
          <w:rFonts w:ascii="Arial" w:hAnsi="Arial" w:cs="Arial"/>
          <w:sz w:val="20"/>
          <w:szCs w:val="20"/>
        </w:rPr>
        <w:t xml:space="preserve">a tuza es un problema grave en la región productora de plátano de </w:t>
      </w:r>
      <w:proofErr w:type="spellStart"/>
      <w:r w:rsidRPr="00285C20">
        <w:rPr>
          <w:rFonts w:ascii="Arial" w:hAnsi="Arial" w:cs="Arial"/>
          <w:sz w:val="20"/>
          <w:szCs w:val="20"/>
        </w:rPr>
        <w:t>Cucuyulapa</w:t>
      </w:r>
      <w:proofErr w:type="spellEnd"/>
      <w:r>
        <w:rPr>
          <w:rFonts w:ascii="Arial" w:hAnsi="Arial" w:cs="Arial"/>
          <w:sz w:val="20"/>
          <w:szCs w:val="20"/>
        </w:rPr>
        <w:t>, Cunduacán, Tabasco</w:t>
      </w:r>
      <w:r w:rsidRPr="00285C20">
        <w:rPr>
          <w:rFonts w:ascii="Arial" w:hAnsi="Arial" w:cs="Arial"/>
          <w:sz w:val="20"/>
          <w:szCs w:val="20"/>
        </w:rPr>
        <w:t>. La actividad de este roedor confirma la necesidad buscar nuevos métodos como alternativas al control convencional, por lo que se sugiere disponer de estrategias de manejo integrado para reducir las poblaciones.</w:t>
      </w:r>
      <w:r>
        <w:rPr>
          <w:rFonts w:ascii="Arial" w:hAnsi="Arial" w:cs="Arial"/>
          <w:sz w:val="20"/>
          <w:szCs w:val="20"/>
        </w:rPr>
        <w:t xml:space="preserve"> Un método de control amigable y efectivo es la destrucción de túneles, ya que la eliminación de los mamíferos es más fácil si se reduce el área de actividad. </w:t>
      </w:r>
      <w:r w:rsidRPr="00285C20">
        <w:rPr>
          <w:rFonts w:ascii="Arial" w:hAnsi="Arial" w:cs="Arial"/>
          <w:sz w:val="20"/>
          <w:szCs w:val="20"/>
        </w:rPr>
        <w:t xml:space="preserve">Con la información obtenida se logra testificar que la tuza no es una plaga estacional y puede ocasionar daños </w:t>
      </w:r>
      <w:r>
        <w:rPr>
          <w:rFonts w:ascii="Arial" w:hAnsi="Arial" w:cs="Arial"/>
          <w:sz w:val="20"/>
          <w:szCs w:val="20"/>
        </w:rPr>
        <w:t xml:space="preserve">durante todo el año existiendo </w:t>
      </w:r>
      <w:r w:rsidRPr="00285C20">
        <w:rPr>
          <w:rFonts w:ascii="Arial" w:hAnsi="Arial" w:cs="Arial"/>
          <w:sz w:val="20"/>
          <w:szCs w:val="20"/>
        </w:rPr>
        <w:t xml:space="preserve">dos periodos de alta actividad reproductiva y de daño, por lo tanto, la intervención para su control en el cultivo de plátano debe ser permanente y no temporal.  </w:t>
      </w:r>
    </w:p>
    <w:p w14:paraId="55995A8C" w14:textId="77777777" w:rsidR="00AE35A0" w:rsidRPr="00AE35A0" w:rsidRDefault="00AE35A0" w:rsidP="00AE35A0">
      <w:pPr>
        <w:jc w:val="both"/>
        <w:rPr>
          <w:rFonts w:ascii="Arial" w:hAnsi="Arial" w:cs="Arial"/>
          <w:b/>
          <w:sz w:val="20"/>
          <w:szCs w:val="20"/>
        </w:rPr>
      </w:pPr>
    </w:p>
    <w:p w14:paraId="7464ED60" w14:textId="77777777" w:rsidR="00AE35A0" w:rsidRDefault="00AE35A0" w:rsidP="00AE35A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Referencias bibliográficas</w:t>
      </w:r>
    </w:p>
    <w:p w14:paraId="0C79E098" w14:textId="77777777" w:rsidR="009A7608" w:rsidRPr="00214382" w:rsidRDefault="009A7608" w:rsidP="009A7608">
      <w:pPr>
        <w:jc w:val="both"/>
        <w:rPr>
          <w:rFonts w:ascii="Arial" w:hAnsi="Arial" w:cs="Arial"/>
          <w:sz w:val="20"/>
          <w:szCs w:val="20"/>
        </w:rPr>
      </w:pPr>
      <w:r w:rsidRPr="001477A7">
        <w:rPr>
          <w:rFonts w:ascii="Arial" w:hAnsi="Arial" w:cs="Arial"/>
          <w:sz w:val="20"/>
          <w:szCs w:val="20"/>
        </w:rPr>
        <w:t>Chávez-León, G</w:t>
      </w:r>
      <w:r w:rsidRPr="00214382">
        <w:rPr>
          <w:rFonts w:ascii="Arial" w:hAnsi="Arial" w:cs="Arial"/>
          <w:sz w:val="20"/>
          <w:szCs w:val="20"/>
        </w:rPr>
        <w:t>. (2017). Procedimientos de campo para estimar la abundancia, daños e identificar tuzas en plantaciones de hule. Folleto Técnico Núm. 22. INIFAP. Coyoacán, Ciudad. de México. México. 44 p.</w:t>
      </w:r>
    </w:p>
    <w:p w14:paraId="3AA9CE55" w14:textId="77777777" w:rsidR="009A7608" w:rsidRPr="00214382" w:rsidRDefault="009A7608" w:rsidP="009A7608">
      <w:pPr>
        <w:jc w:val="both"/>
        <w:rPr>
          <w:rFonts w:ascii="Arial" w:hAnsi="Arial" w:cs="Arial"/>
          <w:sz w:val="20"/>
          <w:szCs w:val="20"/>
        </w:rPr>
      </w:pPr>
      <w:r w:rsidRPr="00214382">
        <w:rPr>
          <w:rFonts w:ascii="Arial" w:hAnsi="Arial" w:cs="Arial"/>
          <w:sz w:val="20"/>
          <w:szCs w:val="20"/>
        </w:rPr>
        <w:t xml:space="preserve">Delgado, M. R. (1990). Construcción de túneles y ciclo reproductivo de la taltuza </w:t>
      </w:r>
      <w:proofErr w:type="spellStart"/>
      <w:r w:rsidRPr="00214382">
        <w:rPr>
          <w:rFonts w:ascii="Arial" w:hAnsi="Arial" w:cs="Arial"/>
          <w:i/>
          <w:sz w:val="20"/>
          <w:szCs w:val="20"/>
        </w:rPr>
        <w:t>Orthogeomys</w:t>
      </w:r>
      <w:proofErr w:type="spellEnd"/>
      <w:r w:rsidRPr="0021438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14382">
        <w:rPr>
          <w:rFonts w:ascii="Arial" w:hAnsi="Arial" w:cs="Arial"/>
          <w:i/>
          <w:sz w:val="20"/>
          <w:szCs w:val="20"/>
        </w:rPr>
        <w:t>cherriei</w:t>
      </w:r>
      <w:proofErr w:type="spellEnd"/>
      <w:r w:rsidRPr="00214382">
        <w:rPr>
          <w:rFonts w:ascii="Arial" w:hAnsi="Arial" w:cs="Arial"/>
          <w:sz w:val="20"/>
          <w:szCs w:val="20"/>
        </w:rPr>
        <w:t xml:space="preserve"> (Allen) (</w:t>
      </w:r>
      <w:proofErr w:type="spellStart"/>
      <w:r w:rsidRPr="00214382">
        <w:rPr>
          <w:rFonts w:ascii="Arial" w:hAnsi="Arial" w:cs="Arial"/>
          <w:sz w:val="20"/>
          <w:szCs w:val="20"/>
        </w:rPr>
        <w:t>Rodentia</w:t>
      </w:r>
      <w:proofErr w:type="spellEnd"/>
      <w:r w:rsidRPr="00214382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214382">
        <w:rPr>
          <w:rFonts w:ascii="Arial" w:hAnsi="Arial" w:cs="Arial"/>
          <w:sz w:val="20"/>
          <w:szCs w:val="20"/>
        </w:rPr>
        <w:t>Geornyidae</w:t>
      </w:r>
      <w:proofErr w:type="spellEnd"/>
      <w:r w:rsidRPr="00214382">
        <w:rPr>
          <w:rFonts w:ascii="Arial" w:hAnsi="Arial" w:cs="Arial"/>
          <w:sz w:val="20"/>
          <w:szCs w:val="20"/>
        </w:rPr>
        <w:t>). </w:t>
      </w:r>
      <w:r w:rsidRPr="00214382">
        <w:rPr>
          <w:rFonts w:ascii="Arial" w:hAnsi="Arial" w:cs="Arial"/>
          <w:i/>
          <w:iCs/>
          <w:sz w:val="20"/>
          <w:szCs w:val="20"/>
        </w:rPr>
        <w:t>Revista de Biología Tropical</w:t>
      </w:r>
      <w:r w:rsidRPr="00214382">
        <w:rPr>
          <w:rFonts w:ascii="Arial" w:hAnsi="Arial" w:cs="Arial"/>
          <w:sz w:val="20"/>
          <w:szCs w:val="20"/>
        </w:rPr>
        <w:t>, </w:t>
      </w:r>
      <w:r w:rsidRPr="00214382">
        <w:rPr>
          <w:rFonts w:ascii="Arial" w:hAnsi="Arial" w:cs="Arial"/>
          <w:i/>
          <w:iCs/>
          <w:sz w:val="20"/>
          <w:szCs w:val="20"/>
        </w:rPr>
        <w:t>38</w:t>
      </w:r>
      <w:r w:rsidRPr="00214382">
        <w:rPr>
          <w:rFonts w:ascii="Arial" w:hAnsi="Arial" w:cs="Arial"/>
          <w:sz w:val="20"/>
          <w:szCs w:val="20"/>
        </w:rPr>
        <w:t>(1), 119-127.</w:t>
      </w:r>
    </w:p>
    <w:p w14:paraId="1F5D65AD" w14:textId="77777777" w:rsidR="009A7608" w:rsidRDefault="009A7608" w:rsidP="009A7608">
      <w:pPr>
        <w:jc w:val="both"/>
        <w:rPr>
          <w:rFonts w:ascii="Arial" w:hAnsi="Arial" w:cs="Arial"/>
          <w:sz w:val="20"/>
          <w:szCs w:val="20"/>
        </w:rPr>
      </w:pPr>
      <w:r w:rsidRPr="00821261">
        <w:rPr>
          <w:rFonts w:ascii="Arial" w:hAnsi="Arial" w:cs="Arial"/>
          <w:sz w:val="20"/>
          <w:szCs w:val="20"/>
          <w:lang w:val="es-MX"/>
        </w:rPr>
        <w:t xml:space="preserve">García, E. 1973. Modificaciones al sistema de clasificación climática de </w:t>
      </w:r>
      <w:proofErr w:type="spellStart"/>
      <w:r w:rsidRPr="00821261">
        <w:rPr>
          <w:rFonts w:ascii="Arial" w:hAnsi="Arial" w:cs="Arial"/>
          <w:sz w:val="20"/>
          <w:szCs w:val="20"/>
          <w:lang w:val="es-MX"/>
        </w:rPr>
        <w:t>Köppen</w:t>
      </w:r>
      <w:proofErr w:type="spellEnd"/>
      <w:r w:rsidRPr="00821261">
        <w:rPr>
          <w:rFonts w:ascii="Arial" w:hAnsi="Arial" w:cs="Arial"/>
          <w:sz w:val="20"/>
          <w:szCs w:val="20"/>
          <w:lang w:val="es-MX"/>
        </w:rPr>
        <w:t xml:space="preserve"> (Para adaptarlo a las condiciones de la Repú</w:t>
      </w:r>
      <w:r w:rsidRPr="00821261">
        <w:rPr>
          <w:rFonts w:ascii="Arial" w:hAnsi="Arial" w:cs="Arial"/>
          <w:sz w:val="20"/>
          <w:szCs w:val="20"/>
          <w:lang w:val="es-MX"/>
        </w:rPr>
        <w:softHyphen/>
        <w:t xml:space="preserve">blica </w:t>
      </w:r>
      <w:proofErr w:type="gramStart"/>
      <w:r w:rsidRPr="00821261">
        <w:rPr>
          <w:rFonts w:ascii="Arial" w:hAnsi="Arial" w:cs="Arial"/>
          <w:sz w:val="20"/>
          <w:szCs w:val="20"/>
          <w:lang w:val="es-MX"/>
        </w:rPr>
        <w:t>Mexicana</w:t>
      </w:r>
      <w:proofErr w:type="gramEnd"/>
      <w:r w:rsidRPr="00821261">
        <w:rPr>
          <w:rFonts w:ascii="Arial" w:hAnsi="Arial" w:cs="Arial"/>
          <w:sz w:val="20"/>
          <w:szCs w:val="20"/>
          <w:lang w:val="es-MX"/>
        </w:rPr>
        <w:t>). Universidad Nacional Autónoma de México. México D. F. 246pp.</w:t>
      </w:r>
    </w:p>
    <w:p w14:paraId="5D126CAC" w14:textId="77777777" w:rsidR="009A7608" w:rsidRPr="00214382" w:rsidRDefault="009A7608" w:rsidP="009A7608">
      <w:pPr>
        <w:jc w:val="both"/>
        <w:rPr>
          <w:rFonts w:ascii="Arial" w:hAnsi="Arial" w:cs="Arial"/>
          <w:sz w:val="20"/>
          <w:szCs w:val="20"/>
        </w:rPr>
      </w:pPr>
      <w:r w:rsidRPr="00214382">
        <w:rPr>
          <w:rFonts w:ascii="Arial" w:hAnsi="Arial" w:cs="Arial"/>
          <w:sz w:val="20"/>
          <w:szCs w:val="20"/>
        </w:rPr>
        <w:t>Monge J. (2010). Distribución geográfica, características y clave taxonómica de las taltuzas (</w:t>
      </w:r>
      <w:proofErr w:type="spellStart"/>
      <w:r w:rsidRPr="00214382">
        <w:rPr>
          <w:rFonts w:ascii="Arial" w:hAnsi="Arial" w:cs="Arial"/>
          <w:i/>
          <w:sz w:val="20"/>
          <w:szCs w:val="20"/>
        </w:rPr>
        <w:t>Orthogeomys</w:t>
      </w:r>
      <w:proofErr w:type="spellEnd"/>
      <w:r w:rsidRPr="002143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4382">
        <w:rPr>
          <w:rFonts w:ascii="Arial" w:hAnsi="Arial" w:cs="Arial"/>
          <w:sz w:val="20"/>
          <w:szCs w:val="20"/>
        </w:rPr>
        <w:t>spp</w:t>
      </w:r>
      <w:proofErr w:type="spellEnd"/>
      <w:r w:rsidRPr="00214382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214382">
        <w:rPr>
          <w:rFonts w:ascii="Arial" w:hAnsi="Arial" w:cs="Arial"/>
          <w:sz w:val="20"/>
          <w:szCs w:val="20"/>
        </w:rPr>
        <w:t>Rodentia</w:t>
      </w:r>
      <w:proofErr w:type="spellEnd"/>
      <w:r w:rsidRPr="00214382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214382">
        <w:rPr>
          <w:rFonts w:ascii="Arial" w:hAnsi="Arial" w:cs="Arial"/>
          <w:sz w:val="20"/>
          <w:szCs w:val="20"/>
        </w:rPr>
        <w:t>Geomyidae</w:t>
      </w:r>
      <w:proofErr w:type="spellEnd"/>
      <w:r w:rsidRPr="00214382">
        <w:rPr>
          <w:rFonts w:ascii="Arial" w:hAnsi="Arial" w:cs="Arial"/>
          <w:sz w:val="20"/>
          <w:szCs w:val="20"/>
        </w:rPr>
        <w:t>) en Costa Rica. Cuadernos de Investigación, 2:23-3 1.</w:t>
      </w:r>
    </w:p>
    <w:p w14:paraId="26DFDF9F" w14:textId="77777777" w:rsidR="009A7608" w:rsidRPr="004C18F5" w:rsidRDefault="009A7608" w:rsidP="009A760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214382">
        <w:rPr>
          <w:rFonts w:ascii="Arial" w:hAnsi="Arial" w:cs="Arial"/>
          <w:sz w:val="20"/>
          <w:szCs w:val="20"/>
        </w:rPr>
        <w:t>Secretaría de Medio Ambiente y Recursos Naturales (</w:t>
      </w:r>
      <w:proofErr w:type="spellStart"/>
      <w:r w:rsidRPr="00214382">
        <w:rPr>
          <w:rFonts w:ascii="Arial" w:hAnsi="Arial" w:cs="Arial"/>
          <w:sz w:val="20"/>
          <w:szCs w:val="20"/>
        </w:rPr>
        <w:t>Semarnat</w:t>
      </w:r>
      <w:proofErr w:type="spellEnd"/>
      <w:r w:rsidRPr="00214382">
        <w:rPr>
          <w:rFonts w:ascii="Arial" w:hAnsi="Arial" w:cs="Arial"/>
          <w:sz w:val="20"/>
          <w:szCs w:val="20"/>
        </w:rPr>
        <w:t xml:space="preserve">). 2010. NORMA Oficial Mexicana NOM 059-SEMARNAT-2010, Protección ambiental-Especies nativas de México de flora y fauna silvestres-Categorías de riesgo y especificaciones para su inclusión, exclusión o cambio-Lista de especies en riesgo. Secretaría de Medio Ambiente y Recursos Naturales. Diario Oficial de la Federación, Segunda Sección, 30 de diciembre de 2010. </w:t>
      </w:r>
      <w:r w:rsidRPr="004C18F5">
        <w:rPr>
          <w:rFonts w:ascii="Arial" w:hAnsi="Arial" w:cs="Arial"/>
          <w:sz w:val="20"/>
          <w:szCs w:val="20"/>
          <w:lang w:val="es-MX"/>
        </w:rPr>
        <w:t>D. F., México. 77 p.</w:t>
      </w:r>
    </w:p>
    <w:p w14:paraId="7592A822" w14:textId="77777777" w:rsidR="009A7608" w:rsidRPr="000343CA" w:rsidRDefault="009A7608" w:rsidP="009A7608">
      <w:pPr>
        <w:jc w:val="both"/>
        <w:rPr>
          <w:rFonts w:ascii="Arial" w:hAnsi="Arial" w:cs="Arial"/>
          <w:sz w:val="20"/>
          <w:szCs w:val="20"/>
          <w:lang w:val="es-MX"/>
        </w:rPr>
      </w:pPr>
      <w:r w:rsidRPr="004C18F5">
        <w:rPr>
          <w:rFonts w:ascii="Arial" w:hAnsi="Arial" w:cs="Arial"/>
          <w:sz w:val="20"/>
          <w:szCs w:val="20"/>
          <w:lang w:val="es-MX"/>
        </w:rPr>
        <w:t xml:space="preserve">Fernández J., A., M. S. </w:t>
      </w:r>
      <w:proofErr w:type="spellStart"/>
      <w:r w:rsidRPr="004C18F5">
        <w:rPr>
          <w:rFonts w:ascii="Arial" w:hAnsi="Arial" w:cs="Arial"/>
          <w:sz w:val="20"/>
          <w:szCs w:val="20"/>
          <w:lang w:val="es-MX"/>
        </w:rPr>
        <w:t>Hafner</w:t>
      </w:r>
      <w:proofErr w:type="spellEnd"/>
      <w:r w:rsidRPr="004C18F5">
        <w:rPr>
          <w:rFonts w:ascii="Arial" w:hAnsi="Arial" w:cs="Arial"/>
          <w:sz w:val="20"/>
          <w:szCs w:val="20"/>
          <w:lang w:val="es-MX"/>
        </w:rPr>
        <w:t xml:space="preserve">, D. J. </w:t>
      </w:r>
      <w:proofErr w:type="spellStart"/>
      <w:r w:rsidRPr="004C18F5">
        <w:rPr>
          <w:rFonts w:ascii="Arial" w:hAnsi="Arial" w:cs="Arial"/>
          <w:sz w:val="20"/>
          <w:szCs w:val="20"/>
          <w:lang w:val="es-MX"/>
        </w:rPr>
        <w:t>Hafner</w:t>
      </w:r>
      <w:proofErr w:type="spellEnd"/>
      <w:r w:rsidRPr="004C18F5">
        <w:rPr>
          <w:rFonts w:ascii="Arial" w:hAnsi="Arial" w:cs="Arial"/>
          <w:sz w:val="20"/>
          <w:szCs w:val="20"/>
          <w:lang w:val="es-MX"/>
        </w:rPr>
        <w:t xml:space="preserve"> and F. A. Cervantes. </w:t>
      </w:r>
      <w:r w:rsidRPr="005A755D">
        <w:rPr>
          <w:rFonts w:ascii="Arial" w:hAnsi="Arial" w:cs="Arial"/>
          <w:sz w:val="20"/>
          <w:szCs w:val="20"/>
          <w:lang w:val="en-US"/>
        </w:rPr>
        <w:t xml:space="preserve">2014. Conservation status of rodents of the families </w:t>
      </w:r>
      <w:proofErr w:type="spellStart"/>
      <w:r w:rsidRPr="005A755D">
        <w:rPr>
          <w:rFonts w:ascii="Arial" w:hAnsi="Arial" w:cs="Arial"/>
          <w:sz w:val="20"/>
          <w:szCs w:val="20"/>
          <w:lang w:val="en-US"/>
        </w:rPr>
        <w:t>Geomyidae</w:t>
      </w:r>
      <w:proofErr w:type="spellEnd"/>
      <w:r w:rsidRPr="005A755D">
        <w:rPr>
          <w:rFonts w:ascii="Arial" w:hAnsi="Arial" w:cs="Arial"/>
          <w:sz w:val="20"/>
          <w:szCs w:val="20"/>
          <w:lang w:val="en-US"/>
        </w:rPr>
        <w:t xml:space="preserve"> and </w:t>
      </w:r>
      <w:proofErr w:type="spellStart"/>
      <w:r w:rsidRPr="005A755D">
        <w:rPr>
          <w:rFonts w:ascii="Arial" w:hAnsi="Arial" w:cs="Arial"/>
          <w:sz w:val="20"/>
          <w:szCs w:val="20"/>
          <w:lang w:val="en-US"/>
        </w:rPr>
        <w:t>Heteromyidae</w:t>
      </w:r>
      <w:proofErr w:type="spellEnd"/>
      <w:r w:rsidRPr="005A755D">
        <w:rPr>
          <w:rFonts w:ascii="Arial" w:hAnsi="Arial" w:cs="Arial"/>
          <w:sz w:val="20"/>
          <w:szCs w:val="20"/>
          <w:lang w:val="en-US"/>
        </w:rPr>
        <w:t xml:space="preserve"> of Mexico. </w:t>
      </w:r>
      <w:r w:rsidRPr="000343CA">
        <w:rPr>
          <w:rFonts w:ascii="Arial" w:hAnsi="Arial" w:cs="Arial"/>
          <w:sz w:val="20"/>
          <w:szCs w:val="20"/>
          <w:lang w:val="es-MX"/>
        </w:rPr>
        <w:t>Revista Mexicana de Biodiversidad 85:576-588.</w:t>
      </w:r>
    </w:p>
    <w:p w14:paraId="4CDFDF72" w14:textId="4D9F284B" w:rsidR="00DD4B9C" w:rsidRDefault="00DD4B9C" w:rsidP="00DD4B9C">
      <w:pPr>
        <w:pStyle w:val="NormalWeb"/>
        <w:spacing w:before="280" w:beforeAutospacing="0" w:after="28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Eje temático: (Indicar Eje al que va dirigido)</w:t>
      </w:r>
    </w:p>
    <w:p w14:paraId="533277A1" w14:textId="4C61E399" w:rsidR="00DD4B9C" w:rsidRDefault="008537BC" w:rsidP="00AE35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Noto Sans" w:hAnsi="Noto Sans" w:cs="Noto Sans"/>
          <w:b/>
          <w:color w:val="FF0000"/>
          <w:sz w:val="20"/>
        </w:rPr>
      </w:pPr>
      <w:r w:rsidRPr="008537BC">
        <w:rPr>
          <w:rFonts w:ascii="Noto Sans" w:hAnsi="Noto Sans" w:cs="Noto Sans"/>
          <w:b/>
          <w:color w:val="FF0000"/>
          <w:sz w:val="20"/>
        </w:rPr>
        <w:t>Aviso: Antes de utilizar la plantilla, lea cuidadosamente la convocatoria y asegúrese de cumplir con todos los requisitos.</w:t>
      </w:r>
    </w:p>
    <w:p w14:paraId="626543E4" w14:textId="77777777" w:rsidR="00341921" w:rsidRPr="008537BC" w:rsidRDefault="00341921" w:rsidP="00AE35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Noto Sans" w:hAnsi="Noto Sans" w:cs="Noto Sans"/>
          <w:b/>
          <w:color w:val="FF0000"/>
          <w:sz w:val="20"/>
        </w:rPr>
      </w:pPr>
      <w:bookmarkStart w:id="0" w:name="_GoBack"/>
      <w:bookmarkEnd w:id="0"/>
    </w:p>
    <w:sectPr w:rsidR="00341921" w:rsidRPr="008537BC" w:rsidSect="00E549E0">
      <w:headerReference w:type="default" r:id="rId9"/>
      <w:pgSz w:w="12240" w:h="15840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2214E" w14:textId="77777777" w:rsidR="008537BC" w:rsidRDefault="008537BC" w:rsidP="00BE4959">
      <w:r>
        <w:separator/>
      </w:r>
    </w:p>
  </w:endnote>
  <w:endnote w:type="continuationSeparator" w:id="0">
    <w:p w14:paraId="6CF4BE32" w14:textId="77777777" w:rsidR="008537BC" w:rsidRDefault="008537BC" w:rsidP="00BE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Patria">
    <w:altName w:val="Calibri"/>
    <w:panose1 w:val="00000000000000000000"/>
    <w:charset w:val="00"/>
    <w:family w:val="modern"/>
    <w:notTrueType/>
    <w:pitch w:val="variable"/>
    <w:sig w:usb0="80000087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D4A60" w14:textId="77777777" w:rsidR="008537BC" w:rsidRDefault="008537BC" w:rsidP="00BE4959">
      <w:r>
        <w:separator/>
      </w:r>
    </w:p>
  </w:footnote>
  <w:footnote w:type="continuationSeparator" w:id="0">
    <w:p w14:paraId="118CE8F5" w14:textId="77777777" w:rsidR="008537BC" w:rsidRDefault="008537BC" w:rsidP="00BE4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F4362" w14:textId="237D1AAB" w:rsidR="008537BC" w:rsidRPr="00AE35A0" w:rsidRDefault="008537BC" w:rsidP="00577A27">
    <w:pPr>
      <w:ind w:left="426" w:right="-1650"/>
      <w:jc w:val="center"/>
      <w:rPr>
        <w:rFonts w:ascii="Patria" w:hAnsi="Patria"/>
        <w:b/>
        <w:color w:val="0F8817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620F7"/>
    <w:multiLevelType w:val="hybridMultilevel"/>
    <w:tmpl w:val="9266EBD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59"/>
    <w:rsid w:val="0000368E"/>
    <w:rsid w:val="00050A18"/>
    <w:rsid w:val="00052147"/>
    <w:rsid w:val="0005571C"/>
    <w:rsid w:val="000F74EF"/>
    <w:rsid w:val="00101427"/>
    <w:rsid w:val="002172D0"/>
    <w:rsid w:val="0025056E"/>
    <w:rsid w:val="00292A35"/>
    <w:rsid w:val="00341921"/>
    <w:rsid w:val="00413C08"/>
    <w:rsid w:val="00542DA3"/>
    <w:rsid w:val="00577A27"/>
    <w:rsid w:val="005923F8"/>
    <w:rsid w:val="005F23AE"/>
    <w:rsid w:val="00612FF3"/>
    <w:rsid w:val="006249C9"/>
    <w:rsid w:val="00690408"/>
    <w:rsid w:val="006C0BA4"/>
    <w:rsid w:val="007B5887"/>
    <w:rsid w:val="007D1C2B"/>
    <w:rsid w:val="007D76A3"/>
    <w:rsid w:val="00813656"/>
    <w:rsid w:val="008537BC"/>
    <w:rsid w:val="00872474"/>
    <w:rsid w:val="0087488B"/>
    <w:rsid w:val="00952776"/>
    <w:rsid w:val="009A7608"/>
    <w:rsid w:val="00A17B02"/>
    <w:rsid w:val="00AE35A0"/>
    <w:rsid w:val="00AE370A"/>
    <w:rsid w:val="00AE538E"/>
    <w:rsid w:val="00B34D98"/>
    <w:rsid w:val="00B94A60"/>
    <w:rsid w:val="00BE4959"/>
    <w:rsid w:val="00CE54FC"/>
    <w:rsid w:val="00D43628"/>
    <w:rsid w:val="00D5575B"/>
    <w:rsid w:val="00DD2C99"/>
    <w:rsid w:val="00DD4B9C"/>
    <w:rsid w:val="00E549E0"/>
    <w:rsid w:val="00E77218"/>
    <w:rsid w:val="00EC2ED3"/>
    <w:rsid w:val="00E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9B3EECF"/>
  <w15:chartTrackingRefBased/>
  <w15:docId w15:val="{94794B33-84F5-48A2-89D7-1FC74167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959"/>
    <w:pPr>
      <w:spacing w:after="0" w:line="240" w:lineRule="auto"/>
    </w:pPr>
    <w:rPr>
      <w:rFonts w:ascii="Calibri" w:eastAsiaTheme="minorEastAsia" w:hAnsi="Calibri" w:cs="Calibri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95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959"/>
    <w:rPr>
      <w:rFonts w:ascii="Calibri" w:eastAsiaTheme="minorEastAsia" w:hAnsi="Calibri" w:cs="Calibri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E49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959"/>
    <w:rPr>
      <w:rFonts w:ascii="Calibri" w:eastAsiaTheme="minorEastAsia" w:hAnsi="Calibri" w:cs="Calibri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E4959"/>
    <w:pPr>
      <w:ind w:left="720"/>
      <w:contextualSpacing/>
    </w:pPr>
    <w:rPr>
      <w:rFonts w:asciiTheme="minorHAnsi" w:eastAsiaTheme="minorHAnsi" w:hAnsiTheme="minorHAnsi" w:cstheme="minorBidi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BE495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0142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4B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table" w:styleId="Tablaconcuadrcula">
    <w:name w:val="Table Grid"/>
    <w:basedOn w:val="Tablanormal"/>
    <w:uiPriority w:val="39"/>
    <w:rsid w:val="009A760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8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ifap.tabasco@inifap.gob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1447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INIFAP-LENOVO</dc:creator>
  <cp:keywords/>
  <dc:description/>
  <cp:lastModifiedBy>INIFAP-LENOVO</cp:lastModifiedBy>
  <cp:revision>26</cp:revision>
  <dcterms:created xsi:type="dcterms:W3CDTF">2025-03-05T18:58:00Z</dcterms:created>
  <dcterms:modified xsi:type="dcterms:W3CDTF">2026-08-03T21:25:00Z</dcterms:modified>
</cp:coreProperties>
</file>