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100"/>
      </w:pPr>
      <w:r>
        <w:rPr>
          <w:rFonts w:ascii="Calibri" w:hAnsi="Calibri"/>
          <w:b/>
          <w:color w:val="17324D"/>
          <w:sz w:val="44"/>
        </w:rPr>
        <w:t>ETF Theme Flow &amp; Conviction Tracker — Shareable Master Prompt</w:t>
      </w:r>
    </w:p>
    <w:p>
      <w:pPr>
        <w:keepNext/>
        <w:spacing w:after="200"/>
      </w:pPr>
      <w:r>
        <w:rPr>
          <w:b/>
          <w:color w:val="37697A"/>
          <w:sz w:val="18"/>
        </w:rPr>
        <w:t>REUSABLE OPERATING PROMPT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06"/>
      </w:tblGrid>
      <w:tr>
        <w:tc>
          <w:tcPr>
            <w:tcW w:type="dxa" w:w="9706"/>
            <w:shd w:fill="EAF2F8"/>
          </w:tcPr>
          <w:p>
            <w:pPr>
              <w:pStyle w:val="PromptIntro"/>
              <w:spacing w:after="0"/>
            </w:pPr>
            <w:r>
              <w:t>Use this prompt to create and maintain the same ETF theme-flow tracking system in another ChatGPT project.</w:t>
            </w:r>
          </w:p>
        </w:tc>
      </w:tr>
    </w:tbl>
    <w:p>
      <w:pPr>
        <w:pStyle w:val="Heading1"/>
      </w:pPr>
      <w:r>
        <w:t>Master Prompt</w:t>
      </w:r>
    </w:p>
    <w:p>
      <w:r>
        <w:t xml:space="preserve">Build and maintain a persistent </w:t>
      </w:r>
      <w:r>
        <w:rPr>
          <w:b/>
        </w:rPr>
        <w:t>ETF Theme Flow &amp; Conviction Tracker</w:t>
      </w:r>
      <w:r>
        <w:t xml:space="preserve"> that identifies where capital is moving, distinguishes durable allocation themes from one-week rebounds, and preserves history so each run appends rather than rebuilds prior observations.</w:t>
      </w:r>
    </w:p>
    <w:p>
      <w:r>
        <w:rPr>
          <w:b/>
        </w:rPr>
        <w:t>Canonical source:</w:t>
      </w:r>
      <w:r>
        <w:t xml:space="preserve"> Use ETF.com ETF fund-flow data (FactSet-based) as the single authoritative source; do not silently substitute another provider.</w:t>
      </w:r>
    </w:p>
    <w:p>
      <w:r>
        <w:t xml:space="preserve">Use ETF.com weekly/monthly reports and ETF.com Fund Flows data when accessible. If a value is unavailable, mark it </w:t>
      </w:r>
      <w:r>
        <w:rPr>
          <w:b/>
        </w:rPr>
        <w:t>UNKNOWN / NOT PUBLISHED</w:t>
      </w:r>
      <w:r>
        <w:t xml:space="preserve"> rather than estimating it or filling it from another source.</w:t>
      </w:r>
    </w:p>
    <w:p>
      <w:r>
        <w:t>Create and maintain three permanent artifacts:</w:t>
      </w:r>
    </w:p>
    <w:p>
      <w:pPr>
        <w:spacing w:after="80"/>
        <w:ind w:left="547" w:hanging="360"/>
      </w:pPr>
      <w:r>
        <w:t>1.</w:t>
        <w:tab/>
      </w:r>
      <w:r>
        <w:rPr>
          <w:rFonts w:ascii="Consolas" w:hAnsi="Consolas"/>
          <w:color w:val="1F4D78"/>
          <w:sz w:val="19"/>
        </w:rPr>
        <w:t>ETF_Theme_Tracker_Project_Instructions.md</w:t>
      </w:r>
      <w:r>
        <w:t xml:space="preserve"> — methodology and operating rules.</w:t>
      </w:r>
    </w:p>
    <w:p>
      <w:pPr>
        <w:spacing w:after="80"/>
        <w:ind w:left="547" w:hanging="360"/>
      </w:pPr>
      <w:r>
        <w:t>2.</w:t>
        <w:tab/>
      </w:r>
      <w:r>
        <w:rPr>
          <w:rFonts w:ascii="Consolas" w:hAnsi="Consolas"/>
          <w:color w:val="1F4D78"/>
          <w:sz w:val="19"/>
        </w:rPr>
        <w:t>ETF_Theme_Flow_Conviction_Tracker.xlsx</w:t>
      </w:r>
      <w:r>
        <w:t xml:space="preserve"> — system of record and append-only history.</w:t>
      </w:r>
    </w:p>
    <w:p>
      <w:pPr>
        <w:spacing w:after="80"/>
        <w:ind w:left="547" w:hanging="360"/>
      </w:pPr>
      <w:r>
        <w:t>3.</w:t>
        <w:tab/>
      </w:r>
      <w:r>
        <w:rPr>
          <w:rFonts w:ascii="Consolas" w:hAnsi="Consolas"/>
          <w:color w:val="1F4D78"/>
          <w:sz w:val="19"/>
        </w:rPr>
        <w:t>ETF_Theme_Flow_Conviction_Dashboard.html</w:t>
      </w:r>
      <w:r>
        <w:t xml:space="preserve"> — user-facing interactive dashboard regenerated from the workbook.</w:t>
      </w:r>
    </w:p>
    <w:p>
      <w:pPr>
        <w:pStyle w:val="Heading2"/>
      </w:pPr>
      <w:r>
        <w:t>Required data rules</w:t>
      </w:r>
    </w:p>
    <w:p>
      <w:pPr>
        <w:spacing w:after="80"/>
        <w:ind w:left="547" w:hanging="288"/>
      </w:pPr>
      <w:r>
        <w:t>•</w:t>
        <w:tab/>
      </w:r>
      <w:r>
        <w:t>Use the latest complete source period.</w:t>
      </w:r>
    </w:p>
    <w:p>
      <w:pPr>
        <w:spacing w:after="80"/>
        <w:ind w:left="547" w:hanging="288"/>
      </w:pPr>
      <w:r>
        <w:t>•</w:t>
        <w:tab/>
      </w:r>
      <w:r>
        <w:t>Retain the source URL, source date, units, and verification status for every numeric flow observation.</w:t>
      </w:r>
    </w:p>
    <w:p>
      <w:pPr>
        <w:spacing w:after="80"/>
        <w:ind w:left="547" w:hanging="288"/>
      </w:pPr>
      <w:r>
        <w:t>•</w:t>
        <w:tab/>
      </w:r>
      <w:r>
        <w:t>Never fabricate or reconstruct numeric history from chat.</w:t>
      </w:r>
    </w:p>
    <w:p>
      <w:pPr>
        <w:spacing w:after="80"/>
        <w:ind w:left="547" w:hanging="288"/>
      </w:pPr>
      <w:r>
        <w:t>•</w:t>
        <w:tab/>
      </w:r>
      <w:r>
        <w:t>An ETF missing from a published top-flow table is unknown, not zero.</w:t>
      </w:r>
    </w:p>
    <w:p>
      <w:pPr>
        <w:spacing w:after="80"/>
        <w:ind w:left="547" w:hanging="288"/>
      </w:pPr>
      <w:r>
        <w:t>•</w:t>
        <w:tab/>
      </w:r>
      <w:r>
        <w:t>Always show the representative ETFs supporting each theme.</w:t>
      </w:r>
    </w:p>
    <w:p>
      <w:pPr>
        <w:spacing w:after="80"/>
        <w:ind w:left="547" w:hanging="288"/>
      </w:pPr>
      <w:r>
        <w:t>•</w:t>
        <w:tab/>
      </w:r>
      <w:r>
        <w:t>Always show latest weekly flow and YTD flow; show rolling four-week flow only when verifiable.</w:t>
      </w:r>
    </w:p>
    <w:p>
      <w:pPr>
        <w:spacing w:after="80"/>
        <w:ind w:left="547" w:hanging="288"/>
      </w:pPr>
      <w:r>
        <w:t>•</w:t>
        <w:tab/>
      </w:r>
      <w:r>
        <w:t>Preserve all prior weekly records. Never overwrite or delete normal historical observations.</w:t>
      </w:r>
    </w:p>
    <w:p>
      <w:pPr>
        <w:spacing w:after="80"/>
        <w:ind w:left="547" w:hanging="288"/>
      </w:pPr>
      <w:r>
        <w:t>•</w:t>
        <w:tab/>
      </w:r>
      <w:r>
        <w:t xml:space="preserve">Label simple calculations from adjacent explicit ETF.com monthly/YTD values as </w:t>
      </w:r>
      <w:r>
        <w:rPr>
          <w:rFonts w:ascii="Consolas" w:hAnsi="Consolas"/>
          <w:color w:val="1F4D78"/>
          <w:sz w:val="19"/>
        </w:rPr>
        <w:t>DERIVED_FROM_ADJACENT_YTD</w:t>
      </w:r>
      <w:r>
        <w:t>.</w:t>
      </w:r>
    </w:p>
    <w:p>
      <w:pPr>
        <w:spacing w:after="80"/>
        <w:ind w:left="547" w:hanging="288"/>
      </w:pPr>
      <w:r>
        <w:t>•</w:t>
        <w:tab/>
      </w:r>
      <w:r>
        <w:t>Flag heartbeat, tax-related, or other mechanical distortions and down-weight them in conviction.</w:t>
      </w:r>
    </w:p>
    <w:p>
      <w:pPr>
        <w:pStyle w:val="Heading2"/>
      </w:pPr>
      <w:r>
        <w:t>Historical baseline</w:t>
      </w:r>
    </w:p>
    <w:p>
      <w:r>
        <w:t>Begin the formal baseline on January 1, 2026. Maintain every Friday in a weekly calendar index and store exact ETF.com observations available for each period. Maintain month-end monthly/YTD checkpoints from January 2026 forward. Leave unavailable values blank and flagged.</w:t>
      </w:r>
    </w:p>
    <w:p>
      <w:pPr>
        <w:pStyle w:val="Heading2"/>
      </w:pPr>
      <w:r>
        <w:t>Permanent tracker layers</w:t>
      </w:r>
    </w:p>
    <w:p>
      <w:pPr>
        <w:spacing w:after="80"/>
        <w:ind w:left="547" w:hanging="360"/>
      </w:pPr>
      <w:r>
        <w:t>1.</w:t>
        <w:tab/>
      </w:r>
      <w:r>
        <w:rPr>
          <w:b/>
        </w:rPr>
        <w:t>Core ETF Flow Monitor:</w:t>
      </w:r>
      <w:r>
        <w:t xml:space="preserve"> Permanently monitor XLK, XLC, XLY, XLP, XLF, XLI, XLE, XLV, XLU, XLRE, and XLB. A core ETF remains visible even when its latest flow is not published.</w:t>
      </w:r>
    </w:p>
    <w:p>
      <w:pPr>
        <w:spacing w:after="80"/>
        <w:ind w:left="547" w:hanging="360"/>
      </w:pPr>
      <w:r>
        <w:t>2.</w:t>
        <w:tab/>
      </w:r>
      <w:r>
        <w:rPr>
          <w:b/>
        </w:rPr>
        <w:t>Theme Conviction / Dynamic Discovery:</w:t>
      </w:r>
      <w:r>
        <w:t xml:space="preserve"> Group economically related ETFs into investable themes. Track Semiconductors / AI Compute. Keep cybersecurity, defense, nuclear/uranium, biotech, infrastructure, clean energy, regional banks, and similar narrow themes on discovery/watch until their flows become independently material.</w:t>
      </w:r>
    </w:p>
    <w:p>
      <w:pPr>
        <w:spacing w:after="80"/>
        <w:ind w:left="547" w:hanging="360"/>
      </w:pPr>
      <w:r>
        <w:t>3.</w:t>
        <w:tab/>
      </w:r>
      <w:r>
        <w:rPr>
          <w:b/>
        </w:rPr>
        <w:t>Macro Flow Regime:</w:t>
      </w:r>
      <w:r>
        <w:t xml:space="preserve"> Track short- and long-duration Treasuries separately as liquidity, risk-posture, and rate-expectation signals. Treasuries must not compete for the number-one equity-theme rank.</w:t>
      </w:r>
    </w:p>
    <w:p>
      <w:r>
        <w:t>Avoid double counting. Merge narrow subthemes into broader themes when economically appropriate and record every material merge or exclusion. For example, memory-chip evidence may support Semiconductors / AI Compute without becoming a second overlapping aggregate. Exclude leveraged ETFs from core conviction unless explicitly analyzed separately.</w:t>
      </w:r>
    </w:p>
    <w:p>
      <w:pPr>
        <w:pStyle w:val="Heading2"/>
      </w:pPr>
      <w:r>
        <w:t>Persistence and conviction</w:t>
      </w:r>
    </w:p>
    <w:p>
      <w:r>
        <w:t xml:space="preserve">Classify persistence as </w:t>
      </w:r>
      <w:r>
        <w:rPr>
          <w:b/>
        </w:rPr>
        <w:t>New, Building, Persistent, Fading, or Reversing</w:t>
      </w:r>
      <w:r>
        <w:t>. A first rebound week must not be labeled Persistent, including for Bitcoin, gold, sectors, commodities, or thematic equities.</w:t>
      </w:r>
    </w:p>
    <w:p>
      <w:r>
        <w:t xml:space="preserve">Assign </w:t>
      </w:r>
      <w:r>
        <w:rPr>
          <w:b/>
        </w:rPr>
        <w:t>High, Medium, or Low conviction</w:t>
      </w:r>
      <w:r>
        <w:t xml:space="preserve"> using:</w:t>
      </w:r>
    </w:p>
    <w:p>
      <w:pPr>
        <w:spacing w:after="80"/>
        <w:ind w:left="547" w:hanging="288"/>
      </w:pPr>
      <w:r>
        <w:t>•</w:t>
        <w:tab/>
      </w:r>
      <w:r>
        <w:t>magnitude,</w:t>
      </w:r>
    </w:p>
    <w:p>
      <w:pPr>
        <w:spacing w:after="80"/>
        <w:ind w:left="547" w:hanging="288"/>
      </w:pPr>
      <w:r>
        <w:t>•</w:t>
        <w:tab/>
      </w:r>
      <w:r>
        <w:t>multi-week persistence,</w:t>
      </w:r>
    </w:p>
    <w:p>
      <w:pPr>
        <w:spacing w:after="80"/>
        <w:ind w:left="547" w:hanging="288"/>
      </w:pPr>
      <w:r>
        <w:t>•</w:t>
        <w:tab/>
      </w:r>
      <w:r>
        <w:t>breadth across relevant ETFs,</w:t>
      </w:r>
    </w:p>
    <w:p>
      <w:pPr>
        <w:spacing w:after="80"/>
        <w:ind w:left="547" w:hanging="288"/>
      </w:pPr>
      <w:r>
        <w:t>•</w:t>
        <w:tab/>
      </w:r>
      <w:r>
        <w:t>YTD confirmation or contradiction,</w:t>
      </w:r>
    </w:p>
    <w:p>
      <w:pPr>
        <w:spacing w:after="80"/>
        <w:ind w:left="547" w:hanging="288"/>
      </w:pPr>
      <w:r>
        <w:t>•</w:t>
        <w:tab/>
      </w:r>
      <w:r>
        <w:t>acceleration or deceleration,</w:t>
      </w:r>
    </w:p>
    <w:p>
      <w:pPr>
        <w:spacing w:after="80"/>
        <w:ind w:left="547" w:hanging="288"/>
      </w:pPr>
      <w:r>
        <w:t>•</w:t>
        <w:tab/>
      </w:r>
      <w:r>
        <w:t>source coverage and data quality.</w:t>
      </w:r>
    </w:p>
    <w:p>
      <w:r>
        <w:t>Explain every conviction rating in plain English. Do not let the largest one-week flow automatically become the highest-conviction theme. Explicitly distinguish the current weekly leader, strongest YTD allocator, persistent multi-week theme, new/rebounding theme, and fading/reversing theme.</w:t>
      </w:r>
    </w:p>
    <w:p>
      <w:pPr>
        <w:pStyle w:val="Heading2"/>
      </w:pPr>
      <w:r>
        <w:t>Workbook structure</w:t>
      </w:r>
    </w:p>
    <w:p>
      <w:r>
        <w:t>Maintain these sheets: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Dashboard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Theme_Current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Core_ETF_Flows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Weekly_Index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Monthly_History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Weekly_History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ETF_Flows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Theme_Map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Exclusions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Sources</w:t>
      </w:r>
    </w:p>
    <w:p>
      <w:pPr>
        <w:spacing w:after="80"/>
        <w:ind w:left="547" w:hanging="288"/>
      </w:pPr>
      <w:r>
        <w:t>•</w:t>
        <w:tab/>
      </w:r>
      <w:r>
        <w:rPr>
          <w:rFonts w:ascii="Consolas" w:hAnsi="Consolas"/>
          <w:color w:val="1F4D78"/>
          <w:sz w:val="19"/>
        </w:rPr>
        <w:t>Config</w:t>
      </w:r>
    </w:p>
    <w:p>
      <w:r>
        <w:t>The history and ETF-level sheets are the source of truth. The dashboard is the presentation layer.</w:t>
      </w:r>
    </w:p>
    <w:p>
      <w:pPr>
        <w:pStyle w:val="Heading2"/>
      </w:pPr>
      <w:r>
        <w:t>Weekly run</w:t>
      </w:r>
    </w:p>
    <w:p>
      <w:r>
        <w:t>For each latest complete week:</w:t>
      </w:r>
    </w:p>
    <w:p>
      <w:pPr>
        <w:spacing w:after="80"/>
        <w:ind w:left="547" w:hanging="360"/>
      </w:pPr>
      <w:r>
        <w:t>1.</w:t>
        <w:tab/>
      </w:r>
      <w:r>
        <w:t>Retrieve and validate ETF.com source data and units.</w:t>
      </w:r>
    </w:p>
    <w:p>
      <w:pPr>
        <w:spacing w:after="80"/>
        <w:ind w:left="547" w:hanging="360"/>
      </w:pPr>
      <w:r>
        <w:t>2.</w:t>
        <w:tab/>
      </w:r>
      <w:r>
        <w:t>Append new ETF-level observations without duplicating existing week/ETF keys.</w:t>
      </w:r>
    </w:p>
    <w:p>
      <w:pPr>
        <w:spacing w:after="80"/>
        <w:ind w:left="547" w:hanging="360"/>
      </w:pPr>
      <w:r>
        <w:t>3.</w:t>
        <w:tab/>
      </w:r>
      <w:r>
        <w:t>Update the permanent core ETF monitor, leaving unpublished observations unknown.</w:t>
      </w:r>
    </w:p>
    <w:p>
      <w:pPr>
        <w:spacing w:after="80"/>
        <w:ind w:left="547" w:hanging="360"/>
      </w:pPr>
      <w:r>
        <w:t>4.</w:t>
        <w:tab/>
      </w:r>
      <w:r>
        <w:t>Apply the theme map and review overlaps, exclusions, and new candidates.</w:t>
      </w:r>
    </w:p>
    <w:p>
      <w:pPr>
        <w:spacing w:after="80"/>
        <w:ind w:left="547" w:hanging="360"/>
      </w:pPr>
      <w:r>
        <w:t>5.</w:t>
        <w:tab/>
      </w:r>
      <w:r>
        <w:t>Recalculate verifiable weekly, four-week, monthly, and YTD context.</w:t>
      </w:r>
    </w:p>
    <w:p>
      <w:pPr>
        <w:spacing w:after="80"/>
        <w:ind w:left="547" w:hanging="360"/>
      </w:pPr>
      <w:r>
        <w:t>6.</w:t>
        <w:tab/>
      </w:r>
      <w:r>
        <w:t>Reassess persistence, breadth, trend, and conviction using the full stored history.</w:t>
      </w:r>
    </w:p>
    <w:p>
      <w:pPr>
        <w:spacing w:after="80"/>
        <w:ind w:left="547" w:hanging="360"/>
      </w:pPr>
      <w:r>
        <w:t>7.</w:t>
        <w:tab/>
      </w:r>
      <w:r>
        <w:t>Append weekly theme observations and update the current-state sheets.</w:t>
      </w:r>
    </w:p>
    <w:p>
      <w:pPr>
        <w:spacing w:after="80"/>
        <w:ind w:left="547" w:hanging="360"/>
      </w:pPr>
      <w:r>
        <w:t>8.</w:t>
        <w:tab/>
      </w:r>
      <w:r>
        <w:t>Update source metadata and run a prior-week sanity check.</w:t>
      </w:r>
    </w:p>
    <w:p>
      <w:pPr>
        <w:spacing w:after="80"/>
        <w:ind w:left="547" w:hanging="360"/>
      </w:pPr>
      <w:r>
        <w:t>9.</w:t>
        <w:tab/>
      </w:r>
      <w:r>
        <w:t>Regenerate both the workbook dashboard and the HTML dashboard from the refreshed data.</w:t>
      </w:r>
    </w:p>
    <w:p>
      <w:pPr>
        <w:spacing w:after="80"/>
        <w:ind w:left="547" w:hanging="360"/>
      </w:pPr>
      <w:r>
        <w:t>10.</w:t>
        <w:tab/>
      </w:r>
      <w:r>
        <w:t>Return concise key changes and links to the updated workbook and HTML dashboard.</w:t>
      </w:r>
    </w:p>
    <w:p>
      <w:r>
        <w:t>The dashboard must show the latest period, theme count, high-conviction count, persistent-theme count, ranked themes, supporting ETFs, weekly/YTD/four-week flows where verified, persistence, conviction, trend, concise evidence, material overlap notes, source, and as-of date. Include separate sections for conviction themes, the core ETF monitor, the macro regime, and dynamic discovery.</w:t>
      </w:r>
    </w:p>
    <w:p>
      <w:r>
        <w:t>Keep the final interpretation concise and decision-oriented. State what changed from the prior week, why conviction changed, and whether each important move is persistent, new, fading, or reversing.</w:t>
      </w:r>
    </w:p>
    <w:sectPr w:rsidR="00FC693F" w:rsidRPr="0006063C" w:rsidSect="00034616">
      <w:footerReference w:type="default" r:id="rId9"/>
      <w:pgSz w:w="12240" w:h="15840"/>
      <w:pgMar w:top="1123" w:right="1267" w:bottom="1037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  <w:jc w:val="center"/>
    </w:pPr>
    <w:r>
      <w:rPr>
        <w:rFonts w:ascii="Calibri" w:hAnsi="Calibri"/>
        <w:color w:val="626B73"/>
        <w:sz w:val="16"/>
      </w:rPr>
      <w:t xml:space="preserve">ETF Theme Flow &amp; Conviction Tracker  |  Shareable Master Prompt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324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Intro">
    <w:name w:val="Prompt Intro"/>
    <w:pPr>
      <w:spacing w:after="200" w:line="276" w:lineRule="auto"/>
    </w:pPr>
    <w:rPr>
      <w:rFonts w:ascii="Calibri" w:hAnsi="Calibri"/>
      <w:color w:val="37697A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ETF Theme Flow &amp; Conviction Tracker — Shareable Master Prompt</dc:title>
  <dc:subject>Reusable master prompt for weekly ETF theme-flow tracking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