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super-investor-13f-stock-ideas-dashboard"/>
    <w:p>
      <w:pPr>
        <w:pStyle w:val="Heading1"/>
      </w:pPr>
      <w:r>
        <w:t xml:space="preserve">Super Investor 13F Stock Ideas Dashboard</w:t>
      </w:r>
    </w:p>
    <w:p>
      <w:pPr>
        <w:pStyle w:val="FirstParagraph"/>
      </w:pPr>
      <w:r>
        <w:t xml:space="preserve">Act as an institutional stock-research assistant. Build a</w:t>
      </w:r>
      <w:r>
        <w:t xml:space="preserve"> </w:t>
      </w:r>
      <w:r>
        <w:rPr>
          <w:b/>
          <w:bCs/>
        </w:rPr>
        <w:t xml:space="preserve">Super Investor 13F Stock Ideas Dashboard</w:t>
      </w:r>
      <w:r>
        <w:t xml:space="preserve"> </w:t>
      </w:r>
      <w:r>
        <w:t xml:space="preserve">using actual SEC filings to identify what highly regarded investors are buying, increasing, reducing, and exiting.</w:t>
      </w:r>
    </w:p>
    <w:p>
      <w:pPr>
        <w:pStyle w:val="BodyText"/>
      </w:pPr>
      <w:r>
        <w:t xml:space="preserve">The objective is</w:t>
      </w:r>
      <w:r>
        <w:t xml:space="preserve"> </w:t>
      </w:r>
      <w:r>
        <w:rPr>
          <w:b/>
          <w:bCs/>
        </w:rPr>
        <w:t xml:space="preserve">idea discovery</w:t>
      </w:r>
      <w:r>
        <w:t xml:space="preserve">, not stock scoring or automatic buy/sell recommendations.</w:t>
      </w:r>
    </w:p>
    <w:bookmarkStart w:id="9" w:name="source-of-truth"/>
    <w:p>
      <w:pPr>
        <w:pStyle w:val="Heading2"/>
      </w:pPr>
      <w:r>
        <w:t xml:space="preserve">1. SOURCE OF TRUTH</w:t>
      </w:r>
    </w:p>
    <w:p>
      <w:pPr>
        <w:pStyle w:val="FirstParagraph"/>
      </w:pPr>
      <w:r>
        <w:t xml:space="preserve">Use</w:t>
      </w:r>
      <w:r>
        <w:t xml:space="preserve"> </w:t>
      </w:r>
      <w:r>
        <w:rPr>
          <w:b/>
          <w:bCs/>
        </w:rPr>
        <w:t xml:space="preserve">SEC EDGAR Form 13F filings as the primary source of truth</w:t>
      </w:r>
      <w:r>
        <w:t xml:space="preserve">.</w:t>
      </w:r>
    </w:p>
    <w:p>
      <w:pPr>
        <w:pStyle w:val="BodyText"/>
      </w:pPr>
      <w:r>
        <w:t xml:space="preserve">Use the latest completed 13F reporting quarter and compare it with the immediately preceding quarter.</w:t>
      </w:r>
    </w:p>
    <w:p>
      <w:pPr>
        <w:pStyle w:val="BodyText"/>
      </w:pPr>
      <w:r>
        <w:t xml:space="preserve">Example:</w:t>
      </w:r>
    </w:p>
    <w:p>
      <w:pPr>
        <w:pStyle w:val="BodyText"/>
      </w:pPr>
      <w:r>
        <w:t xml:space="preserve">Latest quarter: June 30</w:t>
      </w:r>
      <w:r>
        <w:br/>
      </w:r>
      <w:r>
        <w:t xml:space="preserve">Previous quarter: March 31</w:t>
      </w:r>
    </w:p>
    <w:p>
      <w:pPr>
        <w:pStyle w:val="BodyText"/>
      </w:pPr>
      <w:r>
        <w:t xml:space="preserve">Retrieve and compare the underlying</w:t>
      </w:r>
      <w:r>
        <w:t xml:space="preserve"> </w:t>
      </w:r>
      <w:r>
        <w:rPr>
          <w:b/>
          <w:bCs/>
        </w:rPr>
        <w:t xml:space="preserve">13F information tables</w:t>
      </w:r>
      <w:r>
        <w:t xml:space="preserve">.</w:t>
      </w:r>
    </w:p>
    <w:p>
      <w:pPr>
        <w:pStyle w:val="BodyText"/>
      </w:pPr>
      <w:r>
        <w:t xml:space="preserve">Third-party 13F websites may be used only to help normalize manager names, CUSIPs, tickers, or cross-check calculations. They must NOT replace SEC filings as the authoritative source.</w:t>
      </w:r>
    </w:p>
    <w:p>
      <w:pPr>
        <w:pStyle w:val="BodyText"/>
      </w:pPr>
      <w:r>
        <w:t xml:space="preserve">Always identify the reporting quarter and filing date.</w:t>
      </w:r>
    </w:p>
    <w:bookmarkEnd w:id="9"/>
    <w:bookmarkStart w:id="10" w:name="super-investor-universe"/>
    <w:p>
      <w:pPr>
        <w:pStyle w:val="Heading2"/>
      </w:pPr>
      <w:r>
        <w:t xml:space="preserve">2. SUPER-INVESTOR UNIVERSE</w:t>
      </w:r>
    </w:p>
    <w:p>
      <w:pPr>
        <w:pStyle w:val="FirstParagraph"/>
      </w:pPr>
      <w:r>
        <w:t xml:space="preserve">Analyze these investors/managers:</w:t>
      </w:r>
    </w:p>
    <w:p>
      <w:pPr>
        <w:pStyle w:val="Compact"/>
        <w:numPr>
          <w:ilvl w:val="0"/>
          <w:numId w:val="1001"/>
        </w:numPr>
      </w:pPr>
      <w:r>
        <w:t xml:space="preserve">Warren Buffett — Berkshire Hathaway</w:t>
      </w:r>
    </w:p>
    <w:p>
      <w:pPr>
        <w:pStyle w:val="Compact"/>
        <w:numPr>
          <w:ilvl w:val="0"/>
          <w:numId w:val="1001"/>
        </w:numPr>
      </w:pPr>
      <w:r>
        <w:t xml:space="preserve">V. D. Dodge / E. M. Cox — Dodge &amp; Cox</w:t>
      </w:r>
    </w:p>
    <w:p>
      <w:pPr>
        <w:pStyle w:val="Compact"/>
        <w:numPr>
          <w:ilvl w:val="0"/>
          <w:numId w:val="1001"/>
        </w:numPr>
      </w:pPr>
      <w:r>
        <w:t xml:space="preserve">Lewis Sanders — Sanders Capital</w:t>
      </w:r>
    </w:p>
    <w:p>
      <w:pPr>
        <w:pStyle w:val="Compact"/>
        <w:numPr>
          <w:ilvl w:val="0"/>
          <w:numId w:val="1001"/>
        </w:numPr>
      </w:pPr>
      <w:r>
        <w:t xml:space="preserve">Chris Hohn — TCI Fund Management</w:t>
      </w:r>
    </w:p>
    <w:p>
      <w:pPr>
        <w:pStyle w:val="Compact"/>
        <w:numPr>
          <w:ilvl w:val="0"/>
          <w:numId w:val="1001"/>
        </w:numPr>
      </w:pPr>
      <w:r>
        <w:t xml:space="preserve">Ole Andreas Halvorsen — Viking Global Investors</w:t>
      </w:r>
    </w:p>
    <w:p>
      <w:pPr>
        <w:pStyle w:val="Compact"/>
        <w:numPr>
          <w:ilvl w:val="0"/>
          <w:numId w:val="1001"/>
        </w:numPr>
      </w:pPr>
      <w:r>
        <w:t xml:space="preserve">Bill Gates / Michael Larson — Bill &amp; Melinda Gates Foundation Trust</w:t>
      </w:r>
    </w:p>
    <w:p>
      <w:pPr>
        <w:pStyle w:val="Compact"/>
        <w:numPr>
          <w:ilvl w:val="0"/>
          <w:numId w:val="1001"/>
        </w:numPr>
      </w:pPr>
      <w:r>
        <w:t xml:space="preserve">Richard Pzena — Pzena Investment Management</w:t>
      </w:r>
    </w:p>
    <w:p>
      <w:pPr>
        <w:pStyle w:val="Compact"/>
        <w:numPr>
          <w:ilvl w:val="0"/>
          <w:numId w:val="1001"/>
        </w:numPr>
      </w:pPr>
      <w:r>
        <w:t xml:space="preserve">Ravenel Boykin Curry IV — Eagle Capital Management</w:t>
      </w:r>
    </w:p>
    <w:p>
      <w:pPr>
        <w:pStyle w:val="Compact"/>
        <w:numPr>
          <w:ilvl w:val="0"/>
          <w:numId w:val="1001"/>
        </w:numPr>
      </w:pPr>
      <w:r>
        <w:t xml:space="preserve">Chase Coleman III — Tiger Global Management</w:t>
      </w:r>
    </w:p>
    <w:p>
      <w:pPr>
        <w:pStyle w:val="Compact"/>
        <w:numPr>
          <w:ilvl w:val="0"/>
          <w:numId w:val="1001"/>
        </w:numPr>
      </w:pPr>
      <w:r>
        <w:t xml:space="preserve">Bill Ackman — Pershing Square</w:t>
      </w:r>
    </w:p>
    <w:p>
      <w:pPr>
        <w:pStyle w:val="Compact"/>
        <w:numPr>
          <w:ilvl w:val="0"/>
          <w:numId w:val="1001"/>
        </w:numPr>
      </w:pPr>
      <w:r>
        <w:t xml:space="preserve">Duan Yongping — H&amp;H International Investment</w:t>
      </w:r>
    </w:p>
    <w:p>
      <w:pPr>
        <w:pStyle w:val="Compact"/>
        <w:numPr>
          <w:ilvl w:val="0"/>
          <w:numId w:val="1001"/>
        </w:numPr>
      </w:pPr>
      <w:r>
        <w:t xml:space="preserve">Stephen Mandel — Lone Pine Capital</w:t>
      </w:r>
    </w:p>
    <w:p>
      <w:pPr>
        <w:pStyle w:val="Compact"/>
        <w:numPr>
          <w:ilvl w:val="0"/>
          <w:numId w:val="1001"/>
        </w:numPr>
      </w:pPr>
      <w:r>
        <w:t xml:space="preserve">Terry Smith — Fundsmith</w:t>
      </w:r>
    </w:p>
    <w:p>
      <w:pPr>
        <w:pStyle w:val="Compact"/>
        <w:numPr>
          <w:ilvl w:val="0"/>
          <w:numId w:val="1001"/>
        </w:numPr>
      </w:pPr>
      <w:r>
        <w:t xml:space="preserve">David M. Polen — Polen Capital Management</w:t>
      </w:r>
    </w:p>
    <w:p>
      <w:pPr>
        <w:pStyle w:val="Compact"/>
        <w:numPr>
          <w:ilvl w:val="0"/>
          <w:numId w:val="1001"/>
        </w:numPr>
      </w:pPr>
      <w:r>
        <w:t xml:space="preserve">John Armitage — Egerton Capital</w:t>
      </w:r>
    </w:p>
    <w:p>
      <w:pPr>
        <w:pStyle w:val="Compact"/>
        <w:numPr>
          <w:ilvl w:val="0"/>
          <w:numId w:val="1001"/>
        </w:numPr>
      </w:pPr>
      <w:r>
        <w:t xml:space="preserve">Henry Ellenbogen — Durable Capital Partners</w:t>
      </w:r>
    </w:p>
    <w:p>
      <w:pPr>
        <w:pStyle w:val="Compact"/>
        <w:numPr>
          <w:ilvl w:val="0"/>
          <w:numId w:val="1001"/>
        </w:numPr>
      </w:pPr>
      <w:r>
        <w:t xml:space="preserve">Stanley Druckenmiller — Duquesne Family Office</w:t>
      </w:r>
    </w:p>
    <w:p>
      <w:pPr>
        <w:pStyle w:val="Compact"/>
        <w:numPr>
          <w:ilvl w:val="0"/>
          <w:numId w:val="1001"/>
        </w:numPr>
      </w:pPr>
      <w:r>
        <w:t xml:space="preserve">David Tepper — Appaloosa</w:t>
      </w:r>
    </w:p>
    <w:p>
      <w:pPr>
        <w:pStyle w:val="FirstParagraph"/>
      </w:pPr>
      <w:r>
        <w:t xml:space="preserve">Resolve and lock each manager to the correct SEC reporting entity/CIK.</w:t>
      </w:r>
    </w:p>
    <w:p>
      <w:pPr>
        <w:pStyle w:val="BodyText"/>
      </w:pPr>
      <w:r>
        <w:t xml:space="preserve">Be careful with similarly named investment firms.</w:t>
      </w:r>
    </w:p>
    <w:p>
      <w:pPr>
        <w:pStyle w:val="BodyText"/>
      </w:pPr>
      <w:r>
        <w:t xml:space="preserve">If a manager changes reporting entity or files through included/other managers, follow the SEC reporting relationships rather than blindly comparing CIKs.</w:t>
      </w:r>
    </w:p>
    <w:p>
      <w:pPr>
        <w:pStyle w:val="BodyText"/>
      </w:pPr>
      <w:r>
        <w:t xml:space="preserve">Explicitly flag any quarter that cannot be reliably compared because of a reporting-structure change.</w:t>
      </w:r>
    </w:p>
    <w:bookmarkEnd w:id="10"/>
    <w:bookmarkStart w:id="11" w:name="calculate-activity-using-share-counts"/>
    <w:p>
      <w:pPr>
        <w:pStyle w:val="Heading2"/>
      </w:pPr>
      <w:r>
        <w:t xml:space="preserve">3. CALCULATE ACTIVITY USING SHARE COUNTS</w:t>
      </w:r>
    </w:p>
    <w:p>
      <w:pPr>
        <w:pStyle w:val="FirstParagraph"/>
      </w:pPr>
      <w:r>
        <w:t xml:space="preserve">Determine investment activity primarily from changes in</w:t>
      </w:r>
      <w:r>
        <w:t xml:space="preserve"> </w:t>
      </w:r>
      <w:r>
        <w:rPr>
          <w:b/>
          <w:bCs/>
        </w:rPr>
        <w:t xml:space="preserve">share count</w:t>
      </w:r>
      <w:r>
        <w:t xml:space="preserve">, NOT reported market value.</w:t>
      </w:r>
    </w:p>
    <w:p>
      <w:pPr>
        <w:pStyle w:val="BodyText"/>
      </w:pPr>
      <w:r>
        <w:t xml:space="preserve">A position whose market value rises because the stock price increased is NOT an increase unless the reported share count increased.</w:t>
      </w:r>
    </w:p>
    <w:p>
      <w:pPr>
        <w:pStyle w:val="BodyText"/>
      </w:pPr>
      <w:r>
        <w:t xml:space="preserve">For each security classify the quarter-over-quarter activity as:</w:t>
      </w:r>
    </w:p>
    <w:p>
      <w:pPr>
        <w:pStyle w:val="BodyText"/>
      </w:pPr>
      <w:r>
        <w:t xml:space="preserve">🆕 NEW</w:t>
      </w:r>
      <w:r>
        <w:br/>
      </w:r>
      <w:r>
        <w:t xml:space="preserve">↑ INCREASED</w:t>
      </w:r>
      <w:r>
        <w:br/>
      </w:r>
      <w:r>
        <w:t xml:space="preserve">— UNCHANGED</w:t>
      </w:r>
      <w:r>
        <w:br/>
      </w:r>
      <w:r>
        <w:t xml:space="preserve">↓ REDUCED</w:t>
      </w:r>
      <w:r>
        <w:br/>
      </w:r>
      <w:r>
        <w:t xml:space="preserve">✕ EXITED</w:t>
      </w:r>
    </w:p>
    <w:p>
      <w:pPr>
        <w:pStyle w:val="BodyText"/>
      </w:pPr>
      <w:r>
        <w:t xml:space="preserve">Calculate when possible:</w:t>
      </w:r>
    </w:p>
    <w:p>
      <w:pPr>
        <w:pStyle w:val="Compact"/>
        <w:numPr>
          <w:ilvl w:val="0"/>
          <w:numId w:val="1002"/>
        </w:numPr>
      </w:pPr>
      <w:r>
        <w:t xml:space="preserve">Previous-quarter shares</w:t>
      </w:r>
    </w:p>
    <w:p>
      <w:pPr>
        <w:pStyle w:val="Compact"/>
        <w:numPr>
          <w:ilvl w:val="0"/>
          <w:numId w:val="1002"/>
        </w:numPr>
      </w:pPr>
      <w:r>
        <w:t xml:space="preserve">Current-quarter shares</w:t>
      </w:r>
    </w:p>
    <w:p>
      <w:pPr>
        <w:pStyle w:val="Compact"/>
        <w:numPr>
          <w:ilvl w:val="0"/>
          <w:numId w:val="1002"/>
        </w:numPr>
      </w:pPr>
      <w:r>
        <w:t xml:space="preserve">Absolute share change</w:t>
      </w:r>
    </w:p>
    <w:p>
      <w:pPr>
        <w:pStyle w:val="Compact"/>
        <w:numPr>
          <w:ilvl w:val="0"/>
          <w:numId w:val="1002"/>
        </w:numPr>
      </w:pPr>
      <w:r>
        <w:t xml:space="preserve">Percentage share change</w:t>
      </w:r>
    </w:p>
    <w:p>
      <w:pPr>
        <w:pStyle w:val="Compact"/>
        <w:numPr>
          <w:ilvl w:val="0"/>
          <w:numId w:val="1002"/>
        </w:numPr>
      </w:pPr>
      <w:r>
        <w:t xml:space="preserve">Current reported market value</w:t>
      </w:r>
    </w:p>
    <w:p>
      <w:pPr>
        <w:pStyle w:val="Compact"/>
        <w:numPr>
          <w:ilvl w:val="0"/>
          <w:numId w:val="1002"/>
        </w:numPr>
      </w:pPr>
      <w:r>
        <w:t xml:space="preserve">Current portfolio weight</w:t>
      </w:r>
    </w:p>
    <w:p>
      <w:pPr>
        <w:pStyle w:val="FirstParagraph"/>
      </w:pPr>
      <w:r>
        <w:t xml:space="preserve">Keep NEW separate from INCREASED.</w:t>
      </w:r>
    </w:p>
    <w:p>
      <w:pPr>
        <w:pStyle w:val="BodyText"/>
      </w:pPr>
      <w:r>
        <w:t xml:space="preserve">Keep EXITED separate from REDUCED.</w:t>
      </w:r>
    </w:p>
    <w:bookmarkEnd w:id="11"/>
    <w:bookmarkStart w:id="12" w:name="common-equity-vs.-options"/>
    <w:p>
      <w:pPr>
        <w:pStyle w:val="Heading2"/>
      </w:pPr>
      <w:r>
        <w:t xml:space="preserve">4. COMMON EQUITY VS. OPTIONS</w:t>
      </w:r>
    </w:p>
    <w:p>
      <w:pPr>
        <w:pStyle w:val="FirstParagraph"/>
      </w:pPr>
      <w:r>
        <w:t xml:space="preserve">Do not mix common-stock holdings with PUT or CALL positions.</w:t>
      </w:r>
    </w:p>
    <w:p>
      <w:pPr>
        <w:pStyle w:val="BodyText"/>
      </w:pPr>
      <w:r>
        <w:t xml:space="preserve">If the same company appears as common shares and an option position, treat them as separate securities.</w:t>
      </w:r>
    </w:p>
    <w:p>
      <w:pPr>
        <w:pStyle w:val="BodyText"/>
      </w:pPr>
      <w:r>
        <w:t xml:space="preserve">The primary stock-idea tables should focus on common equity unless explicitly stated otherwise.</w:t>
      </w:r>
    </w:p>
    <w:bookmarkEnd w:id="12"/>
    <w:bookmarkStart w:id="18" w:name="individual-investor-analysis"/>
    <w:p>
      <w:pPr>
        <w:pStyle w:val="Heading2"/>
      </w:pPr>
      <w:r>
        <w:t xml:space="preserve">5. INDIVIDUAL INVESTOR ANALYSIS</w:t>
      </w:r>
    </w:p>
    <w:p>
      <w:pPr>
        <w:pStyle w:val="FirstParagraph"/>
      </w:pPr>
      <w:r>
        <w:t xml:space="preserve">For every super investor show:</w:t>
      </w:r>
    </w:p>
    <w:bookmarkStart w:id="13" w:name="new-buys"/>
    <w:p>
      <w:pPr>
        <w:pStyle w:val="Heading3"/>
      </w:pPr>
      <w:r>
        <w:t xml:space="preserve">New Buys</w:t>
      </w:r>
    </w:p>
    <w:p>
      <w:pPr>
        <w:pStyle w:val="FirstParagraph"/>
      </w:pPr>
      <w:r>
        <w:t xml:space="preserve">Positions initiated during the latest quarter.</w:t>
      </w:r>
    </w:p>
    <w:bookmarkEnd w:id="13"/>
    <w:bookmarkStart w:id="14" w:name="top-increases"/>
    <w:p>
      <w:pPr>
        <w:pStyle w:val="Heading3"/>
      </w:pPr>
      <w:r>
        <w:t xml:space="preserve">Top Increases</w:t>
      </w:r>
    </w:p>
    <w:p>
      <w:pPr>
        <w:pStyle w:val="FirstParagraph"/>
      </w:pPr>
      <w:r>
        <w:t xml:space="preserve">Existing holdings with the largest meaningful increases.</w:t>
      </w:r>
    </w:p>
    <w:p>
      <w:pPr>
        <w:pStyle w:val="BodyText"/>
      </w:pPr>
      <w:r>
        <w:t xml:space="preserve">Show both:</w:t>
      </w:r>
    </w:p>
    <w:p>
      <w:pPr>
        <w:pStyle w:val="Compact"/>
        <w:numPr>
          <w:ilvl w:val="0"/>
          <w:numId w:val="1003"/>
        </w:numPr>
      </w:pPr>
      <w:r>
        <w:t xml:space="preserve">percentage change</w:t>
      </w:r>
    </w:p>
    <w:p>
      <w:pPr>
        <w:pStyle w:val="Compact"/>
        <w:numPr>
          <w:ilvl w:val="0"/>
          <w:numId w:val="1003"/>
        </w:numPr>
      </w:pPr>
      <w:r>
        <w:t xml:space="preserve">absolute share change</w:t>
      </w:r>
    </w:p>
    <w:p>
      <w:pPr>
        <w:pStyle w:val="FirstParagraph"/>
      </w:pPr>
      <w:r>
        <w:t xml:space="preserve">Do not rank only by percentage because a tiny position can produce a misleadingly large percentage increase.</w:t>
      </w:r>
    </w:p>
    <w:bookmarkEnd w:id="14"/>
    <w:bookmarkStart w:id="15" w:name="top-reductions"/>
    <w:p>
      <w:pPr>
        <w:pStyle w:val="Heading3"/>
      </w:pPr>
      <w:r>
        <w:t xml:space="preserve">Top Reductions</w:t>
      </w:r>
    </w:p>
    <w:p>
      <w:pPr>
        <w:pStyle w:val="FirstParagraph"/>
      </w:pPr>
      <w:r>
        <w:t xml:space="preserve">Existing holdings materially reduced.</w:t>
      </w:r>
    </w:p>
    <w:bookmarkEnd w:id="15"/>
    <w:bookmarkStart w:id="16" w:name="full-exits"/>
    <w:p>
      <w:pPr>
        <w:pStyle w:val="Heading3"/>
      </w:pPr>
      <w:r>
        <w:t xml:space="preserve">Full Exits</w:t>
      </w:r>
    </w:p>
    <w:p>
      <w:pPr>
        <w:pStyle w:val="FirstParagraph"/>
      </w:pPr>
      <w:r>
        <w:t xml:space="preserve">Positions completely eliminated.</w:t>
      </w:r>
    </w:p>
    <w:bookmarkEnd w:id="16"/>
    <w:bookmarkStart w:id="17" w:name="unchanged-major-holds"/>
    <w:p>
      <w:pPr>
        <w:pStyle w:val="Heading3"/>
      </w:pPr>
      <w:r>
        <w:t xml:space="preserve">Unchanged / Major Holds</w:t>
      </w:r>
    </w:p>
    <w:p>
      <w:pPr>
        <w:pStyle w:val="FirstParagraph"/>
      </w:pPr>
      <w:r>
        <w:t xml:space="preserve">Optionally identify important positions that remained essentially unchanged.</w:t>
      </w:r>
    </w:p>
    <w:p>
      <w:pPr>
        <w:pStyle w:val="BodyText"/>
      </w:pPr>
      <w:r>
        <w:t xml:space="preserve">Do NOT omit an investor merely because their activity appears less interesting.</w:t>
      </w:r>
    </w:p>
    <w:p>
      <w:pPr>
        <w:pStyle w:val="BodyText"/>
      </w:pPr>
      <w:r>
        <w:t xml:space="preserve">Every investor must be processed.</w:t>
      </w:r>
    </w:p>
    <w:p>
      <w:pPr>
        <w:pStyle w:val="BodyText"/>
      </w:pPr>
      <w:r>
        <w:t xml:space="preserve">Show dashboard coverage explicitly:</w:t>
      </w:r>
    </w:p>
    <w:p>
      <w:pPr>
        <w:pStyle w:val="BodyText"/>
      </w:pPr>
      <w:r>
        <w:rPr>
          <w:b/>
          <w:bCs/>
        </w:rPr>
        <w:t xml:space="preserve">18 / 18 Investors Processed</w:t>
      </w:r>
    </w:p>
    <w:p>
      <w:pPr>
        <w:pStyle w:val="BodyText"/>
      </w:pPr>
      <w:r>
        <w:t xml:space="preserve">If an investor cannot be reliably processed, show the investor and explain the exception rather than silently excluding them.</w:t>
      </w:r>
    </w:p>
    <w:bookmarkEnd w:id="17"/>
    <w:bookmarkEnd w:id="18"/>
    <w:bookmarkStart w:id="22" w:name="cross-investor-consensus"/>
    <w:p>
      <w:pPr>
        <w:pStyle w:val="Heading2"/>
      </w:pPr>
      <w:r>
        <w:t xml:space="preserve">6. CROSS-INVESTOR CONSENSUS</w:t>
      </w:r>
    </w:p>
    <w:p>
      <w:pPr>
        <w:pStyle w:val="FirstParagraph"/>
      </w:pPr>
      <w:r>
        <w:t xml:space="preserve">After processing every investor, aggregate activity by stock.</w:t>
      </w:r>
    </w:p>
    <w:p>
      <w:pPr>
        <w:pStyle w:val="BodyText"/>
      </w:pPr>
      <w:r>
        <w:t xml:space="preserve">For each stock calculate:</w:t>
      </w:r>
    </w:p>
    <w:p>
      <w:pPr>
        <w:pStyle w:val="BodyText"/>
      </w:pPr>
      <w:r>
        <w:t xml:space="preserve">NEW buyers | INCREASED | UNCHANGED | REDUCED | EXITED</w:t>
      </w:r>
    </w:p>
    <w:p>
      <w:pPr>
        <w:pStyle w:val="BodyText"/>
      </w:pPr>
      <w:r>
        <w:t xml:space="preserve">Then create:</w:t>
      </w:r>
    </w:p>
    <w:bookmarkStart w:id="19" w:name="consensus-buys"/>
    <w:p>
      <w:pPr>
        <w:pStyle w:val="Heading3"/>
      </w:pPr>
      <w:r>
        <w:t xml:space="preserve">🔥 Consensus Buys</w:t>
      </w:r>
    </w:p>
    <w:p>
      <w:pPr>
        <w:pStyle w:val="FirstParagraph"/>
      </w:pPr>
      <w:r>
        <w:t xml:space="preserve">Stocks where multiple selected super investors independently initiated or increased positions.</w:t>
      </w:r>
    </w:p>
    <w:p>
      <w:pPr>
        <w:pStyle w:val="BodyText"/>
      </w:pPr>
      <w:r>
        <w:t xml:space="preserve">Example:</w:t>
      </w:r>
    </w:p>
    <w:p>
      <w:pPr>
        <w:pStyle w:val="BodyText"/>
      </w:pPr>
      <w:r>
        <w:t xml:space="preserve">AMZN</w:t>
      </w:r>
    </w:p>
    <w:p>
      <w:pPr>
        <w:pStyle w:val="BodyText"/>
      </w:pPr>
      <w:r>
        <w:t xml:space="preserve">New: 1</w:t>
      </w:r>
      <w:r>
        <w:br/>
      </w:r>
      <w:r>
        <w:t xml:space="preserve">Increased: 4</w:t>
      </w:r>
      <w:r>
        <w:br/>
      </w:r>
      <w:r>
        <w:t xml:space="preserve">Unchanged: 2</w:t>
      </w:r>
      <w:r>
        <w:br/>
      </w:r>
      <w:r>
        <w:t xml:space="preserve">Reduced: 0</w:t>
      </w:r>
      <w:r>
        <w:br/>
      </w:r>
      <w:r>
        <w:t xml:space="preserve">Exited: 0</w:t>
      </w:r>
    </w:p>
    <w:p>
      <w:pPr>
        <w:pStyle w:val="BodyText"/>
      </w:pPr>
      <w:r>
        <w:t xml:space="preserve">Investors buying:</w:t>
      </w:r>
      <w:r>
        <w:t xml:space="preserve"> </w:t>
      </w:r>
      <w:r>
        <w:t xml:space="preserve">Manager A, Manager B, Manager C…</w:t>
      </w:r>
    </w:p>
    <w:bookmarkEnd w:id="19"/>
    <w:bookmarkStart w:id="20" w:name="consensus-sells-reductions"/>
    <w:p>
      <w:pPr>
        <w:pStyle w:val="Heading3"/>
      </w:pPr>
      <w:r>
        <w:t xml:space="preserve">🔻 Consensus Sells / Reductions</w:t>
      </w:r>
    </w:p>
    <w:p>
      <w:pPr>
        <w:pStyle w:val="FirstParagraph"/>
      </w:pPr>
      <w:r>
        <w:t xml:space="preserve">Stocks where multiple managers independently reduced or exited positions.</w:t>
      </w:r>
    </w:p>
    <w:p>
      <w:pPr>
        <w:pStyle w:val="BodyText"/>
      </w:pPr>
      <w:r>
        <w:t xml:space="preserve">Show the managers responsible for the activity.</w:t>
      </w:r>
    </w:p>
    <w:bookmarkEnd w:id="20"/>
    <w:bookmarkStart w:id="21" w:name="mixed-activity"/>
    <w:p>
      <w:pPr>
        <w:pStyle w:val="Heading3"/>
      </w:pPr>
      <w:r>
        <w:t xml:space="preserve">⚖️ Mixed Activity</w:t>
      </w:r>
    </w:p>
    <w:p>
      <w:pPr>
        <w:pStyle w:val="FirstParagraph"/>
      </w:pPr>
      <w:r>
        <w:t xml:space="preserve">Explicitly identify important stocks where respected investors moved in opposite directions.</w:t>
      </w:r>
    </w:p>
    <w:p>
      <w:pPr>
        <w:pStyle w:val="BodyText"/>
      </w:pPr>
      <w:r>
        <w:t xml:space="preserve">Example:</w:t>
      </w:r>
    </w:p>
    <w:p>
      <w:pPr>
        <w:pStyle w:val="BodyText"/>
      </w:pPr>
      <w:r>
        <w:t xml:space="preserve">TSM</w:t>
      </w:r>
    </w:p>
    <w:p>
      <w:pPr>
        <w:pStyle w:val="BodyText"/>
      </w:pPr>
      <w:r>
        <w:t xml:space="preserve">3 managers increased</w:t>
      </w:r>
      <w:r>
        <w:br/>
      </w:r>
      <w:r>
        <w:t xml:space="preserve">1 manager initiated</w:t>
      </w:r>
      <w:r>
        <w:br/>
      </w:r>
      <w:r>
        <w:t xml:space="preserve">4 managers reduced</w:t>
      </w:r>
      <w:r>
        <w:br/>
      </w:r>
      <w:r>
        <w:t xml:space="preserve">1 manager exited</w:t>
      </w:r>
    </w:p>
    <w:p>
      <w:pPr>
        <w:pStyle w:val="BodyText"/>
      </w:pPr>
      <w:r>
        <w:t xml:space="preserve">Do NOT label this simply as a</w:t>
      </w:r>
      <w:r>
        <w:t xml:space="preserve"> </w:t>
      </w:r>
      <w:r>
        <w:t xml:space="preserve">“Consensus Buy.”</w:t>
      </w:r>
    </w:p>
    <w:p>
      <w:pPr>
        <w:pStyle w:val="BodyText"/>
      </w:pPr>
      <w:r>
        <w:t xml:space="preserve">Mixed institutional behavior itself is useful information.</w:t>
      </w:r>
    </w:p>
    <w:bookmarkEnd w:id="21"/>
    <w:bookmarkEnd w:id="22"/>
    <w:bookmarkStart w:id="23" w:name="general-summary"/>
    <w:p>
      <w:pPr>
        <w:pStyle w:val="Heading2"/>
      </w:pPr>
      <w:r>
        <w:t xml:space="preserve">7. GENERAL SUMMARY</w:t>
      </w:r>
    </w:p>
    <w:p>
      <w:pPr>
        <w:pStyle w:val="FirstParagraph"/>
      </w:pPr>
      <w:r>
        <w:t xml:space="preserve">At the top of the dashboard provide a concise summary of the quarter:</w:t>
      </w:r>
    </w:p>
    <w:p>
      <w:pPr>
        <w:pStyle w:val="Compact"/>
        <w:numPr>
          <w:ilvl w:val="0"/>
          <w:numId w:val="1004"/>
        </w:numPr>
      </w:pPr>
      <w:r>
        <w:t xml:space="preserve">Most widely accumulated stocks</w:t>
      </w:r>
    </w:p>
    <w:p>
      <w:pPr>
        <w:pStyle w:val="Compact"/>
        <w:numPr>
          <w:ilvl w:val="0"/>
          <w:numId w:val="1004"/>
        </w:numPr>
      </w:pPr>
      <w:r>
        <w:t xml:space="preserve">Most widely reduced stocks</w:t>
      </w:r>
    </w:p>
    <w:p>
      <w:pPr>
        <w:pStyle w:val="Compact"/>
        <w:numPr>
          <w:ilvl w:val="0"/>
          <w:numId w:val="1004"/>
        </w:numPr>
      </w:pPr>
      <w:r>
        <w:t xml:space="preserve">Most common new positions</w:t>
      </w:r>
    </w:p>
    <w:p>
      <w:pPr>
        <w:pStyle w:val="Compact"/>
        <w:numPr>
          <w:ilvl w:val="0"/>
          <w:numId w:val="1004"/>
        </w:numPr>
      </w:pPr>
      <w:r>
        <w:t xml:space="preserve">Most common full exits</w:t>
      </w:r>
    </w:p>
    <w:p>
      <w:pPr>
        <w:pStyle w:val="Compact"/>
        <w:numPr>
          <w:ilvl w:val="0"/>
          <w:numId w:val="1004"/>
        </w:numPr>
      </w:pPr>
      <w:r>
        <w:t xml:space="preserve">Important mixed signals</w:t>
      </w:r>
    </w:p>
    <w:p>
      <w:pPr>
        <w:pStyle w:val="Compact"/>
        <w:numPr>
          <w:ilvl w:val="0"/>
          <w:numId w:val="1004"/>
        </w:numPr>
      </w:pPr>
      <w:r>
        <w:t xml:space="preserve">Interesting cross-investor themes</w:t>
      </w:r>
    </w:p>
    <w:p>
      <w:pPr>
        <w:pStyle w:val="FirstParagraph"/>
      </w:pPr>
      <w:r>
        <w:t xml:space="preserve">Do not create an artificial 0–100 stock score.</w:t>
      </w:r>
    </w:p>
    <w:p>
      <w:pPr>
        <w:pStyle w:val="BodyText"/>
      </w:pPr>
      <w:r>
        <w:t xml:space="preserve">Let the underlying investor activity speak for itself.</w:t>
      </w:r>
    </w:p>
    <w:bookmarkEnd w:id="23"/>
    <w:bookmarkStart w:id="27" w:name="interactive-dashboard"/>
    <w:p>
      <w:pPr>
        <w:pStyle w:val="Heading2"/>
      </w:pPr>
      <w:r>
        <w:t xml:space="preserve">8. INTERACTIVE DASHBOARD</w:t>
      </w:r>
    </w:p>
    <w:p>
      <w:pPr>
        <w:pStyle w:val="FirstParagraph"/>
      </w:pPr>
      <w:r>
        <w:t xml:space="preserve">Generate a polished interactive HTML dashboard.</w:t>
      </w:r>
    </w:p>
    <w:p>
      <w:pPr>
        <w:pStyle w:val="BodyText"/>
      </w:pPr>
      <w:r>
        <w:t xml:space="preserve">The dashboard should contain:</w:t>
      </w:r>
    </w:p>
    <w:bookmarkStart w:id="24" w:name="overview"/>
    <w:p>
      <w:pPr>
        <w:pStyle w:val="Heading3"/>
      </w:pPr>
      <w:r>
        <w:t xml:space="preserve">Overview</w:t>
      </w:r>
    </w:p>
    <w:p>
      <w:pPr>
        <w:pStyle w:val="Compact"/>
        <w:numPr>
          <w:ilvl w:val="0"/>
          <w:numId w:val="1005"/>
        </w:numPr>
      </w:pPr>
      <w:r>
        <w:t xml:space="preserve">Reporting quarter</w:t>
      </w:r>
    </w:p>
    <w:p>
      <w:pPr>
        <w:pStyle w:val="Compact"/>
        <w:numPr>
          <w:ilvl w:val="0"/>
          <w:numId w:val="1005"/>
        </w:numPr>
      </w:pPr>
      <w:r>
        <w:t xml:space="preserve">Previous comparison quarter</w:t>
      </w:r>
    </w:p>
    <w:p>
      <w:pPr>
        <w:pStyle w:val="Compact"/>
        <w:numPr>
          <w:ilvl w:val="0"/>
          <w:numId w:val="1005"/>
        </w:numPr>
      </w:pPr>
      <w:r>
        <w:t xml:space="preserve">Number of investors processed</w:t>
      </w:r>
    </w:p>
    <w:p>
      <w:pPr>
        <w:pStyle w:val="Compact"/>
        <w:numPr>
          <w:ilvl w:val="0"/>
          <w:numId w:val="1005"/>
        </w:numPr>
      </w:pPr>
      <w:r>
        <w:t xml:space="preserve">SEC filing coverage</w:t>
      </w:r>
    </w:p>
    <w:p>
      <w:pPr>
        <w:pStyle w:val="Compact"/>
        <w:numPr>
          <w:ilvl w:val="0"/>
          <w:numId w:val="1005"/>
        </w:numPr>
      </w:pPr>
      <w:r>
        <w:t xml:space="preserve">Top New Buys</w:t>
      </w:r>
    </w:p>
    <w:p>
      <w:pPr>
        <w:pStyle w:val="Compact"/>
        <w:numPr>
          <w:ilvl w:val="0"/>
          <w:numId w:val="1005"/>
        </w:numPr>
      </w:pPr>
      <w:r>
        <w:t xml:space="preserve">Top Increases</w:t>
      </w:r>
    </w:p>
    <w:p>
      <w:pPr>
        <w:pStyle w:val="Compact"/>
        <w:numPr>
          <w:ilvl w:val="0"/>
          <w:numId w:val="1005"/>
        </w:numPr>
      </w:pPr>
      <w:r>
        <w:t xml:space="preserve">Consensus Buys</w:t>
      </w:r>
    </w:p>
    <w:p>
      <w:pPr>
        <w:pStyle w:val="Compact"/>
        <w:numPr>
          <w:ilvl w:val="0"/>
          <w:numId w:val="1005"/>
        </w:numPr>
      </w:pPr>
      <w:r>
        <w:t xml:space="preserve">Top Reductions</w:t>
      </w:r>
    </w:p>
    <w:p>
      <w:pPr>
        <w:pStyle w:val="Compact"/>
        <w:numPr>
          <w:ilvl w:val="0"/>
          <w:numId w:val="1005"/>
        </w:numPr>
      </w:pPr>
      <w:r>
        <w:t xml:space="preserve">Full Exits</w:t>
      </w:r>
    </w:p>
    <w:p>
      <w:pPr>
        <w:pStyle w:val="Compact"/>
        <w:numPr>
          <w:ilvl w:val="0"/>
          <w:numId w:val="1005"/>
        </w:numPr>
      </w:pPr>
      <w:r>
        <w:t xml:space="preserve">Consensus Sells</w:t>
      </w:r>
    </w:p>
    <w:p>
      <w:pPr>
        <w:pStyle w:val="Compact"/>
        <w:numPr>
          <w:ilvl w:val="0"/>
          <w:numId w:val="1005"/>
        </w:numPr>
      </w:pPr>
      <w:r>
        <w:t xml:space="preserve">Mixed Signals</w:t>
      </w:r>
    </w:p>
    <w:bookmarkEnd w:id="24"/>
    <w:bookmarkStart w:id="25" w:name="investor-filter"/>
    <w:p>
      <w:pPr>
        <w:pStyle w:val="Heading3"/>
      </w:pPr>
      <w:r>
        <w:t xml:space="preserve">Investor Filter</w:t>
      </w:r>
    </w:p>
    <w:p>
      <w:pPr>
        <w:pStyle w:val="FirstParagraph"/>
      </w:pPr>
      <w:r>
        <w:t xml:space="preserve">Provide a dropdown containing:</w:t>
      </w:r>
    </w:p>
    <w:p>
      <w:pPr>
        <w:pStyle w:val="BodyText"/>
      </w:pPr>
      <w:r>
        <w:t xml:space="preserve">All Investors</w:t>
      </w:r>
      <w:r>
        <w:t xml:space="preserve"> </w:t>
      </w:r>
      <w:r>
        <w:t xml:space="preserve">Berkshire Hathaway</w:t>
      </w:r>
      <w:r>
        <w:t xml:space="preserve"> </w:t>
      </w:r>
      <w:r>
        <w:t xml:space="preserve">Dodge &amp; Cox</w:t>
      </w:r>
      <w:r>
        <w:t xml:space="preserve"> </w:t>
      </w:r>
      <w:r>
        <w:t xml:space="preserve">Sanders Capital</w:t>
      </w:r>
      <w:r>
        <w:t xml:space="preserve"> </w:t>
      </w:r>
      <w:r>
        <w:t xml:space="preserve">TCI Fund Management</w:t>
      </w:r>
      <w:r>
        <w:t xml:space="preserve"> </w:t>
      </w:r>
      <w:r>
        <w:t xml:space="preserve">Viking Global</w:t>
      </w:r>
      <w:r>
        <w:t xml:space="preserve"> </w:t>
      </w:r>
      <w:r>
        <w:t xml:space="preserve">Gates Foundation Trust</w:t>
      </w:r>
      <w:r>
        <w:t xml:space="preserve"> </w:t>
      </w:r>
      <w:r>
        <w:t xml:space="preserve">Pzena Investment Management</w:t>
      </w:r>
      <w:r>
        <w:t xml:space="preserve"> </w:t>
      </w:r>
      <w:r>
        <w:t xml:space="preserve">Eagle Capital Management</w:t>
      </w:r>
      <w:r>
        <w:t xml:space="preserve"> </w:t>
      </w:r>
      <w:r>
        <w:t xml:space="preserve">Tiger Global</w:t>
      </w:r>
      <w:r>
        <w:t xml:space="preserve"> </w:t>
      </w:r>
      <w:r>
        <w:t xml:space="preserve">Pershing Square</w:t>
      </w:r>
      <w:r>
        <w:t xml:space="preserve"> </w:t>
      </w:r>
      <w:r>
        <w:t xml:space="preserve">H&amp;H International</w:t>
      </w:r>
      <w:r>
        <w:t xml:space="preserve"> </w:t>
      </w:r>
      <w:r>
        <w:t xml:space="preserve">Lone Pine</w:t>
      </w:r>
      <w:r>
        <w:t xml:space="preserve"> </w:t>
      </w:r>
      <w:r>
        <w:t xml:space="preserve">Fundsmith</w:t>
      </w:r>
      <w:r>
        <w:t xml:space="preserve"> </w:t>
      </w:r>
      <w:r>
        <w:t xml:space="preserve">Polen Capital</w:t>
      </w:r>
      <w:r>
        <w:t xml:space="preserve"> </w:t>
      </w:r>
      <w:r>
        <w:t xml:space="preserve">Egerton Capital</w:t>
      </w:r>
      <w:r>
        <w:t xml:space="preserve"> </w:t>
      </w:r>
      <w:r>
        <w:t xml:space="preserve">Durable Capital</w:t>
      </w:r>
      <w:r>
        <w:t xml:space="preserve"> </w:t>
      </w:r>
      <w:r>
        <w:t xml:space="preserve">Duquesne</w:t>
      </w:r>
      <w:r>
        <w:t xml:space="preserve"> </w:t>
      </w:r>
      <w:r>
        <w:t xml:space="preserve">Appaloosa</w:t>
      </w:r>
    </w:p>
    <w:p>
      <w:pPr>
        <w:pStyle w:val="BodyText"/>
      </w:pPr>
      <w:r>
        <w:t xml:space="preserve">Selecting an investor should display that investor’s:</w:t>
      </w:r>
    </w:p>
    <w:p>
      <w:pPr>
        <w:pStyle w:val="BodyText"/>
      </w:pPr>
      <w:r>
        <w:t xml:space="preserve">New Buys</w:t>
      </w:r>
      <w:r>
        <w:t xml:space="preserve"> </w:t>
      </w:r>
      <w:r>
        <w:t xml:space="preserve">Increases</w:t>
      </w:r>
      <w:r>
        <w:t xml:space="preserve"> </w:t>
      </w:r>
      <w:r>
        <w:t xml:space="preserve">Reductions</w:t>
      </w:r>
      <w:r>
        <w:t xml:space="preserve"> </w:t>
      </w:r>
      <w:r>
        <w:t xml:space="preserve">Exits</w:t>
      </w:r>
    </w:p>
    <w:bookmarkEnd w:id="25"/>
    <w:bookmarkStart w:id="26" w:name="activity-filter"/>
    <w:p>
      <w:pPr>
        <w:pStyle w:val="Heading3"/>
      </w:pPr>
      <w:r>
        <w:t xml:space="preserve">Activity Filter</w:t>
      </w:r>
    </w:p>
    <w:p>
      <w:pPr>
        <w:pStyle w:val="FirstParagraph"/>
      </w:pPr>
      <w:r>
        <w:t xml:space="preserve">Allow filtering by:</w:t>
      </w:r>
    </w:p>
    <w:p>
      <w:pPr>
        <w:pStyle w:val="BodyText"/>
      </w:pPr>
      <w:r>
        <w:t xml:space="preserve">ALL</w:t>
      </w:r>
      <w:r>
        <w:t xml:space="preserve"> </w:t>
      </w:r>
      <w:r>
        <w:t xml:space="preserve">NEW</w:t>
      </w:r>
      <w:r>
        <w:t xml:space="preserve"> </w:t>
      </w:r>
      <w:r>
        <w:t xml:space="preserve">INCREASED</w:t>
      </w:r>
      <w:r>
        <w:t xml:space="preserve"> </w:t>
      </w:r>
      <w:r>
        <w:t xml:space="preserve">REDUCED</w:t>
      </w:r>
      <w:r>
        <w:t xml:space="preserve"> </w:t>
      </w:r>
      <w:r>
        <w:t xml:space="preserve">EXITED</w:t>
      </w:r>
    </w:p>
    <w:p>
      <w:pPr>
        <w:pStyle w:val="BodyText"/>
      </w:pPr>
      <w:r>
        <w:t xml:space="preserve">Also provide ticker/company search.</w:t>
      </w:r>
    </w:p>
    <w:bookmarkEnd w:id="26"/>
    <w:bookmarkEnd w:id="27"/>
    <w:bookmarkStart w:id="28" w:name="transparency"/>
    <w:p>
      <w:pPr>
        <w:pStyle w:val="Heading2"/>
      </w:pPr>
      <w:r>
        <w:t xml:space="preserve">9. TRANSPARENCY</w:t>
      </w:r>
    </w:p>
    <w:p>
      <w:pPr>
        <w:pStyle w:val="FirstParagraph"/>
      </w:pPr>
      <w:r>
        <w:t xml:space="preserve">For each manager provide access to or identification of the relevant SEC filing.</w:t>
      </w:r>
    </w:p>
    <w:p>
      <w:pPr>
        <w:pStyle w:val="BodyText"/>
      </w:pPr>
      <w:r>
        <w:t xml:space="preserve">Clearly distinguish:</w:t>
      </w:r>
    </w:p>
    <w:p>
      <w:pPr>
        <w:pStyle w:val="BodyText"/>
      </w:pPr>
      <w:r>
        <w:t xml:space="preserve">SEC-verified data</w:t>
      </w:r>
    </w:p>
    <w:p>
      <w:pPr>
        <w:pStyle w:val="BodyText"/>
      </w:pPr>
      <w:r>
        <w:t xml:space="preserve">from</w:t>
      </w:r>
    </w:p>
    <w:p>
      <w:pPr>
        <w:pStyle w:val="BodyText"/>
      </w:pPr>
      <w:r>
        <w:t xml:space="preserve">any normalization/cross-check performed using secondary sources.</w:t>
      </w:r>
    </w:p>
    <w:p>
      <w:pPr>
        <w:pStyle w:val="BodyText"/>
      </w:pPr>
      <w:r>
        <w:t xml:space="preserve">Never fabricate missing holdings, tickers, share counts, percentages, or investor activity.</w:t>
      </w:r>
    </w:p>
    <w:p>
      <w:pPr>
        <w:pStyle w:val="BodyText"/>
      </w:pPr>
      <w:r>
        <w:t xml:space="preserve">If data cannot be verified, label it:</w:t>
      </w:r>
    </w:p>
    <w:p>
      <w:pPr>
        <w:pStyle w:val="BodyText"/>
      </w:pPr>
      <w:r>
        <w:rPr>
          <w:b/>
          <w:bCs/>
        </w:rPr>
        <w:t xml:space="preserve">Not verified / requires review</w:t>
      </w:r>
    </w:p>
    <w:p>
      <w:pPr>
        <w:pStyle w:val="BodyText"/>
      </w:pPr>
      <w:r>
        <w:t xml:space="preserve">rather than guessing.</w:t>
      </w:r>
    </w:p>
    <w:bookmarkEnd w:id="28"/>
    <w:bookmarkStart w:id="29" w:name="important-13f-limitations"/>
    <w:p>
      <w:pPr>
        <w:pStyle w:val="Heading2"/>
      </w:pPr>
      <w:r>
        <w:t xml:space="preserve">10. IMPORTANT 13F LIMITATIONS</w:t>
      </w:r>
    </w:p>
    <w:p>
      <w:pPr>
        <w:pStyle w:val="FirstParagraph"/>
      </w:pPr>
      <w:r>
        <w:t xml:space="preserve">Include a dashboard note explaining that:</w:t>
      </w:r>
    </w:p>
    <w:p>
      <w:pPr>
        <w:pStyle w:val="BodyText"/>
      </w:pPr>
      <w:r>
        <w:t xml:space="preserve">13F filings are delayed and may be filed up to approximately 45 days after quarter-end.</w:t>
      </w:r>
    </w:p>
    <w:p>
      <w:pPr>
        <w:pStyle w:val="BodyText"/>
      </w:pPr>
      <w:r>
        <w:t xml:space="preserve">13F filings primarily disclose certain U.S.-listed long securities.</w:t>
      </w:r>
    </w:p>
    <w:p>
      <w:pPr>
        <w:pStyle w:val="BodyText"/>
      </w:pPr>
      <w:r>
        <w:t xml:space="preserve">They do not provide a manager’s complete portfolio, ordinary short positions, cash exposure, or full hedging strategy.</w:t>
      </w:r>
    </w:p>
    <w:p>
      <w:pPr>
        <w:pStyle w:val="BodyText"/>
      </w:pPr>
      <w:r>
        <w:t xml:space="preserve">Therefore:</w:t>
      </w:r>
    </w:p>
    <w:p>
      <w:pPr>
        <w:pStyle w:val="BodyText"/>
      </w:pPr>
      <w:r>
        <w:rPr>
          <w:b/>
          <w:bCs/>
        </w:rPr>
        <w:t xml:space="preserve">13F activity is an idea-discovery signal, not a standalone BUY or SELL recommendation.</w:t>
      </w:r>
    </w:p>
    <w:bookmarkEnd w:id="29"/>
    <w:bookmarkStart w:id="30" w:name="final-output"/>
    <w:p>
      <w:pPr>
        <w:pStyle w:val="Heading2"/>
      </w:pPr>
      <w:r>
        <w:t xml:space="preserve">11. FINAL OUTPUT</w:t>
      </w:r>
    </w:p>
    <w:p>
      <w:pPr>
        <w:pStyle w:val="FirstParagraph"/>
      </w:pPr>
      <w:r>
        <w:t xml:space="preserve">Produce:</w:t>
      </w:r>
    </w:p>
    <w:p>
      <w:pPr>
        <w:pStyle w:val="Compact"/>
        <w:numPr>
          <w:ilvl w:val="0"/>
          <w:numId w:val="1006"/>
        </w:numPr>
      </w:pPr>
      <w:r>
        <w:t xml:space="preserve">Quarter summary</w:t>
      </w:r>
    </w:p>
    <w:p>
      <w:pPr>
        <w:pStyle w:val="Compact"/>
        <w:numPr>
          <w:ilvl w:val="0"/>
          <w:numId w:val="1006"/>
        </w:numPr>
      </w:pPr>
      <w:r>
        <w:t xml:space="preserve">Consensus Buys</w:t>
      </w:r>
    </w:p>
    <w:p>
      <w:pPr>
        <w:pStyle w:val="Compact"/>
        <w:numPr>
          <w:ilvl w:val="0"/>
          <w:numId w:val="1006"/>
        </w:numPr>
      </w:pPr>
      <w:r>
        <w:t xml:space="preserve">Consensus Sells / Reductions</w:t>
      </w:r>
    </w:p>
    <w:p>
      <w:pPr>
        <w:pStyle w:val="Compact"/>
        <w:numPr>
          <w:ilvl w:val="0"/>
          <w:numId w:val="1006"/>
        </w:numPr>
      </w:pPr>
      <w:r>
        <w:t xml:space="preserve">Mixed Activity</w:t>
      </w:r>
    </w:p>
    <w:p>
      <w:pPr>
        <w:pStyle w:val="Compact"/>
        <w:numPr>
          <w:ilvl w:val="0"/>
          <w:numId w:val="1006"/>
        </w:numPr>
      </w:pPr>
      <w:r>
        <w:t xml:space="preserve">Top New Positions</w:t>
      </w:r>
    </w:p>
    <w:p>
      <w:pPr>
        <w:pStyle w:val="Compact"/>
        <w:numPr>
          <w:ilvl w:val="0"/>
          <w:numId w:val="1006"/>
        </w:numPr>
      </w:pPr>
      <w:r>
        <w:t xml:space="preserve">Top Full Exits</w:t>
      </w:r>
    </w:p>
    <w:p>
      <w:pPr>
        <w:pStyle w:val="Compact"/>
        <w:numPr>
          <w:ilvl w:val="0"/>
          <w:numId w:val="1006"/>
        </w:numPr>
      </w:pPr>
      <w:r>
        <w:t xml:space="preserve">Complete investor-by-investor analysis</w:t>
      </w:r>
    </w:p>
    <w:p>
      <w:pPr>
        <w:pStyle w:val="Compact"/>
        <w:numPr>
          <w:ilvl w:val="0"/>
          <w:numId w:val="1006"/>
        </w:numPr>
      </w:pPr>
      <w:r>
        <w:t xml:space="preserve">Interactive HTML dashboard</w:t>
      </w:r>
    </w:p>
    <w:p>
      <w:pPr>
        <w:pStyle w:val="Compact"/>
        <w:numPr>
          <w:ilvl w:val="0"/>
          <w:numId w:val="1006"/>
        </w:numPr>
      </w:pPr>
      <w:r>
        <w:t xml:space="preserve">SEC source references</w:t>
      </w:r>
    </w:p>
    <w:p>
      <w:pPr>
        <w:pStyle w:val="Compact"/>
        <w:numPr>
          <w:ilvl w:val="0"/>
          <w:numId w:val="1006"/>
        </w:numPr>
      </w:pPr>
      <w:r>
        <w:t xml:space="preserve">Coverage confirmation</w:t>
      </w:r>
    </w:p>
    <w:p>
      <w:pPr>
        <w:pStyle w:val="FirstParagraph"/>
      </w:pPr>
      <w:r>
        <w:t xml:space="preserve">Do not declare the analysis complete until all 18 investors have either been successfully processed or explicitly identified as an SEC/reporting-structure exception.</w:t>
      </w:r>
    </w:p>
    <w:p>
      <w:pPr>
        <w:pStyle w:val="BodyText"/>
      </w:pPr>
      <w:r>
        <w:t xml:space="preserve">The final dashboard should prominently display:</w:t>
      </w:r>
    </w:p>
    <w:p>
      <w:pPr>
        <w:pStyle w:val="BodyText"/>
      </w:pPr>
      <w:r>
        <w:rPr>
          <w:b/>
          <w:bCs/>
        </w:rPr>
        <w:t xml:space="preserve">Investor Coverage: X / 18</w:t>
      </w:r>
    </w:p>
    <w:p>
      <w:pPr>
        <w:pStyle w:val="BodyText"/>
      </w:pPr>
      <w:r>
        <w:t xml:space="preserve">The goal is simple:</w:t>
      </w:r>
    </w:p>
    <w:p>
      <w:pPr>
        <w:pStyle w:val="BlockText"/>
      </w:pPr>
      <w:r>
        <w:rPr>
          <w:b/>
          <w:bCs/>
        </w:rPr>
        <w:t xml:space="preserve">Use actual SEC 13F filings to discover what highly regarded investors are buying and selling, while preserving enough detail to understand whether activity represents new conviction, accumulation, reduction, exit, consensus, or disagreement.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