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Media Protection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This Policy describes requirements for protecting </w:t>
      </w:r>
      <w:r w:rsidDel="00000000" w:rsidR="00000000" w:rsidRPr="00000000">
        <w:rPr>
          <w:rtl w:val="0"/>
        </w:rPr>
        <w:t xml:space="preserve">restricted SLEDS Information</w:t>
      </w:r>
      <w:r w:rsidDel="00000000" w:rsidR="00000000" w:rsidRPr="00000000">
        <w:rPr>
          <w:rtl w:val="0"/>
        </w:rPr>
        <w:t xml:space="preserve"> on media, including paper, external drives, workstations, and digital storage.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Scope</w:t>
      </w:r>
    </w:p>
    <w:p w:rsidR="00000000" w:rsidDel="00000000" w:rsidP="00000000" w:rsidRDefault="00000000" w:rsidRPr="00000000" w14:paraId="00000005">
      <w:pPr>
        <w:pageBreakBefore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This Policy applies to the SLEDS Environment, SLEDS Information, Participating Entities, and other parties authorized or responsible for carrying out SLEDS Policies.</w:t>
      </w:r>
    </w:p>
    <w:p w:rsidR="00000000" w:rsidDel="00000000" w:rsidP="00000000" w:rsidRDefault="00000000" w:rsidRPr="00000000" w14:paraId="00000006">
      <w:pPr>
        <w:pStyle w:val="Heading1"/>
        <w:pageBreakBefore w:val="0"/>
        <w:rPr/>
      </w:pPr>
      <w:bookmarkStart w:colFirst="0" w:colLast="0" w:name="_fkoe3gd0ga4g" w:id="0"/>
      <w:bookmarkEnd w:id="0"/>
      <w:r w:rsidDel="00000000" w:rsidR="00000000" w:rsidRPr="00000000">
        <w:rPr>
          <w:rtl w:val="0"/>
        </w:rPr>
        <w:t xml:space="preserve">Applicable Standards and Regulations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0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  <w:t xml:space="preserve">Federal Education Rights and Privacy Act (FERPA),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§20 U.S.C. § 1232g; 34 CFR Part 99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Unemployment Insurance Program Letter, No. 14-17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(dated March 23, 2017) regarding States' Responsibilities for Internal Security in the UI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0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  <w:t xml:space="preserve">Federal and State privacy and security rules and regulations governing SLEDS Information including, but not limited to e-CFR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§§ 99.1 - 99.67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200" w:lineRule="auto"/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NIST (SP) 800-171, Rev. 2</w:t>
        </w:r>
      </w:hyperlink>
      <w:r w:rsidDel="00000000" w:rsidR="00000000" w:rsidRPr="00000000">
        <w:rPr>
          <w:rtl w:val="0"/>
        </w:rPr>
        <w:t xml:space="preserve"> requirements and corresponding International Organization for Standardization/ International Electrotechnical Commission (ISO/ IEC) 27001 Security Controls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200" w:lineRule="auto"/>
        <w:ind w:left="720" w:hanging="360"/>
      </w:pPr>
      <w:r w:rsidDel="00000000" w:rsidR="00000000" w:rsidRPr="00000000">
        <w:rPr>
          <w:rtl w:val="0"/>
        </w:rPr>
        <w:t xml:space="preserve">State of Wyoming Information Technology Policies and Standards, including but not limited to: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44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General Policies and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44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Security and Privacy Policies and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44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Information Management and Control, Document Management Policies and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Facilities, Logistics, Natural Resources and Environmental Policies and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Plans and Operations; Research and Development 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144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Manpower and Personnel Policies and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rPr/>
      </w:pPr>
      <w:bookmarkStart w:colFirst="0" w:colLast="0" w:name="_cg78tr2oat4t" w:id="1"/>
      <w:bookmarkEnd w:id="1"/>
      <w:r w:rsidDel="00000000" w:rsidR="00000000" w:rsidRPr="00000000">
        <w:rPr>
          <w:rtl w:val="0"/>
        </w:rPr>
        <w:t xml:space="preserve">Policy Statements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The State of Wyoming’s technology policies and standards are the minimum control requirements. More restrictive controls shall apply to the SLEDS Environment as provided in this Policy.</w:t>
      </w:r>
    </w:p>
    <w:p w:rsidR="00000000" w:rsidDel="00000000" w:rsidP="00000000" w:rsidRDefault="00000000" w:rsidRPr="00000000" w14:paraId="0000001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972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9675"/>
        <w:gridCol w:w="9521"/>
        <w:tblGridChange w:id="0">
          <w:tblGrid>
            <w:gridCol w:w="525"/>
            <w:gridCol w:w="9675"/>
            <w:gridCol w:w="95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Participating Entities shall remove SLEDS Data from electronic devices and electronic media under their control or ownership in alignment with Wyoming State IT Policy </w:t>
            </w: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09400-P164 Policy Preparation of Electronic Devices and Media for Disposal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before="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Participating Entities shall manage their logical and physical access controls of the hardware and software that processes SLEDS data in a meaningful way in alignment with the </w:t>
            </w: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SLEDS Access Control Policy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and the</w:t>
            </w:r>
            <w:r w:rsidDel="00000000" w:rsidR="00000000" w:rsidRPr="00000000">
              <w:rPr>
                <w:rFonts w:ascii="Lato" w:cs="Lato" w:eastAsia="Lato" w:hAnsi="Lato"/>
                <w:color w:val="1155cc"/>
                <w:u w:val="single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Access Control Procedure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This includes applications, peripherals, removable media, other components and could be one computer or a network of computers, as stated in the Wyoming State IT Policy.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WCCC IT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staff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shall document and confirm proper authorization controls for restricted information, including Personally Identifiable Information (PII).  This policy will be enforced to ensure proper access controls in alignment with </w:t>
            </w: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SLEDS Identification and Authentication Policy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, the </w:t>
            </w:r>
            <w:hyperlink r:id="rId20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SLEDS Access Control Policy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, and the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Access Control Procedure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All electronic devices and media storing SLEDS Information will be erased, encrypted, sanitized or destroyed in alignment with the </w:t>
            </w:r>
            <w:hyperlink r:id="rId22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SLEDS Data Destruction Policy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and the </w:t>
            </w:r>
            <w:hyperlink r:id="rId23">
              <w:r w:rsidDel="00000000" w:rsidR="00000000" w:rsidRPr="00000000">
                <w:rPr>
                  <w:rFonts w:ascii="Lato" w:cs="Lato" w:eastAsia="Lato" w:hAnsi="Lato"/>
                  <w:color w:val="1155cc"/>
                  <w:u w:val="single"/>
                  <w:rtl w:val="0"/>
                </w:rPr>
                <w:t xml:space="preserve">Data Destruction Procedure</w:t>
              </w:r>
            </w:hyperlink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All workstations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networked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to the SLEDS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Environment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shall maintain current Windows and software updates.  All WCCC workstations shall employ drive-level encryption.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No USB or other removable devices shall be utilized or allowed to store SLEDS Information.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WCCC may conduct scans to enforce controls restricting the use of USB drives or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other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removable devices.</w:t>
            </w:r>
          </w:p>
        </w:tc>
      </w:tr>
    </w:tbl>
    <w:p w:rsidR="00000000" w:rsidDel="00000000" w:rsidP="00000000" w:rsidRDefault="00000000" w:rsidRPr="00000000" w14:paraId="00000023">
      <w:pPr>
        <w:pStyle w:val="Heading1"/>
        <w:pageBreakBefore w:val="0"/>
        <w:rPr>
          <w:sz w:val="22"/>
          <w:szCs w:val="22"/>
        </w:rPr>
      </w:pPr>
      <w:bookmarkStart w:colFirst="0" w:colLast="0" w:name="_tdx07shf9lqt" w:id="2"/>
      <w:bookmarkEnd w:id="2"/>
      <w:r w:rsidDel="00000000" w:rsidR="00000000" w:rsidRPr="00000000">
        <w:rPr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Additional and supporting information can be found using the following resources: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200" w:lineRule="auto"/>
        <w:ind w:left="720" w:hanging="36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SLEDS Glossary of Defined Terms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720" w:hanging="36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SLEDS Policy and Procedure Inventory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after="0" w:before="0" w:lineRule="auto"/>
        <w:ind w:left="720" w:hanging="360"/>
      </w:pPr>
      <w:hyperlink r:id="rId2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SLEDS Data Research Request Process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720" w:hanging="36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U.S. Department of Education FERPA Guidance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ind w:left="72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PTAC Guidance on Integrated Data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Rule="auto"/>
        <w:ind w:left="72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PTAC Summary of FERPA Exceptions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Rule="auto"/>
        <w:rPr>
          <w:rFonts w:ascii="Lato" w:cs="Lato" w:eastAsia="Lato" w:hAnsi="Lato"/>
          <w:i w:val="0"/>
          <w:sz w:val="32"/>
          <w:szCs w:val="32"/>
        </w:rPr>
      </w:pPr>
      <w:r w:rsidDel="00000000" w:rsidR="00000000" w:rsidRPr="00000000">
        <w:rPr>
          <w:rtl w:val="0"/>
        </w:rPr>
        <w:t xml:space="preserve">For questions or concerns related to this Policy, please contact the Wyoming Community College Commission  Chief Technology Officer (CTO) at (307) 777-7763.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Lines w:val="1"/>
        <w:pageBreakBefore w:val="0"/>
        <w:spacing w:after="0" w:before="0" w:line="312" w:lineRule="auto"/>
        <w:rPr>
          <w:rFonts w:ascii="Lato" w:cs="Lato" w:eastAsia="Lato" w:hAnsi="Lato"/>
          <w:b w:val="0"/>
          <w:color w:val="073763"/>
          <w:sz w:val="16"/>
          <w:szCs w:val="16"/>
        </w:rPr>
      </w:pPr>
      <w:bookmarkStart w:colFirst="0" w:colLast="0" w:name="_fmjz8m2wkvg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keepLines w:val="1"/>
        <w:pageBreakBefore w:val="0"/>
        <w:spacing w:after="0" w:before="0" w:line="312" w:lineRule="auto"/>
        <w:rPr>
          <w:rFonts w:ascii="Lato" w:cs="Lato" w:eastAsia="Lato" w:hAnsi="Lato"/>
          <w:i w:val="0"/>
          <w:sz w:val="32"/>
          <w:szCs w:val="32"/>
        </w:rPr>
      </w:pPr>
      <w:bookmarkStart w:colFirst="0" w:colLast="0" w:name="_ws5yt6988pba" w:id="4"/>
      <w:bookmarkEnd w:id="4"/>
      <w:r w:rsidDel="00000000" w:rsidR="00000000" w:rsidRPr="00000000">
        <w:rPr>
          <w:rFonts w:ascii="Lato" w:cs="Lato" w:eastAsia="Lato" w:hAnsi="Lato"/>
          <w:i w:val="0"/>
          <w:sz w:val="32"/>
          <w:szCs w:val="32"/>
          <w:rtl w:val="0"/>
        </w:rPr>
        <w:t xml:space="preserve">Revision History</w:t>
      </w:r>
    </w:p>
    <w:tbl>
      <w:tblPr>
        <w:tblStyle w:val="Table2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45"/>
        <w:gridCol w:w="1785"/>
        <w:gridCol w:w="3345"/>
        <w:gridCol w:w="2685"/>
        <w:tblGridChange w:id="0">
          <w:tblGrid>
            <w:gridCol w:w="1545"/>
            <w:gridCol w:w="1785"/>
            <w:gridCol w:w="3345"/>
            <w:gridCol w:w="268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Revision #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Revision Date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Summary of Changes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Changes marked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Approved Policy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11/17/2020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Included cross-references to additional policies and procedures.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in </w:t>
            </w:r>
            <w:r w:rsidDel="00000000" w:rsidR="00000000" w:rsidRPr="00000000">
              <w:rPr>
                <w:color w:val="ff0000"/>
                <w:sz w:val="22"/>
                <w:szCs w:val="22"/>
                <w:u w:val="single"/>
                <w:rtl w:val="0"/>
              </w:rPr>
              <w:t xml:space="preserve">Red font and underlined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11/24/2020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Accepted changes from 1.1 and rebaselined.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6/21/2021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Updated policy references to revised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NIST (SP) 800-171, Rev. 2</w:t>
              </w:r>
            </w:hyperlink>
            <w:r w:rsidDel="00000000" w:rsidR="00000000" w:rsidRPr="00000000">
              <w:rPr>
                <w:rtl w:val="0"/>
              </w:rPr>
              <w:t xml:space="preserve">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keepLines w:val="1"/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00" w:line="312" w:lineRule="auto"/>
        <w:rPr>
          <w:rFonts w:ascii="Lato" w:cs="Lato" w:eastAsia="Lato" w:hAnsi="Lato"/>
          <w:i w:val="0"/>
          <w:sz w:val="32"/>
          <w:szCs w:val="32"/>
        </w:rPr>
      </w:pPr>
      <w:bookmarkStart w:colFirst="0" w:colLast="0" w:name="_23kihh8mflkh" w:id="5"/>
      <w:bookmarkEnd w:id="5"/>
      <w:r w:rsidDel="00000000" w:rsidR="00000000" w:rsidRPr="00000000">
        <w:rPr>
          <w:rFonts w:ascii="Lato" w:cs="Lato" w:eastAsia="Lato" w:hAnsi="Lato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rtl w:val="0"/>
        </w:rPr>
        <w:t xml:space="preserve">Approvals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/>
      </w:pPr>
      <w:r w:rsidDel="00000000" w:rsidR="00000000" w:rsidRPr="00000000">
        <w:rPr>
          <w:rtl w:val="0"/>
        </w:rPr>
        <w:t xml:space="preserve">This policy requires the following approvals:  </w:t>
      </w:r>
    </w:p>
    <w:tbl>
      <w:tblPr>
        <w:tblStyle w:val="Table3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950"/>
        <w:gridCol w:w="4410"/>
        <w:tblGridChange w:id="0">
          <w:tblGrid>
            <w:gridCol w:w="4950"/>
            <w:gridCol w:w="441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Security Subcommittee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v1.2: 11/24/1010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Governance Committee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v1.2: N/A, Approval not needed since only minor changes incorporated and no changes to the policy itself were made.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31" w:type="default"/>
      <w:headerReference r:id="rId32" w:type="first"/>
      <w:headerReference r:id="rId33" w:type="even"/>
      <w:footerReference r:id="rId34" w:type="default"/>
      <w:footerReference r:id="rId35" w:type="first"/>
      <w:footerReference r:id="rId36" w:type="even"/>
      <w:pgSz w:h="15840" w:w="12240" w:orient="portrait"/>
      <w:pgMar w:bottom="1440" w:top="1440" w:left="1080" w:right="108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/>
      <w:drawing>
        <wp:inline distB="114300" distT="114300" distL="114300" distR="114300">
          <wp:extent cx="1350169" cy="13287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0169" cy="1328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Wyoming SLEDS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libri" w:cs="Calibri" w:eastAsia="Calibri" w:hAnsi="Calibri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libri" w:cs="Calibri" w:eastAsia="Calibri" w:hAnsi="Calibri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rFonts w:ascii="Calibri" w:cs="Calibri" w:eastAsia="Calibri" w:hAnsi="Calibri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yaj5y70bQAtYY7gnaXBIZFh0KsGsDBE2nPHRXG0o634/edit?usp=sharing" TargetMode="External"/><Relationship Id="rId22" Type="http://schemas.openxmlformats.org/officeDocument/2006/relationships/hyperlink" Target="https://docs.google.com/document/d/1t8o361rOCRJZFSDJrFfIX2ctaYKWlayA2_laH5Y4g-g/edit" TargetMode="External"/><Relationship Id="rId21" Type="http://schemas.openxmlformats.org/officeDocument/2006/relationships/hyperlink" Target="https://docs.google.com/document/d/1SOnBZ4xKW_2yvp4M2KBZVUyfAKILw07HWo8k7p4js-A/edit" TargetMode="External"/><Relationship Id="rId24" Type="http://schemas.openxmlformats.org/officeDocument/2006/relationships/hyperlink" Target="https://docs.google.com/document/d/1_Im9iujOTJ_kIkbDNMfBABWkPYysFLustW4ia0mLoHs/edit#" TargetMode="External"/><Relationship Id="rId23" Type="http://schemas.openxmlformats.org/officeDocument/2006/relationships/hyperlink" Target="https://docs.google.com/document/d/11Ki-peHjYJlwszvmESqaCQWRQsXudmfY8pWMJGSbYk4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vlpubs.nist.gov/nistpubs/SpecialPublications/NIST.SP.800-171r2.pdf" TargetMode="External"/><Relationship Id="rId26" Type="http://schemas.openxmlformats.org/officeDocument/2006/relationships/hyperlink" Target="https://docs.google.com/document/d/1JuZsHks1hhexjJwbSd4gwmUvMYGzYoTha6E1BJkYTZI/edit" TargetMode="External"/><Relationship Id="rId25" Type="http://schemas.openxmlformats.org/officeDocument/2006/relationships/hyperlink" Target="https://docs.google.com/spreadsheets/d/1_rOCVJux4kfzYjs6963l2MYuLN3iSF0hYZH01BmvYbU/edit#gid=1266995384" TargetMode="External"/><Relationship Id="rId28" Type="http://schemas.openxmlformats.org/officeDocument/2006/relationships/hyperlink" Target="https://studentprivacy.ed.gov/resources/integrated-data-systems-and-student-privacy" TargetMode="External"/><Relationship Id="rId27" Type="http://schemas.openxmlformats.org/officeDocument/2006/relationships/hyperlink" Target="https://www2.ed.gov/policy/gen/guid/fpco/ferpa/index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aw.cornell.edu/uscode/text/20/1232g" TargetMode="External"/><Relationship Id="rId29" Type="http://schemas.openxmlformats.org/officeDocument/2006/relationships/hyperlink" Target="https://studentprivacy.ed.gov/sites/default/files/resource_document/file/FERPA%20Exceptions_HANDOUT_portrait.pdf" TargetMode="External"/><Relationship Id="rId7" Type="http://schemas.openxmlformats.org/officeDocument/2006/relationships/hyperlink" Target="https://wdr.doleta.gov/directives/attach/UIPL/UIPL_14-17.pdf" TargetMode="External"/><Relationship Id="rId8" Type="http://schemas.openxmlformats.org/officeDocument/2006/relationships/hyperlink" Target="https://www.ecfr.gov/cgi-bin/text-idx?SID=21a8457a1789d118dcdce055ca195995&amp;mc=true&amp;tpl=/ecfrbrowse/Title34/34cfr99_main_02.tpl" TargetMode="External"/><Relationship Id="rId31" Type="http://schemas.openxmlformats.org/officeDocument/2006/relationships/header" Target="header2.xml"/><Relationship Id="rId30" Type="http://schemas.openxmlformats.org/officeDocument/2006/relationships/hyperlink" Target="https://nvlpubs.nist.gov/nistpubs/SpecialPublications/NIST.SP.800-171r2.pdf" TargetMode="External"/><Relationship Id="rId11" Type="http://schemas.openxmlformats.org/officeDocument/2006/relationships/hyperlink" Target="http://ets.wyo.gov/resources/policies-and-standards/09000-security" TargetMode="External"/><Relationship Id="rId33" Type="http://schemas.openxmlformats.org/officeDocument/2006/relationships/header" Target="header3.xml"/><Relationship Id="rId10" Type="http://schemas.openxmlformats.org/officeDocument/2006/relationships/hyperlink" Target="http://ets.wyo.gov/resources/policies-and-standards/10000-general" TargetMode="External"/><Relationship Id="rId32" Type="http://schemas.openxmlformats.org/officeDocument/2006/relationships/header" Target="header1.xml"/><Relationship Id="rId13" Type="http://schemas.openxmlformats.org/officeDocument/2006/relationships/hyperlink" Target="http://ets.wyo.gov/resources/policies-and-standards/04000-facilities" TargetMode="External"/><Relationship Id="rId35" Type="http://schemas.openxmlformats.org/officeDocument/2006/relationships/footer" Target="footer3.xml"/><Relationship Id="rId12" Type="http://schemas.openxmlformats.org/officeDocument/2006/relationships/hyperlink" Target="http://ets.wyo.gov/resources/policies-and-standards/08000-documents" TargetMode="External"/><Relationship Id="rId34" Type="http://schemas.openxmlformats.org/officeDocument/2006/relationships/footer" Target="footer1.xml"/><Relationship Id="rId15" Type="http://schemas.openxmlformats.org/officeDocument/2006/relationships/hyperlink" Target="http://ets.wyo.gov/resources/policies-and-standards" TargetMode="External"/><Relationship Id="rId14" Type="http://schemas.openxmlformats.org/officeDocument/2006/relationships/hyperlink" Target="http://ets.wyo.gov/resources/policies-and-standards/03000-plans" TargetMode="External"/><Relationship Id="rId36" Type="http://schemas.openxmlformats.org/officeDocument/2006/relationships/footer" Target="footer2.xml"/><Relationship Id="rId17" Type="http://schemas.openxmlformats.org/officeDocument/2006/relationships/hyperlink" Target="https://docs.google.com/document/d/1yaj5y70bQAtYY7gnaXBIZFh0KsGsDBE2nPHRXG0o634/edit?usp=sharing" TargetMode="External"/><Relationship Id="rId16" Type="http://schemas.openxmlformats.org/officeDocument/2006/relationships/hyperlink" Target="https://docs.google.com/document/d/1DvrpDED4WwDdtTdjRPyYVLtqwyVJI5m3HGdp5jcWJSs/edit" TargetMode="External"/><Relationship Id="rId19" Type="http://schemas.openxmlformats.org/officeDocument/2006/relationships/hyperlink" Target="https://docs.google.com/document/d/1aURaTkelS-Uqkibtu8Fmg247WfYhdkEUlXbyL50tqWk/edit?usp=sharing" TargetMode="External"/><Relationship Id="rId18" Type="http://schemas.openxmlformats.org/officeDocument/2006/relationships/hyperlink" Target="https://docs.google.com/document/d/1SOnBZ4xKW_2yvp4M2KBZVUyfAKILw07HWo8k7p4js-A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