
<file path=[Content_Types].xml><?xml version="1.0" encoding="utf-8"?>
<Types xmlns="http://schemas.openxmlformats.org/package/2006/content-types">
  <Default Extension="emf" ContentType="image/x-emf"/>
  <Default Extension="jpeg" ContentType="image/jpeg"/>
  <Default Extension="JPG" ContentType="image/jpeg"/>
  <Default Extension="json" ContentType="application/vnd.baytech.electronic-signing-metadata+jso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electronic-signing-metadata" Target="baytech/electronic-signing-metadata.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4EA1" w14:textId="451A97D4" w:rsidR="004B4820" w:rsidRDefault="00416DC6" w:rsidP="00546B3C">
      <w:pPr>
        <w:pStyle w:val="Title"/>
        <w:tabs>
          <w:tab w:val="left" w:pos="6849"/>
        </w:tabs>
        <w:spacing w:before="7440" w:after="240"/>
      </w:pPr>
      <w:bookmarkStart w:id="0" w:name="_Hlk204264849"/>
      <w:r>
        <w:rPr>
          <w:noProof/>
        </w:rPr>
        <w:drawing>
          <wp:anchor distT="0" distB="0" distL="114300" distR="114300" simplePos="0" relativeHeight="251658244" behindDoc="0" locked="0" layoutInCell="1" allowOverlap="1" wp14:anchorId="6C151875" wp14:editId="6781FFD2">
            <wp:simplePos x="0" y="0"/>
            <wp:positionH relativeFrom="margin">
              <wp:posOffset>-6647815</wp:posOffset>
            </wp:positionH>
            <wp:positionV relativeFrom="paragraph">
              <wp:posOffset>-1468120</wp:posOffset>
            </wp:positionV>
            <wp:extent cx="12543555" cy="6120000"/>
            <wp:effectExtent l="0" t="0" r="0" b="0"/>
            <wp:wrapNone/>
            <wp:docPr id="4431240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2543555" cy="61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820">
        <w:rPr>
          <w:rFonts w:ascii="Arial" w:eastAsia="Arial" w:hAnsi="Arial" w:cs="Times New Roman"/>
          <w:noProof/>
          <w:color w:val="auto"/>
          <w:spacing w:val="0"/>
          <w:kern w:val="0"/>
          <w:sz w:val="20"/>
          <w:szCs w:val="22"/>
        </w:rPr>
        <mc:AlternateContent>
          <mc:Choice Requires="wps">
            <w:drawing>
              <wp:anchor distT="0" distB="0" distL="114300" distR="114300" simplePos="0" relativeHeight="251658240" behindDoc="1" locked="0" layoutInCell="1" allowOverlap="1" wp14:anchorId="4EE54D12" wp14:editId="262B3E69">
                <wp:simplePos x="0" y="0"/>
                <wp:positionH relativeFrom="page">
                  <wp:align>right</wp:align>
                </wp:positionH>
                <wp:positionV relativeFrom="paragraph">
                  <wp:posOffset>2464435</wp:posOffset>
                </wp:positionV>
                <wp:extent cx="7557770" cy="7533342"/>
                <wp:effectExtent l="0" t="0" r="5080" b="0"/>
                <wp:wrapNone/>
                <wp:docPr id="127421496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7770" cy="7533342"/>
                        </a:xfrm>
                        <a:prstGeom prst="rect">
                          <a:avLst/>
                        </a:prstGeom>
                        <a:solidFill>
                          <a:srgbClr val="005672"/>
                        </a:solidFill>
                        <a:ln w="12700" cap="flat" cmpd="sng" algn="ctr">
                          <a:noFill/>
                          <a:prstDash val="solid"/>
                          <a:miter lim="800000"/>
                        </a:ln>
                        <a:effectLst/>
                      </wps:spPr>
                      <wps:bodyPr rot="0" spcFirstLastPara="0" vertOverflow="overflow" horzOverflow="overflow" vert="horz" wrap="square" lIns="270000" tIns="90000" rIns="14400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2DB3D" id="Rectangle 1" o:spid="_x0000_s1026" alt="&quot;&quot;" style="position:absolute;margin-left:543.9pt;margin-top:194.05pt;width:595.1pt;height:593.2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" fillcolor="#005672" stroked="f" strokeweight="1pt">
                <v:textbox inset="7.5mm,2.5mm,4mm,2.5mm"/>
                <w10:wrap anchorx="page"/>
              </v:rect>
            </w:pict>
          </mc:Fallback>
        </mc:AlternateContent>
      </w:r>
      <w:r w:rsidR="1037E9BA">
        <w:t xml:space="preserve">Gulf of Carpentaria </w:t>
      </w:r>
      <w:r w:rsidR="1037E9BA" w:rsidRPr="00546B3C">
        <w:rPr>
          <w:sz w:val="74"/>
          <w:szCs w:val="74"/>
        </w:rPr>
        <w:t>inshore</w:t>
      </w:r>
      <w:r w:rsidR="4BF8E6D7">
        <w:t xml:space="preserve"> fishery</w:t>
      </w:r>
      <w:r w:rsidR="004B4820">
        <w:t xml:space="preserve"> </w:t>
      </w:r>
      <w:r w:rsidR="63F75D8E">
        <w:t>h</w:t>
      </w:r>
      <w:r w:rsidR="0C4FEDCD" w:rsidRPr="009B1C7C">
        <w:t xml:space="preserve">arvest </w:t>
      </w:r>
      <w:r w:rsidR="63F75D8E">
        <w:t>s</w:t>
      </w:r>
      <w:r w:rsidR="0C4FEDCD" w:rsidRPr="009B1C7C">
        <w:t>trategy</w:t>
      </w:r>
      <w:r w:rsidR="63F75D8E">
        <w:t>:</w:t>
      </w:r>
      <w:r w:rsidR="0C4FEDCD" w:rsidRPr="009B1C7C">
        <w:t xml:space="preserve"> 20</w:t>
      </w:r>
      <w:r w:rsidR="2BDBD9C9">
        <w:t>2</w:t>
      </w:r>
      <w:r w:rsidR="0049767B">
        <w:t>7</w:t>
      </w:r>
      <w:r w:rsidR="63F75D8E">
        <w:t>–</w:t>
      </w:r>
      <w:r w:rsidR="0C4FEDCD" w:rsidRPr="009B1C7C">
        <w:t>20</w:t>
      </w:r>
      <w:r w:rsidR="004E4234">
        <w:t>31</w:t>
      </w:r>
    </w:p>
    <w:p w14:paraId="1B4674F5" w14:textId="77777777" w:rsidR="00321BD7" w:rsidRPr="004B747D" w:rsidRDefault="00321BD7" w:rsidP="004B747D">
      <w:pPr>
        <w:pBdr>
          <w:bottom w:val="single" w:sz="4" w:space="1" w:color="FFFFFF" w:themeColor="background1"/>
        </w:pBdr>
      </w:pPr>
    </w:p>
    <w:p w14:paraId="2209ED6D" w14:textId="778DF03E" w:rsidR="009B1C7C" w:rsidRPr="003E4EF8" w:rsidRDefault="12740934" w:rsidP="00C6151F">
      <w:pPr>
        <w:pStyle w:val="Subtitle"/>
        <w:spacing w:before="480"/>
        <w:rPr>
          <w:rFonts w:asciiTheme="majorHAnsi" w:hAnsiTheme="majorHAnsi"/>
          <w:color w:val="auto"/>
          <w:sz w:val="24"/>
          <w:szCs w:val="24"/>
        </w:rPr>
      </w:pPr>
      <w:r>
        <w:t>CONSULTATION DRAFT</w:t>
      </w:r>
    </w:p>
    <w:bookmarkEnd w:id="0"/>
    <w:p w14:paraId="71E622F8" w14:textId="455419E8" w:rsidR="00963406" w:rsidRPr="004D3435" w:rsidRDefault="00AB3BE0" w:rsidP="004D3435">
      <w:pPr>
        <w:spacing w:after="120" w:line="300" w:lineRule="atLeast"/>
        <w:rPr>
          <w:rFonts w:asciiTheme="minorHAnsi" w:hAnsiTheme="minorHAnsi"/>
        </w:rPr>
      </w:pPr>
      <w:r>
        <w:rPr>
          <w:noProof/>
        </w:rPr>
        <w:drawing>
          <wp:anchor distT="0" distB="0" distL="114300" distR="114300" simplePos="0" relativeHeight="251658243" behindDoc="0" locked="0" layoutInCell="1" allowOverlap="1" wp14:anchorId="1624C47E" wp14:editId="56CADE3D">
            <wp:simplePos x="0" y="0"/>
            <wp:positionH relativeFrom="margin">
              <wp:align>right</wp:align>
            </wp:positionH>
            <wp:positionV relativeFrom="paragraph">
              <wp:posOffset>1034415</wp:posOffset>
            </wp:positionV>
            <wp:extent cx="3200400" cy="541655"/>
            <wp:effectExtent l="0" t="0" r="0" b="0"/>
            <wp:wrapNone/>
            <wp:docPr id="49643579" name="Picture 3" descr="Queensland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75329" name="Picture 3" descr="Queensland Government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2E7FAD" w:rsidRPr="00097483">
        <w:rPr>
          <w:rFonts w:asciiTheme="minorHAnsi" w:hAnsiTheme="minorHAnsi" w:cstheme="minorHAnsi"/>
        </w:rPr>
        <w:br w:type="page"/>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Endorsement and approval"/>
      </w:tblPr>
      <w:tblGrid>
        <w:gridCol w:w="2310"/>
        <w:gridCol w:w="6932"/>
      </w:tblGrid>
      <w:tr w:rsidR="009F3883" w14:paraId="7B8D4024" w14:textId="77777777" w:rsidTr="00E45670">
        <w:trPr>
          <w:tblHeader/>
        </w:trPr>
        <w:tc>
          <w:tcPr>
            <w:tcW w:w="2310" w:type="dxa"/>
            <w:noWrap/>
          </w:tcPr>
          <w:p w14:paraId="24D88306" w14:textId="0341A1C8" w:rsidR="0086485E" w:rsidRPr="00135275" w:rsidRDefault="002E7FAD" w:rsidP="0086485E">
            <w:pPr>
              <w:pStyle w:val="BodyText"/>
              <w:widowControl w:val="0"/>
              <w:rPr>
                <w:rFonts w:ascii="Noto Sans" w:hAnsi="Noto Sans" w:cs="Noto Sans"/>
                <w:sz w:val="18"/>
                <w:szCs w:val="18"/>
              </w:rPr>
            </w:pPr>
            <w:r w:rsidRPr="00135275">
              <w:rPr>
                <w:rFonts w:ascii="Noto Sans" w:hAnsi="Noto Sans" w:cs="Noto Sans"/>
                <w:sz w:val="18"/>
                <w:szCs w:val="18"/>
              </w:rPr>
              <w:lastRenderedPageBreak/>
              <w:t xml:space="preserve">Business </w:t>
            </w:r>
            <w:r w:rsidR="000C339D" w:rsidRPr="00135275">
              <w:rPr>
                <w:rFonts w:ascii="Noto Sans" w:hAnsi="Noto Sans" w:cs="Noto Sans"/>
                <w:sz w:val="18"/>
                <w:szCs w:val="18"/>
              </w:rPr>
              <w:t>a</w:t>
            </w:r>
            <w:r w:rsidR="00141527" w:rsidRPr="00135275">
              <w:rPr>
                <w:rFonts w:ascii="Noto Sans" w:hAnsi="Noto Sans" w:cs="Noto Sans"/>
                <w:sz w:val="18"/>
                <w:szCs w:val="18"/>
              </w:rPr>
              <w:t xml:space="preserve">rea </w:t>
            </w:r>
            <w:r w:rsidR="005601FB" w:rsidRPr="00135275">
              <w:rPr>
                <w:rFonts w:ascii="Noto Sans" w:hAnsi="Noto Sans" w:cs="Noto Sans"/>
                <w:sz w:val="18"/>
                <w:szCs w:val="18"/>
              </w:rPr>
              <w:t>o</w:t>
            </w:r>
            <w:r w:rsidRPr="00135275">
              <w:rPr>
                <w:rFonts w:ascii="Noto Sans" w:hAnsi="Noto Sans" w:cs="Noto Sans"/>
                <w:sz w:val="18"/>
                <w:szCs w:val="18"/>
              </w:rPr>
              <w:t>wner</w:t>
            </w:r>
          </w:p>
        </w:tc>
        <w:tc>
          <w:tcPr>
            <w:tcW w:w="6932" w:type="dxa"/>
            <w:noWrap/>
          </w:tcPr>
          <w:p w14:paraId="21274BA2" w14:textId="2F9F95E8" w:rsidR="0086485E" w:rsidRPr="00135275" w:rsidRDefault="002E7FAD" w:rsidP="0086485E">
            <w:pPr>
              <w:pStyle w:val="BodyText"/>
              <w:widowControl w:val="0"/>
              <w:ind w:left="-96"/>
              <w:rPr>
                <w:rFonts w:ascii="Noto Sans" w:hAnsi="Noto Sans" w:cs="Noto Sans"/>
                <w:sz w:val="18"/>
                <w:szCs w:val="18"/>
              </w:rPr>
            </w:pPr>
            <w:r w:rsidRPr="00135275">
              <w:rPr>
                <w:rFonts w:ascii="Noto Sans" w:hAnsi="Noto Sans" w:cs="Noto Sans"/>
                <w:sz w:val="18"/>
                <w:szCs w:val="18"/>
              </w:rPr>
              <w:t>Management &amp; Reform</w:t>
            </w:r>
          </w:p>
        </w:tc>
      </w:tr>
      <w:tr w:rsidR="009F3883" w14:paraId="71185CA3" w14:textId="77777777" w:rsidTr="0086485E">
        <w:tc>
          <w:tcPr>
            <w:tcW w:w="2310" w:type="dxa"/>
            <w:noWrap/>
          </w:tcPr>
          <w:p w14:paraId="74E2B16A" w14:textId="77777777" w:rsidR="0086485E" w:rsidRPr="00135275" w:rsidRDefault="002E7FAD" w:rsidP="0086485E">
            <w:pPr>
              <w:pStyle w:val="BodyText"/>
              <w:widowControl w:val="0"/>
              <w:rPr>
                <w:rFonts w:ascii="Noto Sans" w:hAnsi="Noto Sans" w:cs="Noto Sans"/>
                <w:sz w:val="18"/>
                <w:szCs w:val="18"/>
              </w:rPr>
            </w:pPr>
            <w:r w:rsidRPr="00135275">
              <w:rPr>
                <w:rFonts w:ascii="Noto Sans" w:hAnsi="Noto Sans" w:cs="Noto Sans"/>
                <w:sz w:val="18"/>
                <w:szCs w:val="18"/>
              </w:rPr>
              <w:t>Endorsed by</w:t>
            </w:r>
          </w:p>
        </w:tc>
        <w:tc>
          <w:tcPr>
            <w:tcW w:w="6932" w:type="dxa"/>
            <w:noWrap/>
          </w:tcPr>
          <w:p w14:paraId="37BD37F4" w14:textId="44AC5329" w:rsidR="0086485E" w:rsidRPr="00135275" w:rsidRDefault="0086485E" w:rsidP="0086485E">
            <w:pPr>
              <w:pStyle w:val="BodyText"/>
              <w:widowControl w:val="0"/>
              <w:ind w:left="-96"/>
              <w:rPr>
                <w:rFonts w:ascii="Noto Sans" w:hAnsi="Noto Sans" w:cs="Noto Sans"/>
                <w:sz w:val="18"/>
                <w:szCs w:val="18"/>
              </w:rPr>
            </w:pPr>
          </w:p>
        </w:tc>
      </w:tr>
      <w:tr w:rsidR="009F3883" w14:paraId="7E235713" w14:textId="77777777" w:rsidTr="0086485E">
        <w:tc>
          <w:tcPr>
            <w:tcW w:w="2310" w:type="dxa"/>
            <w:noWrap/>
          </w:tcPr>
          <w:p w14:paraId="4EA6C09E" w14:textId="77777777" w:rsidR="0086485E" w:rsidRPr="00135275" w:rsidRDefault="002E7FAD" w:rsidP="0086485E">
            <w:pPr>
              <w:pStyle w:val="BodyText"/>
              <w:widowControl w:val="0"/>
              <w:rPr>
                <w:rFonts w:ascii="Noto Sans" w:hAnsi="Noto Sans" w:cs="Noto Sans"/>
                <w:sz w:val="18"/>
                <w:szCs w:val="18"/>
              </w:rPr>
            </w:pPr>
            <w:r w:rsidRPr="00135275">
              <w:rPr>
                <w:rFonts w:ascii="Noto Sans" w:hAnsi="Noto Sans" w:cs="Noto Sans"/>
                <w:sz w:val="18"/>
                <w:szCs w:val="18"/>
              </w:rPr>
              <w:t>Approved by</w:t>
            </w:r>
          </w:p>
        </w:tc>
        <w:tc>
          <w:tcPr>
            <w:tcW w:w="6932" w:type="dxa"/>
            <w:noWrap/>
          </w:tcPr>
          <w:p w14:paraId="6E383A59" w14:textId="21FF2FC7" w:rsidR="0086485E" w:rsidRPr="00135275" w:rsidRDefault="0086485E" w:rsidP="0086485E">
            <w:pPr>
              <w:pStyle w:val="BodyText"/>
              <w:widowControl w:val="0"/>
              <w:ind w:left="-96"/>
              <w:rPr>
                <w:rFonts w:ascii="Noto Sans" w:hAnsi="Noto Sans" w:cs="Noto Sans"/>
                <w:sz w:val="18"/>
                <w:szCs w:val="18"/>
              </w:rPr>
            </w:pPr>
          </w:p>
        </w:tc>
      </w:tr>
    </w:tbl>
    <w:p w14:paraId="2CD05FBA" w14:textId="77777777" w:rsidR="0086485E" w:rsidRPr="00135275" w:rsidRDefault="0086485E" w:rsidP="0086485E">
      <w:pPr>
        <w:pStyle w:val="BodyText"/>
        <w:widowControl w:val="0"/>
        <w:rPr>
          <w:rFonts w:ascii="Noto Sans" w:hAnsi="Noto Sans" w:cs="Noto Sans"/>
          <w:sz w:val="18"/>
          <w:szCs w:val="18"/>
        </w:rPr>
      </w:pPr>
    </w:p>
    <w:tbl>
      <w:tblPr>
        <w:tblStyle w:val="TableGrid"/>
        <w:tblW w:w="0" w:type="auto"/>
        <w:tblLayout w:type="fixed"/>
        <w:tblLook w:val="04A0" w:firstRow="1" w:lastRow="0" w:firstColumn="1" w:lastColumn="0" w:noHBand="0" w:noVBand="1"/>
        <w:tblCaption w:val="Revision history"/>
      </w:tblPr>
      <w:tblGrid>
        <w:gridCol w:w="2310"/>
        <w:gridCol w:w="1342"/>
        <w:gridCol w:w="1593"/>
        <w:gridCol w:w="3997"/>
      </w:tblGrid>
      <w:tr w:rsidR="009F3883" w14:paraId="4EEF06D1" w14:textId="77777777" w:rsidTr="00E65450">
        <w:trPr>
          <w:tblHeader/>
        </w:trPr>
        <w:tc>
          <w:tcPr>
            <w:tcW w:w="2310" w:type="dxa"/>
            <w:vMerge w:val="restart"/>
            <w:tcBorders>
              <w:top w:val="nil"/>
              <w:left w:val="single" w:sz="4" w:space="0" w:color="FFFFFF" w:themeColor="background1"/>
              <w:bottom w:val="single" w:sz="4" w:space="0" w:color="FFFFFF" w:themeColor="background1"/>
              <w:right w:val="single" w:sz="4" w:space="0" w:color="auto"/>
            </w:tcBorders>
          </w:tcPr>
          <w:p w14:paraId="50F524BB" w14:textId="77777777" w:rsidR="0086485E" w:rsidRPr="00135275" w:rsidRDefault="002E7FAD" w:rsidP="0086485E">
            <w:pPr>
              <w:pStyle w:val="BodyText"/>
              <w:widowControl w:val="0"/>
              <w:ind w:left="-70"/>
              <w:rPr>
                <w:rFonts w:ascii="Noto Sans" w:hAnsi="Noto Sans" w:cs="Noto Sans"/>
                <w:b/>
                <w:sz w:val="18"/>
                <w:szCs w:val="18"/>
              </w:rPr>
            </w:pPr>
            <w:r w:rsidRPr="00135275">
              <w:rPr>
                <w:rFonts w:ascii="Noto Sans" w:hAnsi="Noto Sans" w:cs="Noto Sans"/>
                <w:b/>
                <w:sz w:val="18"/>
                <w:szCs w:val="18"/>
              </w:rPr>
              <w:t>Revision history</w:t>
            </w:r>
          </w:p>
        </w:tc>
        <w:tc>
          <w:tcPr>
            <w:tcW w:w="1342" w:type="dxa"/>
            <w:tcBorders>
              <w:left w:val="single" w:sz="4" w:space="0" w:color="auto"/>
            </w:tcBorders>
          </w:tcPr>
          <w:p w14:paraId="678F02AE" w14:textId="77777777" w:rsidR="0086485E" w:rsidRPr="00135275" w:rsidRDefault="002E7FAD" w:rsidP="0086485E">
            <w:pPr>
              <w:pStyle w:val="BodyText"/>
              <w:widowControl w:val="0"/>
              <w:rPr>
                <w:rFonts w:ascii="Noto Sans" w:hAnsi="Noto Sans" w:cs="Noto Sans"/>
                <w:b/>
                <w:sz w:val="18"/>
                <w:szCs w:val="18"/>
              </w:rPr>
            </w:pPr>
            <w:r w:rsidRPr="00135275">
              <w:rPr>
                <w:rFonts w:ascii="Noto Sans" w:hAnsi="Noto Sans" w:cs="Noto Sans"/>
                <w:b/>
                <w:sz w:val="18"/>
                <w:szCs w:val="18"/>
              </w:rPr>
              <w:t>Version no.</w:t>
            </w:r>
          </w:p>
        </w:tc>
        <w:tc>
          <w:tcPr>
            <w:tcW w:w="1593" w:type="dxa"/>
          </w:tcPr>
          <w:p w14:paraId="7466CADD" w14:textId="77777777" w:rsidR="0086485E" w:rsidRPr="00135275" w:rsidRDefault="002E7FAD" w:rsidP="0086485E">
            <w:pPr>
              <w:pStyle w:val="BodyText"/>
              <w:widowControl w:val="0"/>
              <w:rPr>
                <w:rFonts w:ascii="Noto Sans" w:hAnsi="Noto Sans" w:cs="Noto Sans"/>
                <w:b/>
                <w:sz w:val="18"/>
                <w:szCs w:val="18"/>
              </w:rPr>
            </w:pPr>
            <w:r w:rsidRPr="00135275">
              <w:rPr>
                <w:rFonts w:ascii="Noto Sans" w:hAnsi="Noto Sans" w:cs="Noto Sans"/>
                <w:b/>
                <w:sz w:val="18"/>
                <w:szCs w:val="18"/>
              </w:rPr>
              <w:t>Approval date</w:t>
            </w:r>
          </w:p>
        </w:tc>
        <w:tc>
          <w:tcPr>
            <w:tcW w:w="3997" w:type="dxa"/>
          </w:tcPr>
          <w:p w14:paraId="26817194" w14:textId="77777777" w:rsidR="0086485E" w:rsidRPr="00135275" w:rsidRDefault="002E7FAD" w:rsidP="0086485E">
            <w:pPr>
              <w:pStyle w:val="BodyText"/>
              <w:widowControl w:val="0"/>
              <w:rPr>
                <w:rFonts w:ascii="Noto Sans" w:hAnsi="Noto Sans" w:cs="Noto Sans"/>
                <w:b/>
                <w:sz w:val="18"/>
                <w:szCs w:val="18"/>
              </w:rPr>
            </w:pPr>
            <w:r w:rsidRPr="00135275">
              <w:rPr>
                <w:rFonts w:ascii="Noto Sans" w:hAnsi="Noto Sans" w:cs="Noto Sans"/>
                <w:b/>
                <w:sz w:val="18"/>
                <w:szCs w:val="18"/>
              </w:rPr>
              <w:t>Comments</w:t>
            </w:r>
          </w:p>
        </w:tc>
      </w:tr>
      <w:tr w:rsidR="009F3883" w14:paraId="56ADC5B7" w14:textId="77777777" w:rsidTr="00E65450">
        <w:trPr>
          <w:tblHeader/>
        </w:trPr>
        <w:tc>
          <w:tcPr>
            <w:tcW w:w="2310" w:type="dxa"/>
            <w:vMerge/>
            <w:tcBorders>
              <w:left w:val="single" w:sz="4" w:space="0" w:color="FFFFFF" w:themeColor="background1"/>
              <w:bottom w:val="single" w:sz="4" w:space="0" w:color="FFFFFF" w:themeColor="background1"/>
            </w:tcBorders>
          </w:tcPr>
          <w:p w14:paraId="42E567C7" w14:textId="77777777" w:rsidR="0086485E" w:rsidRPr="00135275" w:rsidRDefault="0086485E" w:rsidP="0086485E">
            <w:pPr>
              <w:pStyle w:val="BodyText"/>
              <w:widowControl w:val="0"/>
              <w:rPr>
                <w:rFonts w:ascii="Noto Sans" w:hAnsi="Noto Sans" w:cs="Noto Sans"/>
                <w:sz w:val="18"/>
                <w:szCs w:val="18"/>
              </w:rPr>
            </w:pPr>
          </w:p>
        </w:tc>
        <w:tc>
          <w:tcPr>
            <w:tcW w:w="1342" w:type="dxa"/>
            <w:tcBorders>
              <w:left w:val="single" w:sz="4" w:space="0" w:color="auto"/>
            </w:tcBorders>
          </w:tcPr>
          <w:p w14:paraId="75CB0DB0" w14:textId="25A8C66C" w:rsidR="0086485E" w:rsidRPr="00135275" w:rsidRDefault="00CC72CC" w:rsidP="0086485E">
            <w:pPr>
              <w:pStyle w:val="BodyText"/>
              <w:widowControl w:val="0"/>
              <w:jc w:val="center"/>
              <w:rPr>
                <w:rFonts w:ascii="Noto Sans" w:hAnsi="Noto Sans" w:cs="Noto Sans"/>
                <w:sz w:val="18"/>
                <w:szCs w:val="18"/>
              </w:rPr>
            </w:pPr>
            <w:r w:rsidRPr="00135275">
              <w:rPr>
                <w:rFonts w:ascii="Noto Sans" w:hAnsi="Noto Sans" w:cs="Noto Sans"/>
                <w:sz w:val="18"/>
                <w:szCs w:val="18"/>
              </w:rPr>
              <w:t>0.1</w:t>
            </w:r>
          </w:p>
        </w:tc>
        <w:tc>
          <w:tcPr>
            <w:tcW w:w="1593" w:type="dxa"/>
          </w:tcPr>
          <w:p w14:paraId="09D91552" w14:textId="64EFF3BF" w:rsidR="0086485E" w:rsidRPr="00135275" w:rsidRDefault="0086485E" w:rsidP="0086485E">
            <w:pPr>
              <w:pStyle w:val="BodyText"/>
              <w:widowControl w:val="0"/>
              <w:jc w:val="center"/>
              <w:rPr>
                <w:rFonts w:ascii="Noto Sans" w:hAnsi="Noto Sans" w:cs="Noto Sans"/>
                <w:sz w:val="18"/>
                <w:szCs w:val="18"/>
              </w:rPr>
            </w:pPr>
          </w:p>
        </w:tc>
        <w:tc>
          <w:tcPr>
            <w:tcW w:w="3997" w:type="dxa"/>
          </w:tcPr>
          <w:p w14:paraId="6813B258" w14:textId="4E4C79E2" w:rsidR="0086485E" w:rsidRPr="00135275" w:rsidRDefault="7C67702C" w:rsidP="6C914696">
            <w:pPr>
              <w:pStyle w:val="BodyText"/>
              <w:widowControl w:val="0"/>
              <w:rPr>
                <w:rFonts w:ascii="Noto Sans" w:hAnsi="Noto Sans" w:cs="Noto Sans"/>
                <w:sz w:val="18"/>
                <w:szCs w:val="18"/>
              </w:rPr>
            </w:pPr>
            <w:r w:rsidRPr="00135275">
              <w:rPr>
                <w:rFonts w:ascii="Noto Sans" w:hAnsi="Noto Sans" w:cs="Noto Sans"/>
                <w:sz w:val="18"/>
                <w:szCs w:val="18"/>
              </w:rPr>
              <w:t>Draft harvest strategy for c</w:t>
            </w:r>
            <w:r w:rsidR="25C002DD" w:rsidRPr="00135275">
              <w:rPr>
                <w:rFonts w:ascii="Noto Sans" w:hAnsi="Noto Sans" w:cs="Noto Sans"/>
                <w:sz w:val="18"/>
                <w:szCs w:val="18"/>
              </w:rPr>
              <w:t xml:space="preserve">onsultation </w:t>
            </w:r>
          </w:p>
        </w:tc>
      </w:tr>
      <w:tr w:rsidR="009F3883" w14:paraId="0961E649" w14:textId="77777777" w:rsidTr="00135275">
        <w:trPr>
          <w:tblHeader/>
        </w:trPr>
        <w:tc>
          <w:tcPr>
            <w:tcW w:w="2310" w:type="dxa"/>
            <w:tcBorders>
              <w:top w:val="single" w:sz="4" w:space="0" w:color="FFFFFF" w:themeColor="background1"/>
              <w:left w:val="nil"/>
              <w:bottom w:val="single" w:sz="4" w:space="0" w:color="FFFFFF" w:themeColor="background1"/>
              <w:right w:val="single" w:sz="4" w:space="0" w:color="auto"/>
            </w:tcBorders>
          </w:tcPr>
          <w:p w14:paraId="6386DEF6" w14:textId="77777777" w:rsidR="00AC74A9" w:rsidRPr="00135275" w:rsidRDefault="00AC74A9" w:rsidP="0086485E">
            <w:pPr>
              <w:pStyle w:val="BodyText"/>
              <w:widowControl w:val="0"/>
              <w:rPr>
                <w:rFonts w:ascii="Noto Sans" w:hAnsi="Noto Sans" w:cs="Noto Sans"/>
                <w:sz w:val="18"/>
                <w:szCs w:val="18"/>
              </w:rPr>
            </w:pPr>
          </w:p>
        </w:tc>
        <w:tc>
          <w:tcPr>
            <w:tcW w:w="1342" w:type="dxa"/>
            <w:tcBorders>
              <w:left w:val="single" w:sz="4" w:space="0" w:color="auto"/>
            </w:tcBorders>
          </w:tcPr>
          <w:p w14:paraId="48246945" w14:textId="7989D371" w:rsidR="00AC74A9" w:rsidRPr="00135275" w:rsidRDefault="00AC74A9" w:rsidP="00453BE1">
            <w:pPr>
              <w:pStyle w:val="BodyText"/>
              <w:widowControl w:val="0"/>
              <w:jc w:val="center"/>
              <w:rPr>
                <w:rFonts w:ascii="Noto Sans" w:hAnsi="Noto Sans" w:cs="Noto Sans"/>
                <w:sz w:val="18"/>
                <w:szCs w:val="18"/>
              </w:rPr>
            </w:pPr>
          </w:p>
        </w:tc>
        <w:tc>
          <w:tcPr>
            <w:tcW w:w="1593" w:type="dxa"/>
          </w:tcPr>
          <w:p w14:paraId="37E7571B" w14:textId="722466D4" w:rsidR="00AC74A9" w:rsidRPr="00135275" w:rsidRDefault="00AC74A9" w:rsidP="00453BE1">
            <w:pPr>
              <w:pStyle w:val="BodyText"/>
              <w:widowControl w:val="0"/>
              <w:jc w:val="center"/>
              <w:rPr>
                <w:rFonts w:ascii="Noto Sans" w:hAnsi="Noto Sans" w:cs="Noto Sans"/>
                <w:sz w:val="18"/>
                <w:szCs w:val="18"/>
              </w:rPr>
            </w:pPr>
          </w:p>
        </w:tc>
        <w:tc>
          <w:tcPr>
            <w:tcW w:w="3997" w:type="dxa"/>
          </w:tcPr>
          <w:p w14:paraId="410574E2" w14:textId="55D89DA3" w:rsidR="00AC74A9" w:rsidRPr="00135275" w:rsidRDefault="00AC74A9" w:rsidP="0086485E">
            <w:pPr>
              <w:pStyle w:val="BodyText"/>
              <w:widowControl w:val="0"/>
              <w:rPr>
                <w:rFonts w:ascii="Noto Sans" w:hAnsi="Noto Sans" w:cs="Noto Sans"/>
                <w:sz w:val="18"/>
                <w:szCs w:val="18"/>
              </w:rPr>
            </w:pPr>
          </w:p>
        </w:tc>
      </w:tr>
    </w:tbl>
    <w:p w14:paraId="19523E89" w14:textId="77777777" w:rsidR="004D3435" w:rsidRDefault="004D3435" w:rsidP="004D3435">
      <w:pPr>
        <w:rPr>
          <w:rFonts w:asciiTheme="minorHAnsi" w:hAnsiTheme="minorHAnsi" w:cstheme="minorHAnsi"/>
          <w:sz w:val="18"/>
          <w:szCs w:val="18"/>
        </w:rPr>
      </w:pPr>
    </w:p>
    <w:p w14:paraId="0335C5F8" w14:textId="77777777" w:rsidR="004D3435" w:rsidRDefault="004D3435" w:rsidP="004D3435">
      <w:pPr>
        <w:rPr>
          <w:rFonts w:asciiTheme="minorHAnsi" w:hAnsiTheme="minorHAnsi" w:cstheme="minorHAnsi"/>
          <w:sz w:val="18"/>
          <w:szCs w:val="18"/>
        </w:rPr>
      </w:pPr>
    </w:p>
    <w:p w14:paraId="40F87769" w14:textId="77777777" w:rsidR="004D3435" w:rsidRDefault="004D3435" w:rsidP="004D3435">
      <w:pPr>
        <w:rPr>
          <w:rFonts w:asciiTheme="minorHAnsi" w:hAnsiTheme="minorHAnsi" w:cstheme="minorHAnsi"/>
          <w:sz w:val="18"/>
          <w:szCs w:val="18"/>
        </w:rPr>
      </w:pPr>
    </w:p>
    <w:p w14:paraId="1709D975" w14:textId="77777777" w:rsidR="004D3435" w:rsidRDefault="004D3435" w:rsidP="004D3435">
      <w:pPr>
        <w:rPr>
          <w:rFonts w:asciiTheme="minorHAnsi" w:hAnsiTheme="minorHAnsi" w:cstheme="minorHAnsi"/>
          <w:sz w:val="18"/>
          <w:szCs w:val="18"/>
        </w:rPr>
      </w:pPr>
    </w:p>
    <w:p w14:paraId="2BC58053" w14:textId="77777777" w:rsidR="004D3435" w:rsidRDefault="004D3435" w:rsidP="004D3435">
      <w:pPr>
        <w:rPr>
          <w:rFonts w:asciiTheme="minorHAnsi" w:hAnsiTheme="minorHAnsi" w:cstheme="minorHAnsi"/>
          <w:sz w:val="18"/>
          <w:szCs w:val="18"/>
        </w:rPr>
      </w:pPr>
    </w:p>
    <w:p w14:paraId="20A0EFA7" w14:textId="77777777" w:rsidR="00223758" w:rsidRDefault="00223758" w:rsidP="004D3435">
      <w:pPr>
        <w:rPr>
          <w:rFonts w:asciiTheme="minorHAnsi" w:hAnsiTheme="minorHAnsi" w:cstheme="minorHAnsi"/>
          <w:sz w:val="18"/>
          <w:szCs w:val="18"/>
        </w:rPr>
      </w:pPr>
    </w:p>
    <w:p w14:paraId="2DE9AC84" w14:textId="77777777" w:rsidR="00223758" w:rsidRDefault="00223758" w:rsidP="004D3435">
      <w:pPr>
        <w:rPr>
          <w:rFonts w:asciiTheme="minorHAnsi" w:hAnsiTheme="minorHAnsi" w:cstheme="minorHAnsi"/>
          <w:sz w:val="18"/>
          <w:szCs w:val="18"/>
        </w:rPr>
      </w:pPr>
    </w:p>
    <w:p w14:paraId="1D73BFD1" w14:textId="77777777" w:rsidR="00223758" w:rsidRDefault="00223758" w:rsidP="004D3435">
      <w:pPr>
        <w:rPr>
          <w:rFonts w:asciiTheme="minorHAnsi" w:hAnsiTheme="minorHAnsi" w:cstheme="minorHAnsi"/>
          <w:sz w:val="18"/>
          <w:szCs w:val="18"/>
        </w:rPr>
      </w:pPr>
    </w:p>
    <w:p w14:paraId="3E8252E1" w14:textId="77777777" w:rsidR="00223758" w:rsidRDefault="00223758" w:rsidP="004D3435">
      <w:pPr>
        <w:rPr>
          <w:rFonts w:asciiTheme="minorHAnsi" w:hAnsiTheme="minorHAnsi" w:cstheme="minorHAnsi"/>
          <w:sz w:val="18"/>
          <w:szCs w:val="18"/>
        </w:rPr>
      </w:pPr>
    </w:p>
    <w:p w14:paraId="7EDF32E1" w14:textId="77777777" w:rsidR="00223758" w:rsidRDefault="00223758" w:rsidP="004D3435">
      <w:pPr>
        <w:rPr>
          <w:rFonts w:asciiTheme="minorHAnsi" w:hAnsiTheme="minorHAnsi" w:cstheme="minorHAnsi"/>
          <w:sz w:val="18"/>
          <w:szCs w:val="18"/>
        </w:rPr>
      </w:pPr>
    </w:p>
    <w:p w14:paraId="457974A7" w14:textId="77777777" w:rsidR="00223758" w:rsidRDefault="00223758" w:rsidP="004D3435">
      <w:pPr>
        <w:rPr>
          <w:rFonts w:asciiTheme="minorHAnsi" w:hAnsiTheme="minorHAnsi" w:cstheme="minorHAnsi"/>
          <w:sz w:val="18"/>
          <w:szCs w:val="18"/>
        </w:rPr>
      </w:pPr>
    </w:p>
    <w:p w14:paraId="1B9F024B" w14:textId="77777777" w:rsidR="00223758" w:rsidRDefault="00223758" w:rsidP="004D3435">
      <w:pPr>
        <w:rPr>
          <w:rFonts w:asciiTheme="minorHAnsi" w:hAnsiTheme="minorHAnsi" w:cstheme="minorHAnsi"/>
          <w:sz w:val="18"/>
          <w:szCs w:val="18"/>
        </w:rPr>
      </w:pPr>
    </w:p>
    <w:p w14:paraId="3546CAD9" w14:textId="18B49C30" w:rsidR="00DE3D78" w:rsidRPr="00B075E5" w:rsidRDefault="00B075E5" w:rsidP="004D3435">
      <w:pPr>
        <w:rPr>
          <w:rFonts w:cs="Noto Sans"/>
          <w:sz w:val="16"/>
          <w:szCs w:val="16"/>
        </w:rPr>
      </w:pPr>
      <w:r w:rsidRPr="00B075E5">
        <w:rPr>
          <w:rFonts w:cs="Noto Sans"/>
          <w:sz w:val="16"/>
          <w:szCs w:val="16"/>
        </w:rPr>
        <w:t>This publication has been compiled by Fisheries Queensland, Department of Primary Industries.</w:t>
      </w:r>
    </w:p>
    <w:p w14:paraId="2429087B" w14:textId="19B6E44C" w:rsidR="004D3435" w:rsidRPr="00B075E5" w:rsidRDefault="002E7FAD" w:rsidP="004D3435">
      <w:pPr>
        <w:rPr>
          <w:rFonts w:cs="Noto Sans"/>
          <w:sz w:val="16"/>
          <w:szCs w:val="16"/>
        </w:rPr>
      </w:pPr>
      <w:r w:rsidRPr="00B075E5">
        <w:rPr>
          <w:rFonts w:cs="Noto Sans"/>
          <w:sz w:val="16"/>
          <w:szCs w:val="16"/>
        </w:rPr>
        <w:t>© State of Queensland, 202</w:t>
      </w:r>
      <w:r w:rsidR="0080475E" w:rsidRPr="00B075E5">
        <w:rPr>
          <w:rFonts w:cs="Noto Sans"/>
          <w:sz w:val="16"/>
          <w:szCs w:val="16"/>
        </w:rPr>
        <w:t>5</w:t>
      </w:r>
    </w:p>
    <w:p w14:paraId="1BB5233D" w14:textId="77777777" w:rsidR="00B50618" w:rsidRPr="00B5196C" w:rsidRDefault="00B50618" w:rsidP="004D3435">
      <w:pPr>
        <w:rPr>
          <w:rFonts w:cs="Noto Sans"/>
          <w:i/>
          <w:iCs/>
          <w:sz w:val="16"/>
          <w:szCs w:val="16"/>
        </w:rPr>
      </w:pPr>
      <w:r w:rsidRPr="00B5196C">
        <w:rPr>
          <w:rFonts w:cs="Noto Sans"/>
          <w:i/>
          <w:iCs/>
          <w:sz w:val="16"/>
          <w:szCs w:val="16"/>
        </w:rPr>
        <w:t>The Department of Primary Industries proudly acknowledges all First Nations peoples (Aboriginal peoples and Torres Strait Islanders) and the Traditional Owners and Custodians of the country on which we live and work. We acknowledge their continuing connection to land, waters and culture and commit to ongoing reconciliation. We pay our respect to their Elders past, present and emerging.</w:t>
      </w:r>
    </w:p>
    <w:p w14:paraId="6538A0F6" w14:textId="1104E2CA" w:rsidR="004D3435" w:rsidRPr="00B075E5" w:rsidRDefault="002E7FAD" w:rsidP="004D3435">
      <w:pPr>
        <w:rPr>
          <w:rFonts w:cs="Noto Sans"/>
          <w:sz w:val="16"/>
          <w:szCs w:val="16"/>
        </w:rPr>
      </w:pPr>
      <w:r w:rsidRPr="00B075E5">
        <w:rPr>
          <w:rFonts w:cs="Noto Sans"/>
          <w:sz w:val="16"/>
          <w:szCs w:val="16"/>
        </w:rPr>
        <w:t>The Queensland Government supports and encourages the dissemination and exchange of its information. The copyright in this publication is licensed under a Creative Commons Attribution 4.0 International (CC BY 4.0) licence.</w:t>
      </w:r>
    </w:p>
    <w:p w14:paraId="083C7764" w14:textId="5F7292D3" w:rsidR="004D3435" w:rsidRPr="00B075E5" w:rsidRDefault="002E7FAD" w:rsidP="004D3435">
      <w:pPr>
        <w:spacing w:before="100" w:after="100" w:line="300" w:lineRule="atLeast"/>
        <w:rPr>
          <w:rFonts w:cs="Noto Sans"/>
          <w:sz w:val="16"/>
          <w:szCs w:val="16"/>
        </w:rPr>
      </w:pPr>
      <w:r w:rsidRPr="00B075E5">
        <w:rPr>
          <w:rFonts w:cs="Noto Sans"/>
          <w:noProof/>
          <w:sz w:val="16"/>
          <w:szCs w:val="16"/>
          <w:lang w:eastAsia="en-AU"/>
        </w:rPr>
        <w:drawing>
          <wp:inline distT="0" distB="0" distL="0" distR="0" wp14:anchorId="77D079A4" wp14:editId="13D78CC1">
            <wp:extent cx="1080770" cy="378460"/>
            <wp:effectExtent l="0" t="0" r="5080" b="2540"/>
            <wp:docPr id="1" name="Picture 1"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52737" name="Picture 2" descr="creative commons by"/>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80770" cy="378460"/>
                    </a:xfrm>
                    <a:prstGeom prst="rect">
                      <a:avLst/>
                    </a:prstGeom>
                    <a:noFill/>
                    <a:ln>
                      <a:noFill/>
                    </a:ln>
                  </pic:spPr>
                </pic:pic>
              </a:graphicData>
            </a:graphic>
          </wp:inline>
        </w:drawing>
      </w:r>
    </w:p>
    <w:p w14:paraId="12BCE9E8" w14:textId="77777777" w:rsidR="004D3435" w:rsidRPr="00B075E5" w:rsidRDefault="002E7FAD" w:rsidP="004D3435">
      <w:pPr>
        <w:rPr>
          <w:rFonts w:cs="Noto Sans"/>
          <w:sz w:val="16"/>
          <w:szCs w:val="16"/>
        </w:rPr>
      </w:pPr>
      <w:r w:rsidRPr="00B075E5">
        <w:rPr>
          <w:rFonts w:cs="Noto Sans"/>
          <w:sz w:val="16"/>
          <w:szCs w:val="16"/>
        </w:rPr>
        <w:t>You must keep intact the copyright notice and attribute the State of Queensland as the source of the publication.</w:t>
      </w:r>
    </w:p>
    <w:p w14:paraId="0FE807EE" w14:textId="77777777" w:rsidR="004D3435" w:rsidRPr="00B075E5" w:rsidRDefault="002E7FAD" w:rsidP="004D3435">
      <w:pPr>
        <w:rPr>
          <w:rFonts w:cs="Noto Sans"/>
          <w:sz w:val="16"/>
          <w:szCs w:val="16"/>
        </w:rPr>
      </w:pPr>
      <w:r w:rsidRPr="00B075E5">
        <w:rPr>
          <w:rFonts w:cs="Noto Sans"/>
          <w:sz w:val="16"/>
          <w:szCs w:val="16"/>
        </w:rPr>
        <w:t xml:space="preserve">Note: Some content in this publication may have different licence terms as indicated. </w:t>
      </w:r>
    </w:p>
    <w:p w14:paraId="3041AA52" w14:textId="77777777" w:rsidR="004D3435" w:rsidRPr="00B075E5" w:rsidRDefault="002E7FAD" w:rsidP="004D3435">
      <w:pPr>
        <w:rPr>
          <w:rFonts w:cs="Noto Sans"/>
          <w:sz w:val="16"/>
          <w:szCs w:val="16"/>
        </w:rPr>
      </w:pPr>
      <w:r w:rsidRPr="00B075E5">
        <w:rPr>
          <w:rFonts w:cs="Noto Sans"/>
          <w:sz w:val="16"/>
          <w:szCs w:val="16"/>
        </w:rPr>
        <w:t>For more information on this licence, visit https://creativecommons.org/licenses/by/4.0/.</w:t>
      </w:r>
    </w:p>
    <w:p w14:paraId="6266A4B6" w14:textId="3CAB2C5D" w:rsidR="004D3435" w:rsidRPr="00B075E5" w:rsidRDefault="002E7FAD" w:rsidP="004D3435">
      <w:pPr>
        <w:rPr>
          <w:rFonts w:cs="Noto Sans"/>
          <w:sz w:val="16"/>
          <w:szCs w:val="16"/>
        </w:rPr>
      </w:pPr>
      <w:r w:rsidRPr="00B075E5">
        <w:rPr>
          <w:rFonts w:cs="Noto Sans"/>
          <w:sz w:val="16"/>
          <w:szCs w:val="16"/>
        </w:rPr>
        <w:t>The information contained herein is subject to change without notice. The Queensland Government shall not be liable for technical or other errors or omissions contained herein. The reader/user accepts all risks and responsibility for losses, damages, costs and other consequences resulting directly or indirectly from using this information.</w:t>
      </w:r>
    </w:p>
    <w:p w14:paraId="0DD1D19E" w14:textId="6C76C39C" w:rsidR="00085FD6" w:rsidRDefault="006A78E3" w:rsidP="004D3435">
      <w:pPr>
        <w:rPr>
          <w:rFonts w:asciiTheme="minorHAnsi" w:hAnsiTheme="minorHAnsi" w:cstheme="minorHAnsi"/>
          <w:sz w:val="18"/>
          <w:szCs w:val="18"/>
        </w:rPr>
      </w:pPr>
      <w:r>
        <w:rPr>
          <w:rFonts w:asciiTheme="minorHAnsi" w:hAnsiTheme="minorHAnsi" w:cstheme="minorHAnsi"/>
          <w:sz w:val="18"/>
          <w:szCs w:val="18"/>
        </w:rPr>
        <w:br w:type="page"/>
      </w:r>
    </w:p>
    <w:sdt>
      <w:sdtPr>
        <w:rPr>
          <w:rFonts w:ascii="Noto Sans" w:eastAsiaTheme="minorEastAsia" w:hAnsi="Noto Sans" w:cstheme="minorBidi"/>
          <w:color w:val="auto"/>
          <w:sz w:val="24"/>
          <w:szCs w:val="24"/>
          <w:lang w:val="en-AU"/>
        </w:rPr>
        <w:id w:val="1539245702"/>
        <w:docPartObj>
          <w:docPartGallery w:val="Table of Contents"/>
          <w:docPartUnique/>
        </w:docPartObj>
      </w:sdtPr>
      <w:sdtEndPr>
        <w:rPr>
          <w:b/>
          <w:bCs/>
          <w:noProof/>
          <w:sz w:val="20"/>
        </w:rPr>
      </w:sdtEndPr>
      <w:sdtContent>
        <w:p w14:paraId="53CC04B5" w14:textId="1A6B9FD8" w:rsidR="00A8791A" w:rsidRPr="00E274AB" w:rsidRDefault="00A8791A">
          <w:pPr>
            <w:pStyle w:val="TOCHeading"/>
            <w:rPr>
              <w:rFonts w:ascii="Noto Sans" w:hAnsi="Noto Sans" w:cs="Noto Sans"/>
              <w:szCs w:val="36"/>
            </w:rPr>
          </w:pPr>
          <w:r w:rsidRPr="00E274AB">
            <w:rPr>
              <w:rFonts w:ascii="Noto Sans" w:hAnsi="Noto Sans" w:cs="Noto Sans"/>
              <w:szCs w:val="36"/>
            </w:rPr>
            <w:t>Contents</w:t>
          </w:r>
        </w:p>
        <w:p w14:paraId="628E24C6" w14:textId="566D88BC" w:rsidR="003F77EE" w:rsidRDefault="00A8791A">
          <w:pPr>
            <w:pStyle w:val="TOC1"/>
            <w:tabs>
              <w:tab w:val="right" w:leader="dot" w:pos="9628"/>
            </w:tabs>
            <w:rPr>
              <w:rFonts w:asciiTheme="minorHAnsi" w:hAnsiTheme="minorHAnsi"/>
              <w:noProof/>
              <w:kern w:val="2"/>
              <w:sz w:val="24"/>
              <w:lang w:eastAsia="en-AU"/>
              <w14:ligatures w14:val="standardContextual"/>
            </w:rPr>
          </w:pPr>
          <w:r>
            <w:rPr>
              <w:rFonts w:asciiTheme="minorHAnsi" w:hAnsiTheme="minorHAnsi"/>
              <w:sz w:val="22"/>
            </w:rPr>
            <w:fldChar w:fldCharType="begin"/>
          </w:r>
          <w:r>
            <w:instrText xml:space="preserve"> TOC \o "1-3" \h \z \u </w:instrText>
          </w:r>
          <w:r>
            <w:rPr>
              <w:rFonts w:asciiTheme="minorHAnsi" w:hAnsiTheme="minorHAnsi"/>
              <w:sz w:val="22"/>
            </w:rPr>
            <w:fldChar w:fldCharType="separate"/>
          </w:r>
          <w:hyperlink w:anchor="_Toc205215623" w:history="1">
            <w:r w:rsidR="003F77EE" w:rsidRPr="00F00697">
              <w:rPr>
                <w:rStyle w:val="Hyperlink"/>
                <w:rFonts w:cstheme="minorHAnsi"/>
                <w:noProof/>
              </w:rPr>
              <w:t>What the harvest strategy is trying to achieve</w:t>
            </w:r>
            <w:r w:rsidR="003F77EE">
              <w:rPr>
                <w:noProof/>
                <w:webHidden/>
              </w:rPr>
              <w:tab/>
            </w:r>
            <w:r w:rsidR="003F77EE">
              <w:rPr>
                <w:noProof/>
                <w:webHidden/>
              </w:rPr>
              <w:fldChar w:fldCharType="begin"/>
            </w:r>
            <w:r w:rsidR="003F77EE">
              <w:rPr>
                <w:noProof/>
                <w:webHidden/>
              </w:rPr>
              <w:instrText xml:space="preserve"> PAGEREF _Toc205215623 \h </w:instrText>
            </w:r>
            <w:r w:rsidR="003F77EE">
              <w:rPr>
                <w:noProof/>
                <w:webHidden/>
              </w:rPr>
            </w:r>
            <w:r w:rsidR="003F77EE">
              <w:rPr>
                <w:noProof/>
                <w:webHidden/>
              </w:rPr>
              <w:fldChar w:fldCharType="separate"/>
            </w:r>
            <w:r w:rsidR="003F77EE">
              <w:rPr>
                <w:noProof/>
                <w:webHidden/>
              </w:rPr>
              <w:t>4</w:t>
            </w:r>
            <w:r w:rsidR="003F77EE">
              <w:rPr>
                <w:noProof/>
                <w:webHidden/>
              </w:rPr>
              <w:fldChar w:fldCharType="end"/>
            </w:r>
          </w:hyperlink>
        </w:p>
        <w:p w14:paraId="0225AC48" w14:textId="43F4077A"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24" w:history="1">
            <w:r w:rsidRPr="00F00697">
              <w:rPr>
                <w:rStyle w:val="Hyperlink"/>
                <w:noProof/>
              </w:rPr>
              <w:t>Fishery overview</w:t>
            </w:r>
            <w:r>
              <w:rPr>
                <w:noProof/>
                <w:webHidden/>
              </w:rPr>
              <w:tab/>
            </w:r>
            <w:r>
              <w:rPr>
                <w:noProof/>
                <w:webHidden/>
              </w:rPr>
              <w:fldChar w:fldCharType="begin"/>
            </w:r>
            <w:r>
              <w:rPr>
                <w:noProof/>
                <w:webHidden/>
              </w:rPr>
              <w:instrText xml:space="preserve"> PAGEREF _Toc205215624 \h </w:instrText>
            </w:r>
            <w:r>
              <w:rPr>
                <w:noProof/>
                <w:webHidden/>
              </w:rPr>
            </w:r>
            <w:r>
              <w:rPr>
                <w:noProof/>
                <w:webHidden/>
              </w:rPr>
              <w:fldChar w:fldCharType="separate"/>
            </w:r>
            <w:r>
              <w:rPr>
                <w:noProof/>
                <w:webHidden/>
              </w:rPr>
              <w:t>4</w:t>
            </w:r>
            <w:r>
              <w:rPr>
                <w:noProof/>
                <w:webHidden/>
              </w:rPr>
              <w:fldChar w:fldCharType="end"/>
            </w:r>
          </w:hyperlink>
        </w:p>
        <w:p w14:paraId="7A4EEC4B" w14:textId="53019ABE"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25" w:history="1">
            <w:r w:rsidRPr="00F00697">
              <w:rPr>
                <w:rStyle w:val="Hyperlink"/>
                <w:noProof/>
              </w:rPr>
              <w:t>Stocks covered by the harvest strategy</w:t>
            </w:r>
            <w:r>
              <w:rPr>
                <w:noProof/>
                <w:webHidden/>
              </w:rPr>
              <w:tab/>
            </w:r>
            <w:r>
              <w:rPr>
                <w:noProof/>
                <w:webHidden/>
              </w:rPr>
              <w:fldChar w:fldCharType="begin"/>
            </w:r>
            <w:r>
              <w:rPr>
                <w:noProof/>
                <w:webHidden/>
              </w:rPr>
              <w:instrText xml:space="preserve"> PAGEREF _Toc205215625 \h </w:instrText>
            </w:r>
            <w:r>
              <w:rPr>
                <w:noProof/>
                <w:webHidden/>
              </w:rPr>
            </w:r>
            <w:r>
              <w:rPr>
                <w:noProof/>
                <w:webHidden/>
              </w:rPr>
              <w:fldChar w:fldCharType="separate"/>
            </w:r>
            <w:r>
              <w:rPr>
                <w:noProof/>
                <w:webHidden/>
              </w:rPr>
              <w:t>5</w:t>
            </w:r>
            <w:r>
              <w:rPr>
                <w:noProof/>
                <w:webHidden/>
              </w:rPr>
              <w:fldChar w:fldCharType="end"/>
            </w:r>
          </w:hyperlink>
        </w:p>
        <w:p w14:paraId="40CBE48C" w14:textId="604D160B"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26" w:history="1">
            <w:r w:rsidRPr="00F00697">
              <w:rPr>
                <w:rStyle w:val="Hyperlink"/>
                <w:noProof/>
              </w:rPr>
              <w:t>Management units for the harvest strategy</w:t>
            </w:r>
            <w:r>
              <w:rPr>
                <w:noProof/>
                <w:webHidden/>
              </w:rPr>
              <w:tab/>
            </w:r>
            <w:r>
              <w:rPr>
                <w:noProof/>
                <w:webHidden/>
              </w:rPr>
              <w:fldChar w:fldCharType="begin"/>
            </w:r>
            <w:r>
              <w:rPr>
                <w:noProof/>
                <w:webHidden/>
              </w:rPr>
              <w:instrText xml:space="preserve"> PAGEREF _Toc205215626 \h </w:instrText>
            </w:r>
            <w:r>
              <w:rPr>
                <w:noProof/>
                <w:webHidden/>
              </w:rPr>
            </w:r>
            <w:r>
              <w:rPr>
                <w:noProof/>
                <w:webHidden/>
              </w:rPr>
              <w:fldChar w:fldCharType="separate"/>
            </w:r>
            <w:r>
              <w:rPr>
                <w:noProof/>
                <w:webHidden/>
              </w:rPr>
              <w:t>6</w:t>
            </w:r>
            <w:r>
              <w:rPr>
                <w:noProof/>
                <w:webHidden/>
              </w:rPr>
              <w:fldChar w:fldCharType="end"/>
            </w:r>
          </w:hyperlink>
        </w:p>
        <w:p w14:paraId="690B9D9B" w14:textId="0AFA53C6"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27" w:history="1">
            <w:r w:rsidRPr="00F00697">
              <w:rPr>
                <w:rStyle w:val="Hyperlink"/>
                <w:rFonts w:cstheme="minorHAnsi"/>
                <w:noProof/>
              </w:rPr>
              <w:t>Summary of management information</w:t>
            </w:r>
            <w:r>
              <w:rPr>
                <w:noProof/>
                <w:webHidden/>
              </w:rPr>
              <w:tab/>
            </w:r>
            <w:r>
              <w:rPr>
                <w:noProof/>
                <w:webHidden/>
              </w:rPr>
              <w:fldChar w:fldCharType="begin"/>
            </w:r>
            <w:r>
              <w:rPr>
                <w:noProof/>
                <w:webHidden/>
              </w:rPr>
              <w:instrText xml:space="preserve"> PAGEREF _Toc205215627 \h </w:instrText>
            </w:r>
            <w:r>
              <w:rPr>
                <w:noProof/>
                <w:webHidden/>
              </w:rPr>
            </w:r>
            <w:r>
              <w:rPr>
                <w:noProof/>
                <w:webHidden/>
              </w:rPr>
              <w:fldChar w:fldCharType="separate"/>
            </w:r>
            <w:r>
              <w:rPr>
                <w:noProof/>
                <w:webHidden/>
              </w:rPr>
              <w:t>6</w:t>
            </w:r>
            <w:r>
              <w:rPr>
                <w:noProof/>
                <w:webHidden/>
              </w:rPr>
              <w:fldChar w:fldCharType="end"/>
            </w:r>
          </w:hyperlink>
        </w:p>
        <w:p w14:paraId="7DAA3FD6" w14:textId="1E111998"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28" w:history="1">
            <w:r w:rsidRPr="00F00697">
              <w:rPr>
                <w:rStyle w:val="Hyperlink"/>
                <w:noProof/>
              </w:rPr>
              <w:t>Fishery objectives</w:t>
            </w:r>
            <w:r>
              <w:rPr>
                <w:noProof/>
                <w:webHidden/>
              </w:rPr>
              <w:tab/>
            </w:r>
            <w:r>
              <w:rPr>
                <w:noProof/>
                <w:webHidden/>
              </w:rPr>
              <w:fldChar w:fldCharType="begin"/>
            </w:r>
            <w:r>
              <w:rPr>
                <w:noProof/>
                <w:webHidden/>
              </w:rPr>
              <w:instrText xml:space="preserve"> PAGEREF _Toc205215628 \h </w:instrText>
            </w:r>
            <w:r>
              <w:rPr>
                <w:noProof/>
                <w:webHidden/>
              </w:rPr>
            </w:r>
            <w:r>
              <w:rPr>
                <w:noProof/>
                <w:webHidden/>
              </w:rPr>
              <w:fldChar w:fldCharType="separate"/>
            </w:r>
            <w:r>
              <w:rPr>
                <w:noProof/>
                <w:webHidden/>
              </w:rPr>
              <w:t>7</w:t>
            </w:r>
            <w:r>
              <w:rPr>
                <w:noProof/>
                <w:webHidden/>
              </w:rPr>
              <w:fldChar w:fldCharType="end"/>
            </w:r>
          </w:hyperlink>
        </w:p>
        <w:p w14:paraId="075FF09A" w14:textId="1F7B1525"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29" w:history="1">
            <w:r w:rsidRPr="00F00697">
              <w:rPr>
                <w:rStyle w:val="Hyperlink"/>
                <w:noProof/>
              </w:rPr>
              <w:t>Catch shares</w:t>
            </w:r>
            <w:r>
              <w:rPr>
                <w:noProof/>
                <w:webHidden/>
              </w:rPr>
              <w:tab/>
            </w:r>
            <w:r>
              <w:rPr>
                <w:noProof/>
                <w:webHidden/>
              </w:rPr>
              <w:fldChar w:fldCharType="begin"/>
            </w:r>
            <w:r>
              <w:rPr>
                <w:noProof/>
                <w:webHidden/>
              </w:rPr>
              <w:instrText xml:space="preserve"> PAGEREF _Toc205215629 \h </w:instrText>
            </w:r>
            <w:r>
              <w:rPr>
                <w:noProof/>
                <w:webHidden/>
              </w:rPr>
            </w:r>
            <w:r>
              <w:rPr>
                <w:noProof/>
                <w:webHidden/>
              </w:rPr>
              <w:fldChar w:fldCharType="separate"/>
            </w:r>
            <w:r>
              <w:rPr>
                <w:noProof/>
                <w:webHidden/>
              </w:rPr>
              <w:t>8</w:t>
            </w:r>
            <w:r>
              <w:rPr>
                <w:noProof/>
                <w:webHidden/>
              </w:rPr>
              <w:fldChar w:fldCharType="end"/>
            </w:r>
          </w:hyperlink>
        </w:p>
        <w:p w14:paraId="069E012A" w14:textId="6A706647"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30" w:history="1">
            <w:r w:rsidRPr="00F00697">
              <w:rPr>
                <w:rStyle w:val="Hyperlink"/>
                <w:noProof/>
              </w:rPr>
              <w:t>Managing the performance of the fishery</w:t>
            </w:r>
            <w:r>
              <w:rPr>
                <w:noProof/>
                <w:webHidden/>
              </w:rPr>
              <w:tab/>
            </w:r>
            <w:r>
              <w:rPr>
                <w:noProof/>
                <w:webHidden/>
              </w:rPr>
              <w:fldChar w:fldCharType="begin"/>
            </w:r>
            <w:r>
              <w:rPr>
                <w:noProof/>
                <w:webHidden/>
              </w:rPr>
              <w:instrText xml:space="preserve"> PAGEREF _Toc205215630 \h </w:instrText>
            </w:r>
            <w:r>
              <w:rPr>
                <w:noProof/>
                <w:webHidden/>
              </w:rPr>
            </w:r>
            <w:r>
              <w:rPr>
                <w:noProof/>
                <w:webHidden/>
              </w:rPr>
              <w:fldChar w:fldCharType="separate"/>
            </w:r>
            <w:r>
              <w:rPr>
                <w:noProof/>
                <w:webHidden/>
              </w:rPr>
              <w:t>10</w:t>
            </w:r>
            <w:r>
              <w:rPr>
                <w:noProof/>
                <w:webHidden/>
              </w:rPr>
              <w:fldChar w:fldCharType="end"/>
            </w:r>
          </w:hyperlink>
        </w:p>
        <w:p w14:paraId="769F6B17" w14:textId="1A5BAE67" w:rsidR="003F77EE" w:rsidRDefault="003F77EE">
          <w:pPr>
            <w:pStyle w:val="TOC2"/>
            <w:tabs>
              <w:tab w:val="right" w:leader="dot" w:pos="9628"/>
            </w:tabs>
            <w:rPr>
              <w:rFonts w:asciiTheme="minorHAnsi" w:hAnsiTheme="minorHAnsi"/>
              <w:noProof/>
              <w:kern w:val="2"/>
              <w:sz w:val="24"/>
              <w:lang w:eastAsia="en-AU"/>
              <w14:ligatures w14:val="standardContextual"/>
            </w:rPr>
          </w:pPr>
          <w:hyperlink w:anchor="_Toc205215631" w:history="1">
            <w:r w:rsidRPr="00F00697">
              <w:rPr>
                <w:rStyle w:val="Hyperlink"/>
                <w:noProof/>
              </w:rPr>
              <w:t>Performance indicators and reference points</w:t>
            </w:r>
            <w:r>
              <w:rPr>
                <w:noProof/>
                <w:webHidden/>
              </w:rPr>
              <w:tab/>
            </w:r>
            <w:r>
              <w:rPr>
                <w:noProof/>
                <w:webHidden/>
              </w:rPr>
              <w:fldChar w:fldCharType="begin"/>
            </w:r>
            <w:r>
              <w:rPr>
                <w:noProof/>
                <w:webHidden/>
              </w:rPr>
              <w:instrText xml:space="preserve"> PAGEREF _Toc205215631 \h </w:instrText>
            </w:r>
            <w:r>
              <w:rPr>
                <w:noProof/>
                <w:webHidden/>
              </w:rPr>
            </w:r>
            <w:r>
              <w:rPr>
                <w:noProof/>
                <w:webHidden/>
              </w:rPr>
              <w:fldChar w:fldCharType="separate"/>
            </w:r>
            <w:r>
              <w:rPr>
                <w:noProof/>
                <w:webHidden/>
              </w:rPr>
              <w:t>10</w:t>
            </w:r>
            <w:r>
              <w:rPr>
                <w:noProof/>
                <w:webHidden/>
              </w:rPr>
              <w:fldChar w:fldCharType="end"/>
            </w:r>
          </w:hyperlink>
        </w:p>
        <w:p w14:paraId="5CDC5275" w14:textId="53E8263E" w:rsidR="003F77EE" w:rsidRDefault="003F77EE">
          <w:pPr>
            <w:pStyle w:val="TOC2"/>
            <w:tabs>
              <w:tab w:val="right" w:leader="dot" w:pos="9628"/>
            </w:tabs>
            <w:rPr>
              <w:rFonts w:asciiTheme="minorHAnsi" w:hAnsiTheme="minorHAnsi"/>
              <w:noProof/>
              <w:kern w:val="2"/>
              <w:sz w:val="24"/>
              <w:lang w:eastAsia="en-AU"/>
              <w14:ligatures w14:val="standardContextual"/>
            </w:rPr>
          </w:pPr>
          <w:hyperlink w:anchor="_Toc205215632" w:history="1">
            <w:r w:rsidRPr="00F00697">
              <w:rPr>
                <w:rStyle w:val="Hyperlink"/>
                <w:noProof/>
              </w:rPr>
              <w:t>Application of decision rules</w:t>
            </w:r>
            <w:r>
              <w:rPr>
                <w:noProof/>
                <w:webHidden/>
              </w:rPr>
              <w:tab/>
            </w:r>
            <w:r>
              <w:rPr>
                <w:noProof/>
                <w:webHidden/>
              </w:rPr>
              <w:fldChar w:fldCharType="begin"/>
            </w:r>
            <w:r>
              <w:rPr>
                <w:noProof/>
                <w:webHidden/>
              </w:rPr>
              <w:instrText xml:space="preserve"> PAGEREF _Toc205215632 \h </w:instrText>
            </w:r>
            <w:r>
              <w:rPr>
                <w:noProof/>
                <w:webHidden/>
              </w:rPr>
            </w:r>
            <w:r>
              <w:rPr>
                <w:noProof/>
                <w:webHidden/>
              </w:rPr>
              <w:fldChar w:fldCharType="separate"/>
            </w:r>
            <w:r>
              <w:rPr>
                <w:noProof/>
                <w:webHidden/>
              </w:rPr>
              <w:t>11</w:t>
            </w:r>
            <w:r>
              <w:rPr>
                <w:noProof/>
                <w:webHidden/>
              </w:rPr>
              <w:fldChar w:fldCharType="end"/>
            </w:r>
          </w:hyperlink>
        </w:p>
        <w:p w14:paraId="0B542B26" w14:textId="5D5B4E3A"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33" w:history="1">
            <w:r w:rsidRPr="00F00697">
              <w:rPr>
                <w:rStyle w:val="Hyperlink"/>
                <w:noProof/>
              </w:rPr>
              <w:t>Management of target species</w:t>
            </w:r>
            <w:r>
              <w:rPr>
                <w:noProof/>
                <w:webHidden/>
              </w:rPr>
              <w:tab/>
            </w:r>
            <w:r>
              <w:rPr>
                <w:noProof/>
                <w:webHidden/>
              </w:rPr>
              <w:fldChar w:fldCharType="begin"/>
            </w:r>
            <w:r>
              <w:rPr>
                <w:noProof/>
                <w:webHidden/>
              </w:rPr>
              <w:instrText xml:space="preserve"> PAGEREF _Toc205215633 \h </w:instrText>
            </w:r>
            <w:r>
              <w:rPr>
                <w:noProof/>
                <w:webHidden/>
              </w:rPr>
            </w:r>
            <w:r>
              <w:rPr>
                <w:noProof/>
                <w:webHidden/>
              </w:rPr>
              <w:fldChar w:fldCharType="separate"/>
            </w:r>
            <w:r>
              <w:rPr>
                <w:noProof/>
                <w:webHidden/>
              </w:rPr>
              <w:t>14</w:t>
            </w:r>
            <w:r>
              <w:rPr>
                <w:noProof/>
                <w:webHidden/>
              </w:rPr>
              <w:fldChar w:fldCharType="end"/>
            </w:r>
          </w:hyperlink>
        </w:p>
        <w:p w14:paraId="3707FFB6" w14:textId="0FDB6D3F"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34" w:history="1">
            <w:r w:rsidRPr="00F00697">
              <w:rPr>
                <w:rStyle w:val="Hyperlink"/>
                <w:rFonts w:cstheme="minorHAnsi"/>
                <w:noProof/>
              </w:rPr>
              <w:t>Management of secondary and by-product species</w:t>
            </w:r>
            <w:r>
              <w:rPr>
                <w:noProof/>
                <w:webHidden/>
              </w:rPr>
              <w:tab/>
            </w:r>
            <w:r>
              <w:rPr>
                <w:noProof/>
                <w:webHidden/>
              </w:rPr>
              <w:fldChar w:fldCharType="begin"/>
            </w:r>
            <w:r>
              <w:rPr>
                <w:noProof/>
                <w:webHidden/>
              </w:rPr>
              <w:instrText xml:space="preserve"> PAGEREF _Toc205215634 \h </w:instrText>
            </w:r>
            <w:r>
              <w:rPr>
                <w:noProof/>
                <w:webHidden/>
              </w:rPr>
            </w:r>
            <w:r>
              <w:rPr>
                <w:noProof/>
                <w:webHidden/>
              </w:rPr>
              <w:fldChar w:fldCharType="separate"/>
            </w:r>
            <w:r>
              <w:rPr>
                <w:noProof/>
                <w:webHidden/>
              </w:rPr>
              <w:t>17</w:t>
            </w:r>
            <w:r>
              <w:rPr>
                <w:noProof/>
                <w:webHidden/>
              </w:rPr>
              <w:fldChar w:fldCharType="end"/>
            </w:r>
          </w:hyperlink>
        </w:p>
        <w:p w14:paraId="48E9B7B7" w14:textId="0098B1F6"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35" w:history="1">
            <w:r w:rsidRPr="00F00697">
              <w:rPr>
                <w:rStyle w:val="Hyperlink"/>
                <w:rFonts w:cstheme="minorHAnsi"/>
                <w:noProof/>
              </w:rPr>
              <w:t>Management of ecological risks from fishing</w:t>
            </w:r>
            <w:r>
              <w:rPr>
                <w:noProof/>
                <w:webHidden/>
              </w:rPr>
              <w:tab/>
            </w:r>
            <w:r>
              <w:rPr>
                <w:noProof/>
                <w:webHidden/>
              </w:rPr>
              <w:fldChar w:fldCharType="begin"/>
            </w:r>
            <w:r>
              <w:rPr>
                <w:noProof/>
                <w:webHidden/>
              </w:rPr>
              <w:instrText xml:space="preserve"> PAGEREF _Toc205215635 \h </w:instrText>
            </w:r>
            <w:r>
              <w:rPr>
                <w:noProof/>
                <w:webHidden/>
              </w:rPr>
            </w:r>
            <w:r>
              <w:rPr>
                <w:noProof/>
                <w:webHidden/>
              </w:rPr>
              <w:fldChar w:fldCharType="separate"/>
            </w:r>
            <w:r>
              <w:rPr>
                <w:noProof/>
                <w:webHidden/>
              </w:rPr>
              <w:t>18</w:t>
            </w:r>
            <w:r>
              <w:rPr>
                <w:noProof/>
                <w:webHidden/>
              </w:rPr>
              <w:fldChar w:fldCharType="end"/>
            </w:r>
          </w:hyperlink>
        </w:p>
        <w:p w14:paraId="4939D613" w14:textId="1A606AA9"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36" w:history="1">
            <w:r w:rsidRPr="00F00697">
              <w:rPr>
                <w:rStyle w:val="Hyperlink"/>
                <w:rFonts w:cstheme="minorHAnsi"/>
                <w:noProof/>
              </w:rPr>
              <w:t>Monitoring social and economic impacts</w:t>
            </w:r>
            <w:r>
              <w:rPr>
                <w:noProof/>
                <w:webHidden/>
              </w:rPr>
              <w:tab/>
            </w:r>
            <w:r>
              <w:rPr>
                <w:noProof/>
                <w:webHidden/>
              </w:rPr>
              <w:fldChar w:fldCharType="begin"/>
            </w:r>
            <w:r>
              <w:rPr>
                <w:noProof/>
                <w:webHidden/>
              </w:rPr>
              <w:instrText xml:space="preserve"> PAGEREF _Toc205215636 \h </w:instrText>
            </w:r>
            <w:r>
              <w:rPr>
                <w:noProof/>
                <w:webHidden/>
              </w:rPr>
            </w:r>
            <w:r>
              <w:rPr>
                <w:noProof/>
                <w:webHidden/>
              </w:rPr>
              <w:fldChar w:fldCharType="separate"/>
            </w:r>
            <w:r>
              <w:rPr>
                <w:noProof/>
                <w:webHidden/>
              </w:rPr>
              <w:t>19</w:t>
            </w:r>
            <w:r>
              <w:rPr>
                <w:noProof/>
                <w:webHidden/>
              </w:rPr>
              <w:fldChar w:fldCharType="end"/>
            </w:r>
          </w:hyperlink>
        </w:p>
        <w:p w14:paraId="4AD674A3" w14:textId="1853139E"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37" w:history="1">
            <w:r w:rsidRPr="00F00697">
              <w:rPr>
                <w:rStyle w:val="Hyperlink"/>
                <w:rFonts w:cstheme="minorHAnsi"/>
                <w:noProof/>
              </w:rPr>
              <w:t>Data collection, validation and assessment</w:t>
            </w:r>
            <w:r>
              <w:rPr>
                <w:noProof/>
                <w:webHidden/>
              </w:rPr>
              <w:tab/>
            </w:r>
            <w:r>
              <w:rPr>
                <w:noProof/>
                <w:webHidden/>
              </w:rPr>
              <w:fldChar w:fldCharType="begin"/>
            </w:r>
            <w:r>
              <w:rPr>
                <w:noProof/>
                <w:webHidden/>
              </w:rPr>
              <w:instrText xml:space="preserve"> PAGEREF _Toc205215637 \h </w:instrText>
            </w:r>
            <w:r>
              <w:rPr>
                <w:noProof/>
                <w:webHidden/>
              </w:rPr>
            </w:r>
            <w:r>
              <w:rPr>
                <w:noProof/>
                <w:webHidden/>
              </w:rPr>
              <w:fldChar w:fldCharType="separate"/>
            </w:r>
            <w:r>
              <w:rPr>
                <w:noProof/>
                <w:webHidden/>
              </w:rPr>
              <w:t>20</w:t>
            </w:r>
            <w:r>
              <w:rPr>
                <w:noProof/>
                <w:webHidden/>
              </w:rPr>
              <w:fldChar w:fldCharType="end"/>
            </w:r>
          </w:hyperlink>
        </w:p>
        <w:p w14:paraId="204573F9" w14:textId="77D23A76" w:rsidR="003F77EE" w:rsidRDefault="003F77EE">
          <w:pPr>
            <w:pStyle w:val="TOC2"/>
            <w:tabs>
              <w:tab w:val="right" w:leader="dot" w:pos="9628"/>
            </w:tabs>
            <w:rPr>
              <w:rFonts w:asciiTheme="minorHAnsi" w:hAnsiTheme="minorHAnsi"/>
              <w:noProof/>
              <w:kern w:val="2"/>
              <w:sz w:val="24"/>
              <w:lang w:eastAsia="en-AU"/>
              <w14:ligatures w14:val="standardContextual"/>
            </w:rPr>
          </w:pPr>
          <w:hyperlink w:anchor="_Toc205215638" w:history="1">
            <w:r w:rsidRPr="00F00697">
              <w:rPr>
                <w:rStyle w:val="Hyperlink"/>
                <w:noProof/>
              </w:rPr>
              <w:t>Fishery-dependent information</w:t>
            </w:r>
            <w:r>
              <w:rPr>
                <w:noProof/>
                <w:webHidden/>
              </w:rPr>
              <w:tab/>
            </w:r>
            <w:r>
              <w:rPr>
                <w:noProof/>
                <w:webHidden/>
              </w:rPr>
              <w:fldChar w:fldCharType="begin"/>
            </w:r>
            <w:r>
              <w:rPr>
                <w:noProof/>
                <w:webHidden/>
              </w:rPr>
              <w:instrText xml:space="preserve"> PAGEREF _Toc205215638 \h </w:instrText>
            </w:r>
            <w:r>
              <w:rPr>
                <w:noProof/>
                <w:webHidden/>
              </w:rPr>
            </w:r>
            <w:r>
              <w:rPr>
                <w:noProof/>
                <w:webHidden/>
              </w:rPr>
              <w:fldChar w:fldCharType="separate"/>
            </w:r>
            <w:r>
              <w:rPr>
                <w:noProof/>
                <w:webHidden/>
              </w:rPr>
              <w:t>20</w:t>
            </w:r>
            <w:r>
              <w:rPr>
                <w:noProof/>
                <w:webHidden/>
              </w:rPr>
              <w:fldChar w:fldCharType="end"/>
            </w:r>
          </w:hyperlink>
        </w:p>
        <w:p w14:paraId="237EDA5F" w14:textId="0E0B8F96" w:rsidR="003F77EE" w:rsidRDefault="003F77EE">
          <w:pPr>
            <w:pStyle w:val="TOC2"/>
            <w:tabs>
              <w:tab w:val="right" w:leader="dot" w:pos="9628"/>
            </w:tabs>
            <w:rPr>
              <w:rFonts w:asciiTheme="minorHAnsi" w:hAnsiTheme="minorHAnsi"/>
              <w:noProof/>
              <w:kern w:val="2"/>
              <w:sz w:val="24"/>
              <w:lang w:eastAsia="en-AU"/>
              <w14:ligatures w14:val="standardContextual"/>
            </w:rPr>
          </w:pPr>
          <w:hyperlink w:anchor="_Toc205215639" w:history="1">
            <w:r w:rsidRPr="00F00697">
              <w:rPr>
                <w:rStyle w:val="Hyperlink"/>
                <w:noProof/>
              </w:rPr>
              <w:t>Fishery-dependant data (independent validation)</w:t>
            </w:r>
            <w:r>
              <w:rPr>
                <w:noProof/>
                <w:webHidden/>
              </w:rPr>
              <w:tab/>
            </w:r>
            <w:r>
              <w:rPr>
                <w:noProof/>
                <w:webHidden/>
              </w:rPr>
              <w:fldChar w:fldCharType="begin"/>
            </w:r>
            <w:r>
              <w:rPr>
                <w:noProof/>
                <w:webHidden/>
              </w:rPr>
              <w:instrText xml:space="preserve"> PAGEREF _Toc205215639 \h </w:instrText>
            </w:r>
            <w:r>
              <w:rPr>
                <w:noProof/>
                <w:webHidden/>
              </w:rPr>
            </w:r>
            <w:r>
              <w:rPr>
                <w:noProof/>
                <w:webHidden/>
              </w:rPr>
              <w:fldChar w:fldCharType="separate"/>
            </w:r>
            <w:r>
              <w:rPr>
                <w:noProof/>
                <w:webHidden/>
              </w:rPr>
              <w:t>20</w:t>
            </w:r>
            <w:r>
              <w:rPr>
                <w:noProof/>
                <w:webHidden/>
              </w:rPr>
              <w:fldChar w:fldCharType="end"/>
            </w:r>
          </w:hyperlink>
        </w:p>
        <w:p w14:paraId="548C29DB" w14:textId="73E85240" w:rsidR="003F77EE" w:rsidRDefault="003F77EE">
          <w:pPr>
            <w:pStyle w:val="TOC2"/>
            <w:tabs>
              <w:tab w:val="right" w:leader="dot" w:pos="9628"/>
            </w:tabs>
            <w:rPr>
              <w:rFonts w:asciiTheme="minorHAnsi" w:hAnsiTheme="minorHAnsi"/>
              <w:noProof/>
              <w:kern w:val="2"/>
              <w:sz w:val="24"/>
              <w:lang w:eastAsia="en-AU"/>
              <w14:ligatures w14:val="standardContextual"/>
            </w:rPr>
          </w:pPr>
          <w:hyperlink w:anchor="_Toc205215640" w:history="1">
            <w:r w:rsidRPr="00F00697">
              <w:rPr>
                <w:rStyle w:val="Hyperlink"/>
                <w:noProof/>
              </w:rPr>
              <w:t>Scientific assessment of stock</w:t>
            </w:r>
            <w:r>
              <w:rPr>
                <w:noProof/>
                <w:webHidden/>
              </w:rPr>
              <w:tab/>
            </w:r>
            <w:r>
              <w:rPr>
                <w:noProof/>
                <w:webHidden/>
              </w:rPr>
              <w:fldChar w:fldCharType="begin"/>
            </w:r>
            <w:r>
              <w:rPr>
                <w:noProof/>
                <w:webHidden/>
              </w:rPr>
              <w:instrText xml:space="preserve"> PAGEREF _Toc205215640 \h </w:instrText>
            </w:r>
            <w:r>
              <w:rPr>
                <w:noProof/>
                <w:webHidden/>
              </w:rPr>
            </w:r>
            <w:r>
              <w:rPr>
                <w:noProof/>
                <w:webHidden/>
              </w:rPr>
              <w:fldChar w:fldCharType="separate"/>
            </w:r>
            <w:r>
              <w:rPr>
                <w:noProof/>
                <w:webHidden/>
              </w:rPr>
              <w:t>20</w:t>
            </w:r>
            <w:r>
              <w:rPr>
                <w:noProof/>
                <w:webHidden/>
              </w:rPr>
              <w:fldChar w:fldCharType="end"/>
            </w:r>
          </w:hyperlink>
        </w:p>
        <w:p w14:paraId="202E8B01" w14:textId="7DDB1179"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41" w:history="1">
            <w:r w:rsidRPr="00F00697">
              <w:rPr>
                <w:rStyle w:val="Hyperlink"/>
                <w:rFonts w:cstheme="minorHAnsi"/>
                <w:noProof/>
              </w:rPr>
              <w:t>Information and research priorities</w:t>
            </w:r>
            <w:r>
              <w:rPr>
                <w:noProof/>
                <w:webHidden/>
              </w:rPr>
              <w:tab/>
            </w:r>
            <w:r>
              <w:rPr>
                <w:noProof/>
                <w:webHidden/>
              </w:rPr>
              <w:fldChar w:fldCharType="begin"/>
            </w:r>
            <w:r>
              <w:rPr>
                <w:noProof/>
                <w:webHidden/>
              </w:rPr>
              <w:instrText xml:space="preserve"> PAGEREF _Toc205215641 \h </w:instrText>
            </w:r>
            <w:r>
              <w:rPr>
                <w:noProof/>
                <w:webHidden/>
              </w:rPr>
            </w:r>
            <w:r>
              <w:rPr>
                <w:noProof/>
                <w:webHidden/>
              </w:rPr>
              <w:fldChar w:fldCharType="separate"/>
            </w:r>
            <w:r>
              <w:rPr>
                <w:noProof/>
                <w:webHidden/>
              </w:rPr>
              <w:t>21</w:t>
            </w:r>
            <w:r>
              <w:rPr>
                <w:noProof/>
                <w:webHidden/>
              </w:rPr>
              <w:fldChar w:fldCharType="end"/>
            </w:r>
          </w:hyperlink>
        </w:p>
        <w:p w14:paraId="3497740A" w14:textId="515D39CF"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42" w:history="1">
            <w:r w:rsidRPr="00F00697">
              <w:rPr>
                <w:rStyle w:val="Hyperlink"/>
                <w:rFonts w:cstheme="minorHAnsi"/>
                <w:noProof/>
              </w:rPr>
              <w:t>Schedule of performance monitoring, assessment and review</w:t>
            </w:r>
            <w:r>
              <w:rPr>
                <w:noProof/>
                <w:webHidden/>
              </w:rPr>
              <w:tab/>
            </w:r>
            <w:r>
              <w:rPr>
                <w:noProof/>
                <w:webHidden/>
              </w:rPr>
              <w:fldChar w:fldCharType="begin"/>
            </w:r>
            <w:r>
              <w:rPr>
                <w:noProof/>
                <w:webHidden/>
              </w:rPr>
              <w:instrText xml:space="preserve"> PAGEREF _Toc205215642 \h </w:instrText>
            </w:r>
            <w:r>
              <w:rPr>
                <w:noProof/>
                <w:webHidden/>
              </w:rPr>
            </w:r>
            <w:r>
              <w:rPr>
                <w:noProof/>
                <w:webHidden/>
              </w:rPr>
              <w:fldChar w:fldCharType="separate"/>
            </w:r>
            <w:r>
              <w:rPr>
                <w:noProof/>
                <w:webHidden/>
              </w:rPr>
              <w:t>22</w:t>
            </w:r>
            <w:r>
              <w:rPr>
                <w:noProof/>
                <w:webHidden/>
              </w:rPr>
              <w:fldChar w:fldCharType="end"/>
            </w:r>
          </w:hyperlink>
        </w:p>
        <w:p w14:paraId="314B72D5" w14:textId="3A2B2C20" w:rsidR="003F77EE" w:rsidRDefault="003F77EE">
          <w:pPr>
            <w:pStyle w:val="TOC2"/>
            <w:tabs>
              <w:tab w:val="right" w:leader="dot" w:pos="9628"/>
            </w:tabs>
            <w:rPr>
              <w:rFonts w:asciiTheme="minorHAnsi" w:hAnsiTheme="minorHAnsi"/>
              <w:noProof/>
              <w:kern w:val="2"/>
              <w:sz w:val="24"/>
              <w:lang w:eastAsia="en-AU"/>
              <w14:ligatures w14:val="standardContextual"/>
            </w:rPr>
          </w:pPr>
          <w:hyperlink w:anchor="_Toc205215643" w:history="1">
            <w:r w:rsidRPr="00F00697">
              <w:rPr>
                <w:rStyle w:val="Hyperlink"/>
                <w:noProof/>
              </w:rPr>
              <w:t>Annual performance monitoring and assessment</w:t>
            </w:r>
            <w:r>
              <w:rPr>
                <w:noProof/>
                <w:webHidden/>
              </w:rPr>
              <w:tab/>
            </w:r>
            <w:r>
              <w:rPr>
                <w:noProof/>
                <w:webHidden/>
              </w:rPr>
              <w:fldChar w:fldCharType="begin"/>
            </w:r>
            <w:r>
              <w:rPr>
                <w:noProof/>
                <w:webHidden/>
              </w:rPr>
              <w:instrText xml:space="preserve"> PAGEREF _Toc205215643 \h </w:instrText>
            </w:r>
            <w:r>
              <w:rPr>
                <w:noProof/>
                <w:webHidden/>
              </w:rPr>
            </w:r>
            <w:r>
              <w:rPr>
                <w:noProof/>
                <w:webHidden/>
              </w:rPr>
              <w:fldChar w:fldCharType="separate"/>
            </w:r>
            <w:r>
              <w:rPr>
                <w:noProof/>
                <w:webHidden/>
              </w:rPr>
              <w:t>22</w:t>
            </w:r>
            <w:r>
              <w:rPr>
                <w:noProof/>
                <w:webHidden/>
              </w:rPr>
              <w:fldChar w:fldCharType="end"/>
            </w:r>
          </w:hyperlink>
        </w:p>
        <w:p w14:paraId="36812EFE" w14:textId="6ABB39A7" w:rsidR="003F77EE" w:rsidRDefault="003F77EE">
          <w:pPr>
            <w:pStyle w:val="TOC2"/>
            <w:tabs>
              <w:tab w:val="right" w:leader="dot" w:pos="9628"/>
            </w:tabs>
            <w:rPr>
              <w:rFonts w:asciiTheme="minorHAnsi" w:hAnsiTheme="minorHAnsi"/>
              <w:noProof/>
              <w:kern w:val="2"/>
              <w:sz w:val="24"/>
              <w:lang w:eastAsia="en-AU"/>
              <w14:ligatures w14:val="standardContextual"/>
            </w:rPr>
          </w:pPr>
          <w:hyperlink w:anchor="_Toc205215644" w:history="1">
            <w:r w:rsidRPr="00F00697">
              <w:rPr>
                <w:rStyle w:val="Hyperlink"/>
                <w:noProof/>
              </w:rPr>
              <w:t>Harvest strategy review</w:t>
            </w:r>
            <w:r>
              <w:rPr>
                <w:noProof/>
                <w:webHidden/>
              </w:rPr>
              <w:tab/>
            </w:r>
            <w:r>
              <w:rPr>
                <w:noProof/>
                <w:webHidden/>
              </w:rPr>
              <w:fldChar w:fldCharType="begin"/>
            </w:r>
            <w:r>
              <w:rPr>
                <w:noProof/>
                <w:webHidden/>
              </w:rPr>
              <w:instrText xml:space="preserve"> PAGEREF _Toc205215644 \h </w:instrText>
            </w:r>
            <w:r>
              <w:rPr>
                <w:noProof/>
                <w:webHidden/>
              </w:rPr>
            </w:r>
            <w:r>
              <w:rPr>
                <w:noProof/>
                <w:webHidden/>
              </w:rPr>
              <w:fldChar w:fldCharType="separate"/>
            </w:r>
            <w:r>
              <w:rPr>
                <w:noProof/>
                <w:webHidden/>
              </w:rPr>
              <w:t>22</w:t>
            </w:r>
            <w:r>
              <w:rPr>
                <w:noProof/>
                <w:webHidden/>
              </w:rPr>
              <w:fldChar w:fldCharType="end"/>
            </w:r>
          </w:hyperlink>
        </w:p>
        <w:p w14:paraId="14F4A968" w14:textId="296D31E5" w:rsidR="003F77EE" w:rsidRDefault="003F77EE">
          <w:pPr>
            <w:pStyle w:val="TOC1"/>
            <w:tabs>
              <w:tab w:val="right" w:leader="dot" w:pos="9628"/>
            </w:tabs>
            <w:rPr>
              <w:rFonts w:asciiTheme="minorHAnsi" w:hAnsiTheme="minorHAnsi"/>
              <w:noProof/>
              <w:kern w:val="2"/>
              <w:sz w:val="24"/>
              <w:lang w:eastAsia="en-AU"/>
              <w14:ligatures w14:val="standardContextual"/>
            </w:rPr>
          </w:pPr>
          <w:hyperlink w:anchor="_Toc205215645" w:history="1">
            <w:r w:rsidRPr="00F00697">
              <w:rPr>
                <w:rStyle w:val="Hyperlink"/>
                <w:noProof/>
              </w:rPr>
              <w:t>Acronyms and definitions</w:t>
            </w:r>
            <w:r>
              <w:rPr>
                <w:noProof/>
                <w:webHidden/>
              </w:rPr>
              <w:tab/>
            </w:r>
            <w:r>
              <w:rPr>
                <w:noProof/>
                <w:webHidden/>
              </w:rPr>
              <w:fldChar w:fldCharType="begin"/>
            </w:r>
            <w:r>
              <w:rPr>
                <w:noProof/>
                <w:webHidden/>
              </w:rPr>
              <w:instrText xml:space="preserve"> PAGEREF _Toc205215645 \h </w:instrText>
            </w:r>
            <w:r>
              <w:rPr>
                <w:noProof/>
                <w:webHidden/>
              </w:rPr>
            </w:r>
            <w:r>
              <w:rPr>
                <w:noProof/>
                <w:webHidden/>
              </w:rPr>
              <w:fldChar w:fldCharType="separate"/>
            </w:r>
            <w:r>
              <w:rPr>
                <w:noProof/>
                <w:webHidden/>
              </w:rPr>
              <w:t>23</w:t>
            </w:r>
            <w:r>
              <w:rPr>
                <w:noProof/>
                <w:webHidden/>
              </w:rPr>
              <w:fldChar w:fldCharType="end"/>
            </w:r>
          </w:hyperlink>
        </w:p>
        <w:p w14:paraId="54DD7562" w14:textId="0913BA2D" w:rsidR="00A8791A" w:rsidRDefault="00A8791A">
          <w:r>
            <w:rPr>
              <w:b/>
              <w:bCs/>
              <w:noProof/>
            </w:rPr>
            <w:fldChar w:fldCharType="end"/>
          </w:r>
        </w:p>
      </w:sdtContent>
    </w:sdt>
    <w:p w14:paraId="07604BEE" w14:textId="77777777" w:rsidR="00BD3CA3" w:rsidRDefault="00BD3CA3" w:rsidP="00BD3CA3">
      <w:pPr>
        <w:rPr>
          <w:rFonts w:asciiTheme="minorHAnsi" w:hAnsiTheme="minorHAnsi" w:cstheme="minorHAnsi"/>
        </w:rPr>
      </w:pPr>
    </w:p>
    <w:p w14:paraId="48CC75D7" w14:textId="77777777" w:rsidR="00E65450" w:rsidRDefault="00E65450">
      <w:pPr>
        <w:rPr>
          <w:rFonts w:asciiTheme="minorHAnsi" w:hAnsiTheme="minorHAnsi" w:cstheme="minorHAnsi"/>
        </w:rPr>
        <w:sectPr w:rsidR="00E65450" w:rsidSect="007A42E2">
          <w:headerReference w:type="default" r:id="rId14"/>
          <w:footerReference w:type="default" r:id="rId15"/>
          <w:pgSz w:w="11906" w:h="16838" w:code="9"/>
          <w:pgMar w:top="1134" w:right="1134" w:bottom="1134" w:left="1134" w:header="567" w:footer="567" w:gutter="0"/>
          <w:cols w:space="708"/>
          <w:titlePg/>
          <w:docGrid w:linePitch="360"/>
        </w:sectPr>
      </w:pPr>
      <w:bookmarkStart w:id="1" w:name="_Toc121747111"/>
    </w:p>
    <w:p w14:paraId="16C9BE99" w14:textId="3AFE0482" w:rsidR="005F5F01" w:rsidRPr="00225F20" w:rsidRDefault="002E7FAD" w:rsidP="00495D3F">
      <w:pPr>
        <w:pStyle w:val="Heading1"/>
        <w:spacing w:line="300" w:lineRule="atLeast"/>
        <w:rPr>
          <w:rFonts w:cstheme="minorHAnsi"/>
        </w:rPr>
      </w:pPr>
      <w:bookmarkStart w:id="2" w:name="_Toc204270746"/>
      <w:bookmarkStart w:id="3" w:name="_Toc205215623"/>
      <w:r w:rsidRPr="00225F20">
        <w:rPr>
          <w:rFonts w:cstheme="minorHAnsi"/>
        </w:rPr>
        <w:lastRenderedPageBreak/>
        <w:t xml:space="preserve">What </w:t>
      </w:r>
      <w:r w:rsidR="00722ADC" w:rsidRPr="00225F20">
        <w:rPr>
          <w:rFonts w:cstheme="minorHAnsi"/>
        </w:rPr>
        <w:t xml:space="preserve">the </w:t>
      </w:r>
      <w:r w:rsidRPr="00225F20">
        <w:rPr>
          <w:rFonts w:cstheme="minorHAnsi"/>
        </w:rPr>
        <w:t>harvest strategy is trying to achieve</w:t>
      </w:r>
      <w:bookmarkEnd w:id="1"/>
      <w:bookmarkEnd w:id="2"/>
      <w:bookmarkEnd w:id="3"/>
    </w:p>
    <w:p w14:paraId="7A4F20F5" w14:textId="56C2905D" w:rsidR="007C5FCC" w:rsidRPr="00792F3E" w:rsidRDefault="63F75D8E" w:rsidP="00CB33BF">
      <w:r w:rsidRPr="6C914696">
        <w:t>This</w:t>
      </w:r>
      <w:r w:rsidR="11A6E598" w:rsidRPr="6C914696">
        <w:t xml:space="preserve"> </w:t>
      </w:r>
      <w:r w:rsidRPr="6C914696">
        <w:t xml:space="preserve">harvest strategy has been developed </w:t>
      </w:r>
      <w:r w:rsidR="05B454BF" w:rsidRPr="6C914696">
        <w:t xml:space="preserve">in line with the </w:t>
      </w:r>
      <w:r w:rsidR="5EC790D4" w:rsidRPr="6C914696">
        <w:rPr>
          <w:i/>
        </w:rPr>
        <w:t>Queensland h</w:t>
      </w:r>
      <w:r w:rsidR="05B454BF" w:rsidRPr="6C914696">
        <w:rPr>
          <w:i/>
        </w:rPr>
        <w:t xml:space="preserve">arvest </w:t>
      </w:r>
      <w:r w:rsidR="5EC790D4" w:rsidRPr="6C914696">
        <w:rPr>
          <w:i/>
        </w:rPr>
        <w:t>s</w:t>
      </w:r>
      <w:r w:rsidR="05B454BF" w:rsidRPr="6C914696">
        <w:rPr>
          <w:i/>
        </w:rPr>
        <w:t xml:space="preserve">trategy </w:t>
      </w:r>
      <w:r w:rsidR="5EC790D4" w:rsidRPr="6C914696">
        <w:rPr>
          <w:i/>
        </w:rPr>
        <w:t>p</w:t>
      </w:r>
      <w:r w:rsidR="05B454BF" w:rsidRPr="6C914696">
        <w:rPr>
          <w:i/>
        </w:rPr>
        <w:t>olicy</w:t>
      </w:r>
      <w:r w:rsidR="05B454BF" w:rsidRPr="6C914696">
        <w:t xml:space="preserve"> </w:t>
      </w:r>
      <w:r w:rsidRPr="6C914696">
        <w:t xml:space="preserve">to manage </w:t>
      </w:r>
      <w:r w:rsidR="2C6AE064" w:rsidRPr="6C914696">
        <w:t xml:space="preserve">harvest </w:t>
      </w:r>
      <w:r w:rsidR="19616291" w:rsidRPr="6C914696">
        <w:t xml:space="preserve">in </w:t>
      </w:r>
      <w:r w:rsidRPr="6C914696">
        <w:t>the</w:t>
      </w:r>
      <w:r w:rsidR="2C6AE064" w:rsidRPr="6C914696">
        <w:t xml:space="preserve"> </w:t>
      </w:r>
      <w:r w:rsidR="20A4DCC1" w:rsidRPr="6C914696">
        <w:t>Queensland</w:t>
      </w:r>
      <w:r w:rsidRPr="6C914696">
        <w:t xml:space="preserve"> </w:t>
      </w:r>
      <w:r w:rsidR="7FA424CC" w:rsidRPr="6C914696">
        <w:t>Gulf of Carpentaria inshore fishery</w:t>
      </w:r>
      <w:r w:rsidR="4E64E958" w:rsidRPr="6C914696">
        <w:t xml:space="preserve"> (</w:t>
      </w:r>
      <w:r w:rsidR="2AA01EB1" w:rsidRPr="6C914696">
        <w:t>GOCIF</w:t>
      </w:r>
      <w:r w:rsidR="4E64E958" w:rsidRPr="6C914696">
        <w:t>)</w:t>
      </w:r>
      <w:r w:rsidR="4BF8E6D7" w:rsidRPr="6C914696">
        <w:t xml:space="preserve">. </w:t>
      </w:r>
      <w:r w:rsidR="573B6665" w:rsidRPr="6C914696">
        <w:t xml:space="preserve">While </w:t>
      </w:r>
      <w:r w:rsidR="638C44C7" w:rsidRPr="6C914696">
        <w:t xml:space="preserve">some stocks of the GOCIF are healthy, others need rebuilding </w:t>
      </w:r>
      <w:r w:rsidR="7C8B0B21" w:rsidRPr="6C914696">
        <w:t>to</w:t>
      </w:r>
      <w:r w:rsidR="277F4D77" w:rsidRPr="6C914696">
        <w:t xml:space="preserve"> achieve biomass targets</w:t>
      </w:r>
      <w:r w:rsidR="00E1143D">
        <w:t xml:space="preserve">. </w:t>
      </w:r>
      <w:r w:rsidR="1D99A8B9" w:rsidRPr="6C914696">
        <w:t xml:space="preserve">Further data is needed for some target </w:t>
      </w:r>
      <w:r w:rsidR="5BE9D3AE" w:rsidRPr="6C914696">
        <w:t xml:space="preserve">and secondary </w:t>
      </w:r>
      <w:r w:rsidR="1D99A8B9" w:rsidRPr="6C914696">
        <w:t>species to inform how to meet those</w:t>
      </w:r>
      <w:r w:rsidR="6DB66FEE" w:rsidRPr="6C914696">
        <w:t xml:space="preserve"> biomass targets, however they still require responsive management measures </w:t>
      </w:r>
      <w:r w:rsidR="420FA740" w:rsidRPr="6C914696">
        <w:t xml:space="preserve">while this </w:t>
      </w:r>
      <w:r w:rsidR="00E36BEF">
        <w:t>information</w:t>
      </w:r>
      <w:r w:rsidR="00E36BEF" w:rsidRPr="6C914696">
        <w:t xml:space="preserve"> </w:t>
      </w:r>
      <w:r w:rsidR="420FA740" w:rsidRPr="6C914696">
        <w:t>is collected</w:t>
      </w:r>
      <w:r w:rsidR="26241771" w:rsidRPr="6C914696">
        <w:t>. To address a range of social</w:t>
      </w:r>
      <w:r w:rsidR="65DDFE27" w:rsidRPr="6C914696">
        <w:t xml:space="preserve">, </w:t>
      </w:r>
      <w:r w:rsidR="26241771" w:rsidRPr="6C914696">
        <w:t>economic</w:t>
      </w:r>
      <w:r w:rsidR="31B7D01E" w:rsidRPr="6C914696">
        <w:t xml:space="preserve"> and ecological</w:t>
      </w:r>
      <w:r w:rsidR="26241771" w:rsidRPr="6C914696">
        <w:t xml:space="preserve"> issues, </w:t>
      </w:r>
      <w:r w:rsidR="00EE207F" w:rsidRPr="00EE207F">
        <w:t>this harvest strategy has been developed to allow modern and responsive management measures are in place to ensure the sustainable harvest of the region's fisheries resources. This harvest strategy will address a range of social, economic and ecological issues while maintaining catch shares amongst the commercial, recreational, charter and Indigenous fishing sectors.</w:t>
      </w:r>
    </w:p>
    <w:p w14:paraId="74F8B509" w14:textId="164A9C59" w:rsidR="00CB1D38" w:rsidRPr="00687C9E" w:rsidRDefault="63C665CC" w:rsidP="00CB33BF">
      <w:r w:rsidRPr="6C914696">
        <w:t>The aim of this harvest strategy is to manage fishing mortality through setting sustainable catch limits a</w:t>
      </w:r>
      <w:r w:rsidR="00AD06F8">
        <w:t>t</w:t>
      </w:r>
      <w:r w:rsidRPr="6C914696">
        <w:t xml:space="preserve"> a level that allows the stock to achieve biomass targets. </w:t>
      </w:r>
      <w:r w:rsidR="7C0FB531" w:rsidRPr="6C914696">
        <w:t>The decision rules are designed to set catch limits at levels appropriate for achieving the spawning biomass of 60% (for species that drive fishing behaviour in this fishery) and to maintain catch shares amongst sectors. For species where biomass estimates are not available, and those that are not driving fishing behaviour, precautionary catch limits and triggers have been designed. Other management tools (e.g. size limits, spawning closures etc.) may also be used to support the sustainable management of stocks under this harvest strategy.</w:t>
      </w:r>
    </w:p>
    <w:p w14:paraId="447E979C" w14:textId="3EEB413D" w:rsidR="00CB1D38" w:rsidRPr="00687C9E" w:rsidRDefault="63F75D8E" w:rsidP="6C914696">
      <w:pPr>
        <w:pStyle w:val="Heading1"/>
        <w:spacing w:line="300" w:lineRule="atLeast"/>
        <w:rPr>
          <w:rFonts w:cstheme="minorBidi"/>
        </w:rPr>
      </w:pPr>
      <w:bookmarkStart w:id="4" w:name="_Toc121747112"/>
      <w:bookmarkStart w:id="5" w:name="_Toc204270747"/>
      <w:bookmarkStart w:id="6" w:name="_Toc205215624"/>
      <w:r w:rsidRPr="6C914696">
        <w:rPr>
          <w:rFonts w:cstheme="minorBidi"/>
        </w:rPr>
        <w:t>Fishery overview</w:t>
      </w:r>
      <w:bookmarkEnd w:id="4"/>
      <w:bookmarkEnd w:id="5"/>
      <w:bookmarkEnd w:id="6"/>
    </w:p>
    <w:p w14:paraId="77A3274A" w14:textId="61BDF7EB" w:rsidR="6D135A7B" w:rsidRDefault="00AA202D" w:rsidP="00BE2768">
      <w:pPr>
        <w:spacing w:after="120"/>
      </w:pPr>
      <w:r>
        <w:rPr>
          <w:noProof/>
          <w:sz w:val="22"/>
          <w:szCs w:val="22"/>
        </w:rPr>
        <w:drawing>
          <wp:anchor distT="0" distB="0" distL="114300" distR="114300" simplePos="0" relativeHeight="251658242" behindDoc="1" locked="0" layoutInCell="1" allowOverlap="1" wp14:anchorId="4F049899" wp14:editId="4009342F">
            <wp:simplePos x="0" y="0"/>
            <wp:positionH relativeFrom="margin">
              <wp:posOffset>3157855</wp:posOffset>
            </wp:positionH>
            <wp:positionV relativeFrom="paragraph">
              <wp:posOffset>110490</wp:posOffset>
            </wp:positionV>
            <wp:extent cx="2689860" cy="3757930"/>
            <wp:effectExtent l="0" t="0" r="0" b="0"/>
            <wp:wrapTight wrapText="bothSides">
              <wp:wrapPolygon edited="0">
                <wp:start x="0" y="0"/>
                <wp:lineTo x="0" y="21461"/>
                <wp:lineTo x="21416" y="21461"/>
                <wp:lineTo x="21416" y="0"/>
                <wp:lineTo x="0" y="0"/>
              </wp:wrapPolygon>
            </wp:wrapTight>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89860" cy="3757930"/>
                    </a:xfrm>
                    <a:prstGeom prst="rect">
                      <a:avLst/>
                    </a:prstGeom>
                  </pic:spPr>
                </pic:pic>
              </a:graphicData>
            </a:graphic>
            <wp14:sizeRelH relativeFrom="margin">
              <wp14:pctWidth>0</wp14:pctWidth>
            </wp14:sizeRelH>
            <wp14:sizeRelV relativeFrom="margin">
              <wp14:pctHeight>0</wp14:pctHeight>
            </wp14:sizeRelV>
          </wp:anchor>
        </w:drawing>
      </w:r>
      <w:r w:rsidR="6D135A7B" w:rsidRPr="6C914696">
        <w:t xml:space="preserve">The GOCIF is a complex, multi-species, </w:t>
      </w:r>
      <w:r w:rsidR="00CF78FC">
        <w:t>net and line</w:t>
      </w:r>
      <w:r w:rsidR="41E4B00F" w:rsidRPr="6C914696">
        <w:t xml:space="preserve"> fishery operating in all tidal waters in the Gulf of Carpentaria, out to the Queensland border with the Northern Territory and the </w:t>
      </w:r>
      <w:r w:rsidR="5A0ED36B" w:rsidRPr="6C914696">
        <w:t>Australian</w:t>
      </w:r>
      <w:r w:rsidR="41E4B00F" w:rsidRPr="6C914696">
        <w:t xml:space="preserve"> </w:t>
      </w:r>
      <w:r w:rsidR="6CDBB832" w:rsidRPr="6C914696">
        <w:t>f</w:t>
      </w:r>
      <w:r w:rsidR="41E4B00F" w:rsidRPr="6C914696">
        <w:t xml:space="preserve">ishing </w:t>
      </w:r>
      <w:r w:rsidR="2CDC6CF2" w:rsidRPr="6C914696">
        <w:t>z</w:t>
      </w:r>
      <w:r w:rsidR="41E4B00F" w:rsidRPr="6C914696">
        <w:t>one.</w:t>
      </w:r>
      <w:r w:rsidR="1EBEEB90" w:rsidRPr="6C914696">
        <w:t xml:space="preserve"> </w:t>
      </w:r>
      <w:r w:rsidR="5F037FEF" w:rsidRPr="6C914696">
        <w:t xml:space="preserve">The GOCIF is a diverse fishery, with commercial, recreational, charter and Aboriginal and Torres Strait Islander fishers accessing the regions </w:t>
      </w:r>
      <w:r w:rsidR="5DE28AF1" w:rsidRPr="6C914696">
        <w:t>fishery resources</w:t>
      </w:r>
      <w:r w:rsidR="5F037FEF" w:rsidRPr="6C914696">
        <w:t>.</w:t>
      </w:r>
      <w:r w:rsidR="7BB8FA0D" w:rsidRPr="6C914696">
        <w:t xml:space="preserve"> </w:t>
      </w:r>
      <w:r w:rsidR="582FCA54" w:rsidRPr="6C914696">
        <w:t xml:space="preserve">Product harvested from the fishery supplies </w:t>
      </w:r>
      <w:r w:rsidR="22E20785" w:rsidRPr="6C914696">
        <w:t xml:space="preserve">domestic markets, with the majority of product sold in Queensland. </w:t>
      </w:r>
    </w:p>
    <w:p w14:paraId="55B7162B" w14:textId="09717E16" w:rsidR="0398C8F2" w:rsidRDefault="0398C8F2" w:rsidP="00CB33BF">
      <w:r w:rsidRPr="6C914696">
        <w:t>The commercial fishery comprises a diverse range of fishing operations th</w:t>
      </w:r>
      <w:r w:rsidR="51231FDE" w:rsidRPr="6C914696">
        <w:t>at</w:t>
      </w:r>
      <w:r w:rsidRPr="6C914696">
        <w:t xml:space="preserve"> use net</w:t>
      </w:r>
      <w:r w:rsidR="00E53026">
        <w:t xml:space="preserve"> and </w:t>
      </w:r>
      <w:r w:rsidRPr="6C914696">
        <w:t xml:space="preserve">line gear to target regionally important species. </w:t>
      </w:r>
      <w:r w:rsidR="0A08ED22" w:rsidRPr="6C914696">
        <w:t>The fishery is separated into three main regions under the existing fishery symbols</w:t>
      </w:r>
      <w:r w:rsidR="2CABA4F2" w:rsidRPr="6C914696">
        <w:t>. These comprise of an</w:t>
      </w:r>
      <w:r w:rsidR="0A08ED22" w:rsidRPr="6C914696">
        <w:t xml:space="preserve"> inshore</w:t>
      </w:r>
      <w:r w:rsidR="4F6DDBB5" w:rsidRPr="6C914696">
        <w:t xml:space="preserve"> net component </w:t>
      </w:r>
      <w:r w:rsidR="6AF4BBBC" w:rsidRPr="6C914696">
        <w:t>targeting</w:t>
      </w:r>
      <w:r w:rsidR="4F6DDBB5" w:rsidRPr="6C914696">
        <w:t xml:space="preserve"> barramundi and king threadfin</w:t>
      </w:r>
      <w:r w:rsidR="465DB4D5" w:rsidRPr="6C914696">
        <w:t xml:space="preserve">, </w:t>
      </w:r>
      <w:r w:rsidR="4F6DDBB5" w:rsidRPr="6C914696">
        <w:t xml:space="preserve">an </w:t>
      </w:r>
      <w:r w:rsidR="0A08ED22" w:rsidRPr="6C914696">
        <w:t>offshore net component</w:t>
      </w:r>
      <w:r w:rsidR="30661A1E" w:rsidRPr="6C914696">
        <w:t xml:space="preserve"> </w:t>
      </w:r>
      <w:r w:rsidR="3E2569DA" w:rsidRPr="6C914696">
        <w:t xml:space="preserve">targeting </w:t>
      </w:r>
      <w:r w:rsidR="30661A1E" w:rsidRPr="6C914696">
        <w:t>mackerel and shark species</w:t>
      </w:r>
      <w:r w:rsidR="080A46F5" w:rsidRPr="6C914696">
        <w:t xml:space="preserve">, and </w:t>
      </w:r>
      <w:r w:rsidR="30661A1E" w:rsidRPr="6C914696">
        <w:t>an</w:t>
      </w:r>
      <w:r w:rsidR="0A08ED22" w:rsidRPr="6C914696">
        <w:t xml:space="preserve"> offshore line component</w:t>
      </w:r>
      <w:r w:rsidR="77E09587" w:rsidRPr="6C914696">
        <w:t xml:space="preserve"> targeting Spanish mackerel. </w:t>
      </w:r>
      <w:r w:rsidR="2F8B84BB" w:rsidRPr="6C914696">
        <w:t xml:space="preserve">The commercial </w:t>
      </w:r>
      <w:r w:rsidR="16897205" w:rsidRPr="6C914696">
        <w:t xml:space="preserve">net fishery has an annual closure and </w:t>
      </w:r>
      <w:r w:rsidR="2F8B84BB" w:rsidRPr="6C914696">
        <w:t xml:space="preserve">operates from 1 February – 7 October each year. </w:t>
      </w:r>
    </w:p>
    <w:p w14:paraId="48A4131A" w14:textId="01292C36" w:rsidR="740832BE" w:rsidRDefault="740832BE" w:rsidP="00CB33BF">
      <w:r w:rsidRPr="6C914696">
        <w:lastRenderedPageBreak/>
        <w:t>Recreational and charter fishers use line</w:t>
      </w:r>
      <w:r w:rsidR="006A4070">
        <w:t xml:space="preserve"> gear</w:t>
      </w:r>
      <w:r w:rsidRPr="6C914696">
        <w:t xml:space="preserve">, cast nets, small </w:t>
      </w:r>
      <w:r w:rsidRPr="305ECF02">
        <w:t>sein</w:t>
      </w:r>
      <w:r w:rsidR="30AD8D76" w:rsidRPr="305ECF02">
        <w:t>e</w:t>
      </w:r>
      <w:r w:rsidRPr="6C914696">
        <w:t xml:space="preserve"> nets, spears and spearguns. The recreational and charter components </w:t>
      </w:r>
      <w:r w:rsidR="358603AA" w:rsidRPr="6C914696">
        <w:t>of</w:t>
      </w:r>
      <w:r w:rsidRPr="6C914696">
        <w:t xml:space="preserve"> the fishery target species for food and sport. </w:t>
      </w:r>
    </w:p>
    <w:p w14:paraId="62035431" w14:textId="197D3762" w:rsidR="008B3277" w:rsidRPr="00540170" w:rsidRDefault="2C21522F" w:rsidP="00CB33BF">
      <w:pPr>
        <w:rPr>
          <w:rFonts w:cstheme="minorHAnsi"/>
          <w:b/>
          <w:color w:val="FFFFFF" w:themeColor="background1"/>
          <w:sz w:val="16"/>
          <w:szCs w:val="16"/>
        </w:rPr>
      </w:pPr>
      <w:r w:rsidRPr="6C914696">
        <w:t xml:space="preserve">Fishing is also an important customary activity for Aboriginal peoples and Torres Strait Islanders. Traditional fishing satisfies a </w:t>
      </w:r>
      <w:r w:rsidR="51DC5A54" w:rsidRPr="6C914696">
        <w:t>personal</w:t>
      </w:r>
      <w:r w:rsidRPr="6C914696">
        <w:t xml:space="preserve"> domestic or non-commercial communal need in accordance with the </w:t>
      </w:r>
      <w:r w:rsidR="5BFCEA89" w:rsidRPr="6C914696">
        <w:t>traditional laws and customs of the traditional owners of the area being fished.</w:t>
      </w:r>
    </w:p>
    <w:p w14:paraId="00EFDD40" w14:textId="6C505CC1" w:rsidR="0078385A" w:rsidRPr="00687C9E" w:rsidRDefault="63F75D8E" w:rsidP="00687C9E">
      <w:pPr>
        <w:pStyle w:val="Heading1"/>
        <w:spacing w:line="300" w:lineRule="atLeast"/>
        <w:rPr>
          <w:rFonts w:cstheme="minorHAnsi"/>
        </w:rPr>
      </w:pPr>
      <w:bookmarkStart w:id="7" w:name="_Toc121747113"/>
      <w:bookmarkStart w:id="8" w:name="_Toc204270748"/>
      <w:bookmarkStart w:id="9" w:name="_Toc205215625"/>
      <w:r w:rsidRPr="6C914696">
        <w:rPr>
          <w:rFonts w:cstheme="minorBidi"/>
        </w:rPr>
        <w:t>Stocks covered by the harvest strategy</w:t>
      </w:r>
      <w:bookmarkEnd w:id="7"/>
      <w:bookmarkEnd w:id="8"/>
      <w:bookmarkEnd w:id="9"/>
    </w:p>
    <w:p w14:paraId="365A9B92" w14:textId="534119B2" w:rsidR="0804F39E" w:rsidRDefault="0804F39E" w:rsidP="00EE6CFA">
      <w:r w:rsidRPr="6C914696">
        <w:t>As the GOCIF is a multi-species fishery</w:t>
      </w:r>
      <w:r w:rsidR="421BF71D" w:rsidRPr="6C914696">
        <w:t>,</w:t>
      </w:r>
      <w:r w:rsidRPr="6C914696">
        <w:t xml:space="preserve"> target, secondary and by-product species</w:t>
      </w:r>
      <w:r w:rsidR="6A9E838B" w:rsidRPr="6C914696">
        <w:t xml:space="preserve"> have been categorised into the following management tiers</w:t>
      </w:r>
      <w:r w:rsidR="2E90697F" w:rsidRPr="6C914696">
        <w:t>:</w:t>
      </w:r>
    </w:p>
    <w:p w14:paraId="4771AB41" w14:textId="7C6A3C8D" w:rsidR="2E90697F" w:rsidRDefault="2E90697F" w:rsidP="00CE32FC">
      <w:pPr>
        <w:pStyle w:val="ListParagraph"/>
        <w:numPr>
          <w:ilvl w:val="0"/>
          <w:numId w:val="21"/>
        </w:numPr>
        <w:spacing w:after="120"/>
        <w:ind w:left="714" w:hanging="357"/>
        <w:contextualSpacing w:val="0"/>
      </w:pPr>
      <w:r w:rsidRPr="6C914696">
        <w:t xml:space="preserve">Tier 1 – These are the key target species identified as driving fishing behaviour within the fishery. These species are subject to </w:t>
      </w:r>
      <w:r w:rsidR="008F651C">
        <w:t xml:space="preserve">competitive </w:t>
      </w:r>
      <w:r w:rsidRPr="6C914696">
        <w:t>total allowable commercial catch (TACC)</w:t>
      </w:r>
      <w:r w:rsidR="6A280BE9" w:rsidRPr="6C914696">
        <w:t xml:space="preserve"> limits</w:t>
      </w:r>
      <w:r w:rsidR="00410A2E">
        <w:t>, also known as Prescribed Commercial Catch limits</w:t>
      </w:r>
      <w:r w:rsidR="6A280BE9" w:rsidRPr="6C914696">
        <w:t xml:space="preserve">. For the charter and recreational sectors, these species have in-possession and size limits. </w:t>
      </w:r>
    </w:p>
    <w:p w14:paraId="0D2C0C2E" w14:textId="28B0A5E7" w:rsidR="6A280BE9" w:rsidRDefault="6A280BE9" w:rsidP="00CE32FC">
      <w:pPr>
        <w:pStyle w:val="ListParagraph"/>
        <w:numPr>
          <w:ilvl w:val="0"/>
          <w:numId w:val="21"/>
        </w:numPr>
        <w:spacing w:after="120"/>
        <w:ind w:left="714" w:hanging="357"/>
        <w:contextualSpacing w:val="0"/>
      </w:pPr>
      <w:r w:rsidRPr="6C914696">
        <w:t xml:space="preserve">Tier 2 – </w:t>
      </w:r>
      <w:r w:rsidR="21A794B8" w:rsidRPr="6C914696">
        <w:t xml:space="preserve">These species are of high commercial and recreational </w:t>
      </w:r>
      <w:proofErr w:type="gramStart"/>
      <w:r w:rsidR="21A794B8" w:rsidRPr="6C914696">
        <w:t>importance, and</w:t>
      </w:r>
      <w:proofErr w:type="gramEnd"/>
      <w:r w:rsidR="21A794B8" w:rsidRPr="6C914696">
        <w:t xml:space="preserve"> are typically targeted and co-caught species within the fishery. These species are subject to a competitive TACC. For recreational fisheries, these species have in-possession and size limits.</w:t>
      </w:r>
    </w:p>
    <w:p w14:paraId="1FE5743A" w14:textId="2DA53573" w:rsidR="21A794B8" w:rsidRDefault="21A794B8" w:rsidP="001E7259">
      <w:pPr>
        <w:pStyle w:val="ListParagraph"/>
        <w:numPr>
          <w:ilvl w:val="0"/>
          <w:numId w:val="21"/>
        </w:numPr>
        <w:spacing w:after="120"/>
        <w:ind w:left="714" w:hanging="357"/>
        <w:contextualSpacing w:val="0"/>
      </w:pPr>
      <w:r w:rsidRPr="6C914696">
        <w:t>Tier 3 – All other species are monitored using catch triggers to ensure that increasing or shifting fishing pressure does not present an unacceptable level of risk. For recreational fisheries, some of these species will have in-possession and size limits, while all others are captured by the general in-possession limit.</w:t>
      </w:r>
    </w:p>
    <w:p w14:paraId="0BC77437" w14:textId="16EE764A" w:rsidR="227C37B6" w:rsidRDefault="227C37B6" w:rsidP="00EE6CFA">
      <w:r w:rsidRPr="6C914696">
        <w:t>Management tiers are an important component for multi-species fisheries, as it allows for further prioritisation to streamline management procedures and prioritise resourcing requirements among species.</w:t>
      </w:r>
    </w:p>
    <w:p w14:paraId="1181B67F" w14:textId="59B4567A" w:rsidR="001511C9" w:rsidRPr="005D617E" w:rsidRDefault="3AA39544" w:rsidP="00EE6CFA">
      <w:r w:rsidRPr="6C914696">
        <w:t xml:space="preserve">The stock structure of tier 1 and 2 species range from those with </w:t>
      </w:r>
      <w:r w:rsidR="70BD3BC6" w:rsidRPr="6C914696">
        <w:t xml:space="preserve">broad distributions along the Queensland Gulf of Carpentaria, with some also extending into </w:t>
      </w:r>
      <w:r w:rsidR="3D2AE81E" w:rsidRPr="6C914696">
        <w:t>adjacent</w:t>
      </w:r>
      <w:r w:rsidR="70BD3BC6" w:rsidRPr="6C914696">
        <w:t xml:space="preserve"> management jurisdictions (i.e.</w:t>
      </w:r>
      <w:r w:rsidR="0EB2EFFF" w:rsidRPr="6C914696">
        <w:t xml:space="preserve"> Spanish and grey </w:t>
      </w:r>
      <w:r w:rsidR="642D1C4E" w:rsidRPr="6C914696">
        <w:t>mackerel are shared stocks harvested in Northern Territory waters</w:t>
      </w:r>
      <w:r w:rsidR="0EB2EFFF" w:rsidRPr="6C914696">
        <w:t>)</w:t>
      </w:r>
      <w:r w:rsidR="2827DC23" w:rsidRPr="6C914696">
        <w:t>. There are also several species within the fishery that may have complex and/or fine scale stock structure (i.e. barramundi and king threadfin)</w:t>
      </w:r>
      <w:r w:rsidR="4DF44D1C" w:rsidRPr="6C914696">
        <w:t xml:space="preserve">. Table 1 outlines the fish stocks covered by this harvest strategy and their associated management tiers. </w:t>
      </w:r>
      <w:r w:rsidR="42FBF6A2" w:rsidRPr="6C914696">
        <w:t>Over time, s</w:t>
      </w:r>
      <w:r w:rsidR="4DF44D1C" w:rsidRPr="6C914696">
        <w:t xml:space="preserve">pecies may transition between </w:t>
      </w:r>
      <w:r w:rsidR="2E1F072C" w:rsidRPr="6C914696">
        <w:t>management</w:t>
      </w:r>
      <w:r w:rsidR="3DC9B1D4" w:rsidRPr="6C914696">
        <w:t xml:space="preserve"> tiers if fishing pressure shifts towards tier 2 or 3 species. </w:t>
      </w:r>
    </w:p>
    <w:p w14:paraId="4207CCB4" w14:textId="3EC47322" w:rsidR="005709AC" w:rsidRPr="00BB4194" w:rsidRDefault="002E7FAD" w:rsidP="00085FD6">
      <w:pPr>
        <w:pStyle w:val="Caption"/>
      </w:pPr>
      <w:r w:rsidRPr="00BB4194">
        <w:rPr>
          <w:iCs w:val="0"/>
        </w:rPr>
        <w:t>Table 1: Summar</w:t>
      </w:r>
      <w:r w:rsidR="00BB4194">
        <w:rPr>
          <w:iCs w:val="0"/>
        </w:rPr>
        <w:t>y of</w:t>
      </w:r>
      <w:r w:rsidRPr="00BB4194">
        <w:rPr>
          <w:iCs w:val="0"/>
        </w:rPr>
        <w:t xml:space="preserve"> fish stocks c</w:t>
      </w:r>
      <w:r w:rsidR="004D3435" w:rsidRPr="00BB4194">
        <w:rPr>
          <w:iCs w:val="0"/>
        </w:rPr>
        <w:t>overed by this harvest strategy</w:t>
      </w:r>
    </w:p>
    <w:tbl>
      <w:tblPr>
        <w:tblStyle w:val="TableGrid"/>
        <w:tblW w:w="9634" w:type="dxa"/>
        <w:tblBorders>
          <w:top w:val="single" w:sz="4" w:space="0" w:color="005672"/>
          <w:left w:val="none" w:sz="0" w:space="0" w:color="auto"/>
          <w:bottom w:val="single" w:sz="4" w:space="0" w:color="005672"/>
          <w:right w:val="none" w:sz="0" w:space="0" w:color="auto"/>
          <w:insideH w:val="single" w:sz="4" w:space="0" w:color="005672"/>
          <w:insideV w:val="none" w:sz="0" w:space="0" w:color="auto"/>
        </w:tblBorders>
        <w:tblLook w:val="04A0" w:firstRow="1" w:lastRow="0" w:firstColumn="1" w:lastColumn="0" w:noHBand="0" w:noVBand="1"/>
        <w:tblCaption w:val="Summarises the fish stocks covered by this harvest strategy"/>
      </w:tblPr>
      <w:tblGrid>
        <w:gridCol w:w="2263"/>
        <w:gridCol w:w="7371"/>
      </w:tblGrid>
      <w:tr w:rsidR="009F3883" w14:paraId="5497F132" w14:textId="77777777" w:rsidTr="00EE6CFA">
        <w:trPr>
          <w:trHeight w:val="402"/>
          <w:tblHeader/>
        </w:trPr>
        <w:tc>
          <w:tcPr>
            <w:tcW w:w="2263" w:type="dxa"/>
            <w:shd w:val="clear" w:color="auto" w:fill="005672"/>
            <w:hideMark/>
          </w:tcPr>
          <w:p w14:paraId="4044EF3B" w14:textId="77777777" w:rsidR="00884896" w:rsidRPr="00C90B72" w:rsidRDefault="002E7FAD" w:rsidP="00EE6CFA">
            <w:pPr>
              <w:spacing w:before="60" w:after="60" w:line="259" w:lineRule="auto"/>
              <w:rPr>
                <w:rFonts w:cs="Noto Sans"/>
                <w:b/>
                <w:color w:val="FFFFFF" w:themeColor="background1"/>
                <w:sz w:val="18"/>
                <w:szCs w:val="18"/>
              </w:rPr>
            </w:pPr>
            <w:r w:rsidRPr="00C90B72">
              <w:rPr>
                <w:rFonts w:cs="Noto Sans"/>
                <w:b/>
                <w:color w:val="FFFFFF" w:themeColor="background1"/>
                <w:sz w:val="18"/>
                <w:szCs w:val="18"/>
              </w:rPr>
              <w:t>Feature</w:t>
            </w:r>
          </w:p>
        </w:tc>
        <w:tc>
          <w:tcPr>
            <w:tcW w:w="7371" w:type="dxa"/>
            <w:shd w:val="clear" w:color="auto" w:fill="005672"/>
            <w:hideMark/>
          </w:tcPr>
          <w:p w14:paraId="2F9A7C1B" w14:textId="77777777" w:rsidR="00884896" w:rsidRPr="00C90B72" w:rsidRDefault="002E7FAD" w:rsidP="00EE6CFA">
            <w:pPr>
              <w:spacing w:before="60" w:after="60" w:line="259" w:lineRule="auto"/>
              <w:rPr>
                <w:rFonts w:cs="Noto Sans"/>
                <w:b/>
                <w:color w:val="FFFFFF" w:themeColor="background1"/>
                <w:sz w:val="18"/>
                <w:szCs w:val="18"/>
              </w:rPr>
            </w:pPr>
            <w:r w:rsidRPr="00C90B72">
              <w:rPr>
                <w:rFonts w:cs="Noto Sans"/>
                <w:b/>
                <w:color w:val="FFFFFF" w:themeColor="background1"/>
                <w:sz w:val="18"/>
                <w:szCs w:val="18"/>
              </w:rPr>
              <w:t>Details</w:t>
            </w:r>
          </w:p>
        </w:tc>
      </w:tr>
      <w:tr w:rsidR="009F3883" w14:paraId="11F6C2A1" w14:textId="77777777" w:rsidTr="00EE6CFA">
        <w:trPr>
          <w:trHeight w:val="419"/>
        </w:trPr>
        <w:tc>
          <w:tcPr>
            <w:tcW w:w="2263" w:type="dxa"/>
          </w:tcPr>
          <w:p w14:paraId="640CFFC0" w14:textId="02A7CA7C" w:rsidR="00884896" w:rsidRPr="00C90B72" w:rsidRDefault="462563F2" w:rsidP="00EE6CFA">
            <w:pPr>
              <w:spacing w:before="60" w:after="60" w:line="259" w:lineRule="auto"/>
              <w:rPr>
                <w:sz w:val="18"/>
                <w:szCs w:val="18"/>
              </w:rPr>
            </w:pPr>
            <w:r w:rsidRPr="00C90B72">
              <w:rPr>
                <w:rFonts w:cs="Noto Sans"/>
                <w:b/>
                <w:sz w:val="18"/>
                <w:szCs w:val="18"/>
                <w:lang w:eastAsia="en-AU"/>
              </w:rPr>
              <w:t>Tier 1</w:t>
            </w:r>
          </w:p>
        </w:tc>
        <w:tc>
          <w:tcPr>
            <w:tcW w:w="7371" w:type="dxa"/>
          </w:tcPr>
          <w:p w14:paraId="0CAC3BEE" w14:textId="323B9E2C" w:rsidR="00884896" w:rsidRPr="00C90B72" w:rsidRDefault="462563F2" w:rsidP="00EE6CFA">
            <w:pPr>
              <w:pStyle w:val="ListParagraph"/>
              <w:numPr>
                <w:ilvl w:val="0"/>
                <w:numId w:val="22"/>
              </w:numPr>
              <w:spacing w:before="60" w:after="60" w:line="259" w:lineRule="auto"/>
              <w:ind w:left="324" w:hanging="284"/>
              <w:rPr>
                <w:rFonts w:cs="Noto Sans"/>
                <w:sz w:val="18"/>
                <w:szCs w:val="18"/>
                <w:lang w:eastAsia="en-AU"/>
              </w:rPr>
            </w:pPr>
            <w:r w:rsidRPr="00C90B72">
              <w:rPr>
                <w:rFonts w:cs="Noto Sans"/>
                <w:sz w:val="18"/>
                <w:szCs w:val="18"/>
                <w:lang w:eastAsia="en-AU"/>
              </w:rPr>
              <w:t>Barramundi (</w:t>
            </w:r>
            <w:r w:rsidRPr="00C90B72">
              <w:rPr>
                <w:rFonts w:cs="Noto Sans"/>
                <w:i/>
                <w:sz w:val="18"/>
                <w:szCs w:val="18"/>
                <w:lang w:eastAsia="en-AU"/>
              </w:rPr>
              <w:t>Lates calcarifer</w:t>
            </w:r>
            <w:r w:rsidRPr="00C90B72">
              <w:rPr>
                <w:rFonts w:cs="Noto Sans"/>
                <w:sz w:val="18"/>
                <w:szCs w:val="18"/>
                <w:lang w:eastAsia="en-AU"/>
              </w:rPr>
              <w:t>)</w:t>
            </w:r>
          </w:p>
          <w:p w14:paraId="292F05B2" w14:textId="77777777" w:rsidR="00557E60" w:rsidRPr="00C90B72" w:rsidRDefault="00557E60" w:rsidP="00EE6CFA">
            <w:pPr>
              <w:pStyle w:val="ListParagraph"/>
              <w:numPr>
                <w:ilvl w:val="0"/>
                <w:numId w:val="22"/>
              </w:numPr>
              <w:spacing w:before="60" w:after="60" w:line="259" w:lineRule="auto"/>
              <w:ind w:left="324" w:hanging="284"/>
              <w:rPr>
                <w:rFonts w:cs="Noto Sans"/>
                <w:sz w:val="18"/>
                <w:szCs w:val="18"/>
                <w:lang w:eastAsia="en-AU"/>
              </w:rPr>
            </w:pPr>
            <w:r w:rsidRPr="00C90B72">
              <w:rPr>
                <w:rFonts w:cs="Noto Sans"/>
                <w:sz w:val="18"/>
                <w:szCs w:val="18"/>
                <w:lang w:eastAsia="en-AU"/>
              </w:rPr>
              <w:t>Grey mackerel (</w:t>
            </w:r>
            <w:r w:rsidRPr="00C90B72">
              <w:rPr>
                <w:rFonts w:cs="Noto Sans"/>
                <w:i/>
                <w:sz w:val="18"/>
                <w:szCs w:val="18"/>
                <w:lang w:eastAsia="en-AU"/>
              </w:rPr>
              <w:t xml:space="preserve">Scomberomorus </w:t>
            </w:r>
            <w:proofErr w:type="spellStart"/>
            <w:r w:rsidRPr="00C90B72">
              <w:rPr>
                <w:rFonts w:cs="Noto Sans"/>
                <w:i/>
                <w:sz w:val="18"/>
                <w:szCs w:val="18"/>
                <w:lang w:eastAsia="en-AU"/>
              </w:rPr>
              <w:t>semifasciatus</w:t>
            </w:r>
            <w:proofErr w:type="spellEnd"/>
            <w:r w:rsidRPr="00C90B72">
              <w:rPr>
                <w:rFonts w:cs="Noto Sans"/>
                <w:sz w:val="18"/>
                <w:szCs w:val="18"/>
                <w:lang w:eastAsia="en-AU"/>
              </w:rPr>
              <w:t>)</w:t>
            </w:r>
          </w:p>
          <w:p w14:paraId="61BC5ADD" w14:textId="1D0599EB" w:rsidR="00884896" w:rsidRPr="00C90B72" w:rsidRDefault="00203B43" w:rsidP="00EE6CFA">
            <w:pPr>
              <w:pStyle w:val="ListParagraph"/>
              <w:numPr>
                <w:ilvl w:val="0"/>
                <w:numId w:val="22"/>
              </w:numPr>
              <w:spacing w:before="60" w:after="60" w:line="259" w:lineRule="auto"/>
              <w:ind w:left="324" w:hanging="284"/>
              <w:rPr>
                <w:rFonts w:cs="Noto Sans"/>
                <w:sz w:val="18"/>
                <w:szCs w:val="18"/>
                <w:lang w:eastAsia="en-AU"/>
              </w:rPr>
            </w:pPr>
            <w:r w:rsidRPr="00C90B72">
              <w:rPr>
                <w:rFonts w:cs="Noto Sans"/>
                <w:sz w:val="18"/>
                <w:szCs w:val="18"/>
                <w:lang w:eastAsia="en-AU"/>
              </w:rPr>
              <w:t>Spanish mackerel (</w:t>
            </w:r>
            <w:r w:rsidRPr="00C90B72">
              <w:rPr>
                <w:rFonts w:cs="Noto Sans"/>
                <w:i/>
                <w:sz w:val="18"/>
                <w:szCs w:val="18"/>
                <w:lang w:eastAsia="en-AU"/>
              </w:rPr>
              <w:t xml:space="preserve">Scomberomorus </w:t>
            </w:r>
            <w:proofErr w:type="spellStart"/>
            <w:r w:rsidRPr="00C90B72">
              <w:rPr>
                <w:rFonts w:cs="Noto Sans"/>
                <w:i/>
                <w:sz w:val="18"/>
                <w:szCs w:val="18"/>
                <w:lang w:eastAsia="en-AU"/>
              </w:rPr>
              <w:t>commerson</w:t>
            </w:r>
            <w:proofErr w:type="spellEnd"/>
            <w:r w:rsidRPr="00C90B72">
              <w:rPr>
                <w:rFonts w:cs="Noto Sans"/>
                <w:sz w:val="18"/>
                <w:szCs w:val="18"/>
                <w:lang w:eastAsia="en-AU"/>
              </w:rPr>
              <w:t>)</w:t>
            </w:r>
          </w:p>
        </w:tc>
      </w:tr>
      <w:tr w:rsidR="6C914696" w14:paraId="64A7D31F" w14:textId="77777777" w:rsidTr="00EE6CFA">
        <w:trPr>
          <w:trHeight w:val="419"/>
        </w:trPr>
        <w:tc>
          <w:tcPr>
            <w:tcW w:w="2263" w:type="dxa"/>
          </w:tcPr>
          <w:p w14:paraId="6EB96F91" w14:textId="184E5171" w:rsidR="462563F2" w:rsidRPr="00C90B72" w:rsidRDefault="462563F2" w:rsidP="00EE6CFA">
            <w:pPr>
              <w:spacing w:before="60" w:after="60" w:line="259" w:lineRule="auto"/>
              <w:rPr>
                <w:rFonts w:cs="Noto Sans"/>
                <w:b/>
                <w:sz w:val="18"/>
                <w:szCs w:val="18"/>
                <w:lang w:eastAsia="en-AU"/>
              </w:rPr>
            </w:pPr>
            <w:r w:rsidRPr="00C90B72">
              <w:rPr>
                <w:rFonts w:cs="Noto Sans"/>
                <w:b/>
                <w:sz w:val="18"/>
                <w:szCs w:val="18"/>
                <w:lang w:eastAsia="en-AU"/>
              </w:rPr>
              <w:t>Tier 2</w:t>
            </w:r>
          </w:p>
        </w:tc>
        <w:tc>
          <w:tcPr>
            <w:tcW w:w="7371" w:type="dxa"/>
          </w:tcPr>
          <w:p w14:paraId="04C10535" w14:textId="789ED5F2" w:rsidR="462563F2" w:rsidRPr="00C90B72" w:rsidRDefault="462563F2" w:rsidP="00EE6CFA">
            <w:pPr>
              <w:pStyle w:val="ListParagraph"/>
              <w:numPr>
                <w:ilvl w:val="0"/>
                <w:numId w:val="22"/>
              </w:numPr>
              <w:spacing w:before="60" w:after="60" w:line="259" w:lineRule="auto"/>
              <w:ind w:left="324" w:hanging="284"/>
              <w:rPr>
                <w:rFonts w:cs="Noto Sans"/>
                <w:sz w:val="18"/>
                <w:szCs w:val="18"/>
                <w:lang w:eastAsia="en-AU"/>
              </w:rPr>
            </w:pPr>
            <w:r w:rsidRPr="00C90B72">
              <w:rPr>
                <w:rFonts w:cs="Noto Sans"/>
                <w:sz w:val="18"/>
                <w:szCs w:val="18"/>
                <w:lang w:eastAsia="en-AU"/>
              </w:rPr>
              <w:t>King threadfin</w:t>
            </w:r>
            <w:r w:rsidR="05FA99B3" w:rsidRPr="00C90B72">
              <w:rPr>
                <w:rFonts w:cs="Noto Sans"/>
                <w:sz w:val="18"/>
                <w:szCs w:val="18"/>
                <w:lang w:eastAsia="en-AU"/>
              </w:rPr>
              <w:t xml:space="preserve"> </w:t>
            </w:r>
            <w:r w:rsidRPr="00C90B72">
              <w:rPr>
                <w:rFonts w:cs="Noto Sans"/>
                <w:sz w:val="18"/>
                <w:szCs w:val="18"/>
                <w:lang w:eastAsia="en-AU"/>
              </w:rPr>
              <w:t>(</w:t>
            </w:r>
            <w:proofErr w:type="spellStart"/>
            <w:r w:rsidRPr="00C90B72">
              <w:rPr>
                <w:rFonts w:cs="Noto Sans"/>
                <w:i/>
                <w:sz w:val="18"/>
                <w:szCs w:val="18"/>
                <w:lang w:eastAsia="en-AU"/>
              </w:rPr>
              <w:t>Polydactylus</w:t>
            </w:r>
            <w:proofErr w:type="spellEnd"/>
            <w:r w:rsidRPr="00C90B72">
              <w:rPr>
                <w:rFonts w:cs="Noto Sans"/>
                <w:i/>
                <w:sz w:val="18"/>
                <w:szCs w:val="18"/>
                <w:lang w:eastAsia="en-AU"/>
              </w:rPr>
              <w:t xml:space="preserve"> </w:t>
            </w:r>
            <w:proofErr w:type="spellStart"/>
            <w:r w:rsidRPr="00C90B72">
              <w:rPr>
                <w:rFonts w:cs="Noto Sans"/>
                <w:i/>
                <w:sz w:val="18"/>
                <w:szCs w:val="18"/>
                <w:lang w:eastAsia="en-AU"/>
              </w:rPr>
              <w:t>macrochir</w:t>
            </w:r>
            <w:proofErr w:type="spellEnd"/>
            <w:r w:rsidRPr="00C90B72">
              <w:rPr>
                <w:rFonts w:cs="Noto Sans"/>
                <w:sz w:val="18"/>
                <w:szCs w:val="18"/>
                <w:lang w:eastAsia="en-AU"/>
              </w:rPr>
              <w:t>)</w:t>
            </w:r>
          </w:p>
          <w:p w14:paraId="6D0A8A72" w14:textId="75CC0F4F" w:rsidR="462563F2" w:rsidRPr="00C90B72" w:rsidRDefault="462563F2" w:rsidP="00EE6CFA">
            <w:pPr>
              <w:pStyle w:val="ListParagraph"/>
              <w:numPr>
                <w:ilvl w:val="0"/>
                <w:numId w:val="22"/>
              </w:numPr>
              <w:spacing w:before="60" w:after="60" w:line="259" w:lineRule="auto"/>
              <w:ind w:left="324" w:hanging="284"/>
              <w:rPr>
                <w:rFonts w:cs="Noto Sans"/>
                <w:sz w:val="18"/>
                <w:szCs w:val="18"/>
                <w:lang w:eastAsia="en-AU"/>
              </w:rPr>
            </w:pPr>
            <w:r w:rsidRPr="00C90B72">
              <w:rPr>
                <w:rFonts w:cs="Noto Sans"/>
                <w:sz w:val="18"/>
                <w:szCs w:val="18"/>
                <w:lang w:eastAsia="en-AU"/>
              </w:rPr>
              <w:t>Sharks and rays (complex)</w:t>
            </w:r>
          </w:p>
          <w:p w14:paraId="4CFACF42" w14:textId="77777777" w:rsidR="003A3407" w:rsidRPr="00C90B72" w:rsidRDefault="003A3407" w:rsidP="00EE6CFA">
            <w:pPr>
              <w:pStyle w:val="ListParagraph"/>
              <w:numPr>
                <w:ilvl w:val="0"/>
                <w:numId w:val="22"/>
              </w:numPr>
              <w:spacing w:before="60" w:after="60" w:line="259" w:lineRule="auto"/>
              <w:ind w:left="324" w:hanging="284"/>
              <w:rPr>
                <w:rFonts w:cs="Noto Sans"/>
                <w:sz w:val="18"/>
                <w:szCs w:val="18"/>
                <w:lang w:eastAsia="en-AU"/>
              </w:rPr>
            </w:pPr>
            <w:r w:rsidRPr="00C90B72">
              <w:rPr>
                <w:rFonts w:cs="Noto Sans"/>
                <w:sz w:val="18"/>
                <w:szCs w:val="18"/>
                <w:lang w:eastAsia="en-AU"/>
              </w:rPr>
              <w:t>Blue threadfin (</w:t>
            </w:r>
            <w:proofErr w:type="spellStart"/>
            <w:r w:rsidRPr="00C90B72">
              <w:rPr>
                <w:rFonts w:cs="Noto Sans"/>
                <w:i/>
                <w:sz w:val="18"/>
                <w:szCs w:val="18"/>
                <w:lang w:eastAsia="en-AU"/>
              </w:rPr>
              <w:t>Eleutheronema</w:t>
            </w:r>
            <w:proofErr w:type="spellEnd"/>
            <w:r w:rsidRPr="00C90B72">
              <w:rPr>
                <w:rFonts w:cs="Noto Sans"/>
                <w:i/>
                <w:sz w:val="18"/>
                <w:szCs w:val="18"/>
                <w:lang w:eastAsia="en-AU"/>
              </w:rPr>
              <w:t xml:space="preserve"> </w:t>
            </w:r>
            <w:proofErr w:type="spellStart"/>
            <w:r w:rsidRPr="00C90B72">
              <w:rPr>
                <w:rFonts w:cs="Noto Sans"/>
                <w:i/>
                <w:sz w:val="18"/>
                <w:szCs w:val="18"/>
                <w:lang w:eastAsia="en-AU"/>
              </w:rPr>
              <w:t>tetradactylum</w:t>
            </w:r>
            <w:proofErr w:type="spellEnd"/>
            <w:r w:rsidRPr="00C90B72">
              <w:rPr>
                <w:rFonts w:cs="Noto Sans"/>
                <w:sz w:val="18"/>
                <w:szCs w:val="18"/>
                <w:lang w:eastAsia="en-AU"/>
              </w:rPr>
              <w:t>)</w:t>
            </w:r>
          </w:p>
          <w:p w14:paraId="48BEC645" w14:textId="0FB4C368" w:rsidR="008A0163" w:rsidRPr="00C90B72" w:rsidRDefault="462563F2" w:rsidP="00EE6CFA">
            <w:pPr>
              <w:pStyle w:val="ListParagraph"/>
              <w:numPr>
                <w:ilvl w:val="0"/>
                <w:numId w:val="22"/>
              </w:numPr>
              <w:spacing w:before="60" w:after="60" w:line="259" w:lineRule="auto"/>
              <w:ind w:left="324" w:hanging="284"/>
              <w:rPr>
                <w:rFonts w:cs="Noto Sans"/>
                <w:sz w:val="18"/>
                <w:szCs w:val="18"/>
                <w:lang w:eastAsia="en-AU"/>
              </w:rPr>
            </w:pPr>
            <w:r w:rsidRPr="00C90B72">
              <w:rPr>
                <w:rFonts w:cs="Noto Sans"/>
                <w:sz w:val="18"/>
                <w:szCs w:val="18"/>
                <w:lang w:eastAsia="en-AU"/>
              </w:rPr>
              <w:lastRenderedPageBreak/>
              <w:t>Black jewfish</w:t>
            </w:r>
            <w:r w:rsidR="7532C4F3" w:rsidRPr="00C90B72">
              <w:rPr>
                <w:rFonts w:cs="Noto Sans"/>
                <w:sz w:val="18"/>
                <w:szCs w:val="18"/>
                <w:lang w:eastAsia="en-AU"/>
              </w:rPr>
              <w:t xml:space="preserve"> </w:t>
            </w:r>
            <w:r w:rsidRPr="00C90B72">
              <w:rPr>
                <w:rFonts w:cs="Noto Sans"/>
                <w:sz w:val="18"/>
                <w:szCs w:val="18"/>
                <w:lang w:eastAsia="en-AU"/>
              </w:rPr>
              <w:t>(</w:t>
            </w:r>
            <w:proofErr w:type="spellStart"/>
            <w:r w:rsidRPr="00C90B72">
              <w:rPr>
                <w:rFonts w:cs="Noto Sans"/>
                <w:i/>
                <w:sz w:val="18"/>
                <w:szCs w:val="18"/>
                <w:lang w:eastAsia="en-AU"/>
              </w:rPr>
              <w:t>Protonibea</w:t>
            </w:r>
            <w:proofErr w:type="spellEnd"/>
            <w:r w:rsidRPr="00C90B72">
              <w:rPr>
                <w:rFonts w:cs="Noto Sans"/>
                <w:i/>
                <w:sz w:val="18"/>
                <w:szCs w:val="18"/>
                <w:lang w:eastAsia="en-AU"/>
              </w:rPr>
              <w:t xml:space="preserve"> </w:t>
            </w:r>
            <w:proofErr w:type="spellStart"/>
            <w:r w:rsidRPr="00C90B72">
              <w:rPr>
                <w:rFonts w:cs="Noto Sans"/>
                <w:i/>
                <w:sz w:val="18"/>
                <w:szCs w:val="18"/>
                <w:lang w:eastAsia="en-AU"/>
              </w:rPr>
              <w:t>diacanthus</w:t>
            </w:r>
            <w:proofErr w:type="spellEnd"/>
            <w:r w:rsidR="12592B54" w:rsidRPr="00C90B72">
              <w:rPr>
                <w:rFonts w:cs="Noto Sans"/>
                <w:sz w:val="18"/>
                <w:szCs w:val="18"/>
                <w:lang w:eastAsia="en-AU"/>
              </w:rPr>
              <w:t>)</w:t>
            </w:r>
          </w:p>
        </w:tc>
      </w:tr>
      <w:tr w:rsidR="6C914696" w14:paraId="38F6305A" w14:textId="77777777" w:rsidTr="00EE6CFA">
        <w:trPr>
          <w:trHeight w:val="419"/>
        </w:trPr>
        <w:tc>
          <w:tcPr>
            <w:tcW w:w="2263" w:type="dxa"/>
          </w:tcPr>
          <w:p w14:paraId="465CA3D3" w14:textId="23B5B66B" w:rsidR="12592B54" w:rsidRPr="00C90B72" w:rsidRDefault="12592B54" w:rsidP="00EE6CFA">
            <w:pPr>
              <w:spacing w:before="60" w:after="60" w:line="259" w:lineRule="auto"/>
              <w:rPr>
                <w:rFonts w:cs="Noto Sans"/>
                <w:b/>
                <w:sz w:val="18"/>
                <w:szCs w:val="18"/>
                <w:lang w:eastAsia="en-AU"/>
              </w:rPr>
            </w:pPr>
            <w:r w:rsidRPr="00C90B72">
              <w:rPr>
                <w:rFonts w:cs="Noto Sans"/>
                <w:b/>
                <w:sz w:val="18"/>
                <w:szCs w:val="18"/>
                <w:lang w:eastAsia="en-AU"/>
              </w:rPr>
              <w:lastRenderedPageBreak/>
              <w:t>Tier 3</w:t>
            </w:r>
          </w:p>
        </w:tc>
        <w:tc>
          <w:tcPr>
            <w:tcW w:w="7371" w:type="dxa"/>
          </w:tcPr>
          <w:p w14:paraId="3492DE34" w14:textId="01F79C72" w:rsidR="43856166" w:rsidRPr="00C90B72" w:rsidRDefault="43856166" w:rsidP="00EE6CFA">
            <w:pPr>
              <w:spacing w:before="60" w:after="60" w:line="259" w:lineRule="auto"/>
              <w:rPr>
                <w:rFonts w:cs="Noto Sans"/>
                <w:sz w:val="18"/>
                <w:szCs w:val="18"/>
                <w:lang w:eastAsia="en-AU"/>
              </w:rPr>
            </w:pPr>
            <w:r w:rsidRPr="00C90B72">
              <w:rPr>
                <w:rFonts w:cs="Noto Sans"/>
                <w:sz w:val="18"/>
                <w:szCs w:val="18"/>
                <w:lang w:eastAsia="en-AU"/>
              </w:rPr>
              <w:t xml:space="preserve">All other species </w:t>
            </w:r>
          </w:p>
        </w:tc>
      </w:tr>
    </w:tbl>
    <w:p w14:paraId="061AD8AC" w14:textId="6BEA26E2" w:rsidR="0078385A" w:rsidRPr="00687C9E" w:rsidRDefault="63F75D8E" w:rsidP="001E7259">
      <w:pPr>
        <w:pStyle w:val="Heading1"/>
        <w:rPr>
          <w:rFonts w:cstheme="minorHAnsi"/>
        </w:rPr>
      </w:pPr>
      <w:bookmarkStart w:id="10" w:name="_Toc121747114"/>
      <w:bookmarkStart w:id="11" w:name="_Toc204270749"/>
      <w:bookmarkStart w:id="12" w:name="_Toc205215626"/>
      <w:r w:rsidRPr="6C914696">
        <w:t xml:space="preserve">Management units for </w:t>
      </w:r>
      <w:r w:rsidR="78D38573" w:rsidRPr="6C914696">
        <w:t xml:space="preserve">the </w:t>
      </w:r>
      <w:r w:rsidRPr="6C914696">
        <w:t xml:space="preserve">harvest </w:t>
      </w:r>
      <w:r w:rsidRPr="001E7259">
        <w:t>strategy</w:t>
      </w:r>
      <w:bookmarkEnd w:id="10"/>
      <w:bookmarkEnd w:id="11"/>
      <w:bookmarkEnd w:id="12"/>
    </w:p>
    <w:p w14:paraId="191C19A9" w14:textId="5D64B97C" w:rsidR="006A608E" w:rsidRDefault="60C61067" w:rsidP="6C914696">
      <w:pPr>
        <w:spacing w:after="120"/>
        <w:rPr>
          <w:rFonts w:asciiTheme="minorHAnsi" w:hAnsiTheme="minorHAnsi" w:cs="Arial"/>
          <w:sz w:val="22"/>
          <w:szCs w:val="22"/>
        </w:rPr>
      </w:pPr>
      <w:r w:rsidRPr="6C914696">
        <w:rPr>
          <w:rFonts w:asciiTheme="minorHAnsi" w:hAnsiTheme="minorHAnsi" w:cs="Arial"/>
          <w:sz w:val="22"/>
          <w:szCs w:val="22"/>
        </w:rPr>
        <w:t>The</w:t>
      </w:r>
      <w:r w:rsidR="18FA4566" w:rsidRPr="6C914696">
        <w:rPr>
          <w:rFonts w:asciiTheme="minorHAnsi" w:hAnsiTheme="minorHAnsi" w:cs="Arial"/>
          <w:sz w:val="22"/>
          <w:szCs w:val="22"/>
        </w:rPr>
        <w:t xml:space="preserve"> management unit for this harvest strategy</w:t>
      </w:r>
      <w:r w:rsidRPr="6C914696">
        <w:rPr>
          <w:rFonts w:asciiTheme="minorHAnsi" w:hAnsiTheme="minorHAnsi" w:cs="Arial"/>
          <w:sz w:val="22"/>
          <w:szCs w:val="22"/>
        </w:rPr>
        <w:t xml:space="preserve"> is</w:t>
      </w:r>
      <w:r w:rsidR="18FA4566" w:rsidRPr="6C914696">
        <w:rPr>
          <w:rFonts w:asciiTheme="minorHAnsi" w:hAnsiTheme="minorHAnsi" w:cs="Arial"/>
          <w:sz w:val="22"/>
          <w:szCs w:val="22"/>
        </w:rPr>
        <w:t xml:space="preserve"> all tidal waters in Queensland </w:t>
      </w:r>
      <w:r w:rsidR="2292B65F" w:rsidRPr="6C914696">
        <w:rPr>
          <w:rFonts w:asciiTheme="minorHAnsi" w:hAnsiTheme="minorHAnsi" w:cs="Arial"/>
          <w:sz w:val="22"/>
          <w:szCs w:val="22"/>
        </w:rPr>
        <w:t xml:space="preserve">west </w:t>
      </w:r>
      <w:r w:rsidR="18FA4566" w:rsidRPr="6C914696">
        <w:rPr>
          <w:rFonts w:asciiTheme="minorHAnsi" w:hAnsiTheme="minorHAnsi" w:cs="Arial"/>
          <w:sz w:val="22"/>
          <w:szCs w:val="22"/>
        </w:rPr>
        <w:t>of longitude 142</w:t>
      </w:r>
      <w:r w:rsidR="1FE0E138" w:rsidRPr="6C914696">
        <w:rPr>
          <w:rFonts w:asciiTheme="minorHAnsi" w:hAnsiTheme="minorHAnsi"/>
          <w:sz w:val="22"/>
          <w:szCs w:val="22"/>
        </w:rPr>
        <w:t>°</w:t>
      </w:r>
      <w:r w:rsidR="18FA4566" w:rsidRPr="6C914696">
        <w:rPr>
          <w:rFonts w:asciiTheme="minorHAnsi" w:hAnsiTheme="minorHAnsi" w:cs="Arial"/>
          <w:sz w:val="22"/>
          <w:szCs w:val="22"/>
        </w:rPr>
        <w:t>31'49'' east.</w:t>
      </w:r>
    </w:p>
    <w:p w14:paraId="625E092E" w14:textId="77777777" w:rsidR="00884896" w:rsidRDefault="002E7FAD" w:rsidP="00EC08C5">
      <w:pPr>
        <w:pStyle w:val="Heading1"/>
        <w:rPr>
          <w:rFonts w:cstheme="minorHAnsi"/>
        </w:rPr>
      </w:pPr>
      <w:bookmarkStart w:id="13" w:name="_Toc121747115"/>
      <w:bookmarkStart w:id="14" w:name="_Toc204270750"/>
      <w:bookmarkStart w:id="15" w:name="_Toc205215627"/>
      <w:r>
        <w:rPr>
          <w:rFonts w:cstheme="minorHAnsi"/>
        </w:rPr>
        <w:t>Summary of management information</w:t>
      </w:r>
      <w:bookmarkEnd w:id="13"/>
      <w:bookmarkEnd w:id="14"/>
      <w:bookmarkEnd w:id="15"/>
    </w:p>
    <w:p w14:paraId="4C930712" w14:textId="0FB7ACC9" w:rsidR="0086485E" w:rsidRPr="00736948" w:rsidRDefault="63F75D8E" w:rsidP="00736948">
      <w:pPr>
        <w:rPr>
          <w:rFonts w:cs="Noto Sans"/>
          <w:szCs w:val="20"/>
        </w:rPr>
      </w:pPr>
      <w:r w:rsidRPr="00736948">
        <w:rPr>
          <w:rFonts w:cs="Noto Sans"/>
          <w:szCs w:val="20"/>
        </w:rPr>
        <w:t xml:space="preserve">A summary of the management arrangements for the </w:t>
      </w:r>
      <w:r w:rsidR="0B04103A" w:rsidRPr="00736948">
        <w:rPr>
          <w:rFonts w:cs="Noto Sans"/>
          <w:szCs w:val="20"/>
        </w:rPr>
        <w:t>GOCIF are</w:t>
      </w:r>
      <w:r w:rsidR="2CF1A3FF" w:rsidRPr="00736948">
        <w:rPr>
          <w:rFonts w:cs="Noto Sans"/>
          <w:szCs w:val="20"/>
        </w:rPr>
        <w:t xml:space="preserve"> </w:t>
      </w:r>
      <w:r w:rsidRPr="00736948">
        <w:rPr>
          <w:rFonts w:cs="Noto Sans"/>
          <w:szCs w:val="20"/>
        </w:rPr>
        <w:t xml:space="preserve">set out </w:t>
      </w:r>
      <w:r w:rsidR="30512678" w:rsidRPr="00736948">
        <w:rPr>
          <w:rFonts w:cs="Noto Sans"/>
          <w:szCs w:val="20"/>
        </w:rPr>
        <w:t xml:space="preserve">in </w:t>
      </w:r>
      <w:r w:rsidRPr="00736948">
        <w:rPr>
          <w:rFonts w:cs="Noto Sans"/>
          <w:szCs w:val="20"/>
        </w:rPr>
        <w:t>Table</w:t>
      </w:r>
      <w:r w:rsidR="55A0790E" w:rsidRPr="00736948">
        <w:rPr>
          <w:rFonts w:cs="Noto Sans"/>
          <w:szCs w:val="20"/>
        </w:rPr>
        <w:t xml:space="preserve"> 2</w:t>
      </w:r>
      <w:r w:rsidR="733B31FF" w:rsidRPr="00736948">
        <w:rPr>
          <w:rFonts w:cs="Noto Sans"/>
          <w:szCs w:val="20"/>
        </w:rPr>
        <w:t xml:space="preserve">. </w:t>
      </w:r>
      <w:r w:rsidR="2F7279DB" w:rsidRPr="00736948">
        <w:rPr>
          <w:rFonts w:cs="Noto Sans"/>
          <w:szCs w:val="20"/>
        </w:rPr>
        <w:t>Copies</w:t>
      </w:r>
      <w:r w:rsidR="733B31FF" w:rsidRPr="00736948">
        <w:rPr>
          <w:rFonts w:cs="Noto Sans"/>
          <w:szCs w:val="20"/>
        </w:rPr>
        <w:t xml:space="preserve"> of fisheries legislation </w:t>
      </w:r>
      <w:r w:rsidR="23DD2AA6" w:rsidRPr="00736948">
        <w:rPr>
          <w:rFonts w:cs="Noto Sans"/>
          <w:szCs w:val="20"/>
        </w:rPr>
        <w:t>are avail</w:t>
      </w:r>
      <w:r w:rsidR="4FB8B964" w:rsidRPr="00736948">
        <w:rPr>
          <w:rFonts w:cs="Noto Sans"/>
          <w:szCs w:val="20"/>
        </w:rPr>
        <w:t>a</w:t>
      </w:r>
      <w:r w:rsidR="23DD2AA6" w:rsidRPr="00736948">
        <w:rPr>
          <w:rFonts w:cs="Noto Sans"/>
          <w:szCs w:val="20"/>
        </w:rPr>
        <w:t>b</w:t>
      </w:r>
      <w:r w:rsidR="4FB8B964" w:rsidRPr="00736948">
        <w:rPr>
          <w:rFonts w:cs="Noto Sans"/>
          <w:szCs w:val="20"/>
        </w:rPr>
        <w:t>l</w:t>
      </w:r>
      <w:r w:rsidR="23DD2AA6" w:rsidRPr="00736948">
        <w:rPr>
          <w:rFonts w:cs="Noto Sans"/>
          <w:szCs w:val="20"/>
        </w:rPr>
        <w:t>e</w:t>
      </w:r>
      <w:r w:rsidR="733B31FF" w:rsidRPr="00736948">
        <w:rPr>
          <w:rFonts w:cs="Noto Sans"/>
          <w:szCs w:val="20"/>
        </w:rPr>
        <w:t xml:space="preserve"> at </w:t>
      </w:r>
      <w:hyperlink r:id="rId17">
        <w:r w:rsidR="6197379E" w:rsidRPr="00736948">
          <w:rPr>
            <w:rStyle w:val="Hyperlink"/>
            <w:rFonts w:cs="Noto Sans"/>
            <w:szCs w:val="20"/>
          </w:rPr>
          <w:t>legislation.qld.gov.au</w:t>
        </w:r>
      </w:hyperlink>
      <w:r w:rsidR="23DD2AA6" w:rsidRPr="00736948">
        <w:rPr>
          <w:rStyle w:val="Hyperlink"/>
          <w:rFonts w:cs="Noto Sans"/>
          <w:szCs w:val="20"/>
        </w:rPr>
        <w:t>,</w:t>
      </w:r>
      <w:r w:rsidR="538D7B62" w:rsidRPr="00736948">
        <w:rPr>
          <w:rFonts w:cs="Noto Sans"/>
          <w:szCs w:val="20"/>
        </w:rPr>
        <w:t xml:space="preserve"> </w:t>
      </w:r>
      <w:r w:rsidR="733B31FF" w:rsidRPr="00736948">
        <w:rPr>
          <w:rFonts w:cs="Noto Sans"/>
          <w:szCs w:val="20"/>
        </w:rPr>
        <w:t xml:space="preserve">or visit </w:t>
      </w:r>
      <w:hyperlink r:id="rId18">
        <w:r w:rsidR="538D7B62" w:rsidRPr="00736948">
          <w:rPr>
            <w:rStyle w:val="Hyperlink"/>
            <w:rFonts w:cs="Noto Sans"/>
            <w:szCs w:val="20"/>
          </w:rPr>
          <w:t>fisheries.qld.gov.au</w:t>
        </w:r>
      </w:hyperlink>
      <w:r w:rsidR="538D7B62" w:rsidRPr="00736948">
        <w:rPr>
          <w:rFonts w:cs="Noto Sans"/>
          <w:szCs w:val="20"/>
        </w:rPr>
        <w:t xml:space="preserve"> </w:t>
      </w:r>
      <w:r w:rsidR="733B31FF" w:rsidRPr="00736948">
        <w:rPr>
          <w:rFonts w:cs="Noto Sans"/>
          <w:szCs w:val="20"/>
        </w:rPr>
        <w:t>for the latest information on fishing rules</w:t>
      </w:r>
      <w:r w:rsidRPr="00736948">
        <w:rPr>
          <w:rFonts w:cs="Noto Sans"/>
          <w:szCs w:val="20"/>
        </w:rPr>
        <w:t xml:space="preserve">.  </w:t>
      </w:r>
    </w:p>
    <w:p w14:paraId="3F8323D1" w14:textId="23809B17" w:rsidR="00C80410" w:rsidRPr="003A3EAF" w:rsidRDefault="63F75D8E" w:rsidP="00085FD6">
      <w:pPr>
        <w:pStyle w:val="Caption"/>
      </w:pPr>
      <w:r>
        <w:t>Table 2: Summary of manag</w:t>
      </w:r>
      <w:r w:rsidR="45E92B92">
        <w:t xml:space="preserve">ement arrangements for the </w:t>
      </w:r>
      <w:r w:rsidR="44F06210">
        <w:t>GOCIF</w:t>
      </w:r>
    </w:p>
    <w:tbl>
      <w:tblPr>
        <w:tblStyle w:val="TableGrid"/>
        <w:tblW w:w="9776" w:type="dxa"/>
        <w:tblBorders>
          <w:top w:val="single" w:sz="4" w:space="0" w:color="005672"/>
          <w:left w:val="none" w:sz="0" w:space="0" w:color="auto"/>
          <w:bottom w:val="single" w:sz="4" w:space="0" w:color="005672"/>
          <w:right w:val="none" w:sz="0" w:space="0" w:color="auto"/>
          <w:insideH w:val="single" w:sz="4" w:space="0" w:color="005672"/>
          <w:insideV w:val="none" w:sz="0" w:space="0" w:color="auto"/>
        </w:tblBorders>
        <w:tblLook w:val="04A0" w:firstRow="1" w:lastRow="0" w:firstColumn="1" w:lastColumn="0" w:noHBand="0" w:noVBand="1"/>
        <w:tblCaption w:val="Summary of management arrangements for the QMCF"/>
      </w:tblPr>
      <w:tblGrid>
        <w:gridCol w:w="2689"/>
        <w:gridCol w:w="7087"/>
      </w:tblGrid>
      <w:tr w:rsidR="009F3883" w14:paraId="726F7A27" w14:textId="77777777" w:rsidTr="00F57B13">
        <w:trPr>
          <w:trHeight w:val="380"/>
          <w:tblHeader/>
        </w:trPr>
        <w:tc>
          <w:tcPr>
            <w:tcW w:w="2689" w:type="dxa"/>
            <w:shd w:val="clear" w:color="auto" w:fill="005672"/>
            <w:hideMark/>
          </w:tcPr>
          <w:p w14:paraId="2501E072" w14:textId="77777777" w:rsidR="00DB401A" w:rsidRPr="00F57B13" w:rsidRDefault="63F75D8E" w:rsidP="001F0F39">
            <w:pPr>
              <w:spacing w:before="60" w:after="60"/>
              <w:rPr>
                <w:rFonts w:cs="Noto Sans"/>
                <w:b/>
                <w:color w:val="FFFFFF" w:themeColor="background1"/>
                <w:sz w:val="18"/>
                <w:szCs w:val="18"/>
              </w:rPr>
            </w:pPr>
            <w:r w:rsidRPr="00F57B13">
              <w:rPr>
                <w:rStyle w:val="BodyTextbold"/>
                <w:rFonts w:ascii="Noto Sans" w:hAnsi="Noto Sans" w:cs="Noto Sans"/>
                <w:color w:val="FFFFFF" w:themeColor="background1"/>
                <w:sz w:val="18"/>
                <w:szCs w:val="18"/>
              </w:rPr>
              <w:t>Feature</w:t>
            </w:r>
          </w:p>
        </w:tc>
        <w:tc>
          <w:tcPr>
            <w:tcW w:w="7087" w:type="dxa"/>
            <w:shd w:val="clear" w:color="auto" w:fill="005672"/>
            <w:hideMark/>
          </w:tcPr>
          <w:p w14:paraId="540C2EE2" w14:textId="77777777" w:rsidR="00DB401A" w:rsidRPr="00F57B13" w:rsidRDefault="63F75D8E" w:rsidP="001F0F39">
            <w:pPr>
              <w:spacing w:before="60" w:after="60"/>
              <w:rPr>
                <w:rFonts w:cs="Noto Sans"/>
                <w:b/>
                <w:color w:val="FFFFFF" w:themeColor="background1"/>
                <w:sz w:val="18"/>
                <w:szCs w:val="18"/>
              </w:rPr>
            </w:pPr>
            <w:r w:rsidRPr="00F57B13">
              <w:rPr>
                <w:rStyle w:val="BodyTextbold"/>
                <w:rFonts w:ascii="Noto Sans" w:hAnsi="Noto Sans" w:cs="Noto Sans"/>
                <w:color w:val="FFFFFF" w:themeColor="background1"/>
                <w:sz w:val="18"/>
                <w:szCs w:val="18"/>
              </w:rPr>
              <w:t>Details</w:t>
            </w:r>
          </w:p>
        </w:tc>
      </w:tr>
      <w:tr w:rsidR="009F3883" w14:paraId="237B9A3B" w14:textId="77777777" w:rsidTr="00F57B13">
        <w:trPr>
          <w:trHeight w:val="460"/>
        </w:trPr>
        <w:tc>
          <w:tcPr>
            <w:tcW w:w="2689" w:type="dxa"/>
          </w:tcPr>
          <w:p w14:paraId="39AE1325" w14:textId="4BEA9603" w:rsidR="005709AC" w:rsidRPr="00F57B13" w:rsidRDefault="002E7FAD" w:rsidP="001F0F39">
            <w:pPr>
              <w:spacing w:before="60" w:after="60"/>
              <w:rPr>
                <w:rFonts w:cs="Noto Sans"/>
                <w:sz w:val="18"/>
                <w:szCs w:val="18"/>
                <w:highlight w:val="yellow"/>
              </w:rPr>
            </w:pPr>
            <w:r w:rsidRPr="00F57B13">
              <w:rPr>
                <w:rFonts w:cs="Noto Sans"/>
                <w:b/>
                <w:sz w:val="18"/>
                <w:szCs w:val="18"/>
                <w:lang w:eastAsia="en-AU"/>
              </w:rPr>
              <w:t xml:space="preserve">Commercial </w:t>
            </w:r>
            <w:r w:rsidRPr="00F57B13" w:rsidDel="00152BCD">
              <w:rPr>
                <w:rFonts w:cs="Noto Sans"/>
                <w:b/>
                <w:sz w:val="18"/>
                <w:szCs w:val="18"/>
                <w:lang w:eastAsia="en-AU"/>
              </w:rPr>
              <w:t>access</w:t>
            </w:r>
          </w:p>
        </w:tc>
        <w:tc>
          <w:tcPr>
            <w:tcW w:w="7087" w:type="dxa"/>
          </w:tcPr>
          <w:p w14:paraId="66213859" w14:textId="694439C2" w:rsidR="005709AC" w:rsidRPr="00F57B13" w:rsidRDefault="6F609FB7" w:rsidP="001F0F39">
            <w:pPr>
              <w:spacing w:before="60" w:after="60"/>
              <w:rPr>
                <w:rFonts w:cs="Noto Sans"/>
                <w:sz w:val="18"/>
                <w:szCs w:val="18"/>
              </w:rPr>
            </w:pPr>
            <w:r w:rsidRPr="00F57B13">
              <w:rPr>
                <w:rFonts w:cs="Noto Sans"/>
                <w:sz w:val="18"/>
                <w:szCs w:val="18"/>
                <w:lang w:eastAsia="en-AU"/>
              </w:rPr>
              <w:t>P</w:t>
            </w:r>
            <w:r w:rsidR="63F75D8E" w:rsidRPr="00F57B13">
              <w:rPr>
                <w:rFonts w:cs="Noto Sans"/>
                <w:sz w:val="18"/>
                <w:szCs w:val="18"/>
                <w:lang w:eastAsia="en-AU"/>
              </w:rPr>
              <w:t xml:space="preserve">rimary </w:t>
            </w:r>
            <w:r w:rsidR="2626B87C" w:rsidRPr="00F57B13">
              <w:rPr>
                <w:rFonts w:cs="Noto Sans"/>
                <w:sz w:val="18"/>
                <w:szCs w:val="18"/>
                <w:lang w:eastAsia="en-AU"/>
              </w:rPr>
              <w:t>c</w:t>
            </w:r>
            <w:r w:rsidR="63F75D8E" w:rsidRPr="00F57B13">
              <w:rPr>
                <w:rFonts w:cs="Noto Sans"/>
                <w:sz w:val="18"/>
                <w:szCs w:val="18"/>
                <w:lang w:eastAsia="en-AU"/>
              </w:rPr>
              <w:t xml:space="preserve">ommercial </w:t>
            </w:r>
            <w:r w:rsidR="46BBAFFA" w:rsidRPr="00F57B13">
              <w:rPr>
                <w:rFonts w:cs="Noto Sans"/>
                <w:sz w:val="18"/>
                <w:szCs w:val="18"/>
                <w:lang w:eastAsia="en-AU"/>
              </w:rPr>
              <w:t>f</w:t>
            </w:r>
            <w:r w:rsidR="63F75D8E" w:rsidRPr="00F57B13">
              <w:rPr>
                <w:rFonts w:cs="Noto Sans"/>
                <w:sz w:val="18"/>
                <w:szCs w:val="18"/>
                <w:lang w:eastAsia="en-AU"/>
              </w:rPr>
              <w:t xml:space="preserve">ishing </w:t>
            </w:r>
            <w:r w:rsidR="46BBAFFA" w:rsidRPr="00F57B13">
              <w:rPr>
                <w:rFonts w:cs="Noto Sans"/>
                <w:sz w:val="18"/>
                <w:szCs w:val="18"/>
                <w:lang w:eastAsia="en-AU"/>
              </w:rPr>
              <w:t>l</w:t>
            </w:r>
            <w:r w:rsidR="63F75D8E" w:rsidRPr="00F57B13">
              <w:rPr>
                <w:rFonts w:cs="Noto Sans"/>
                <w:sz w:val="18"/>
                <w:szCs w:val="18"/>
                <w:lang w:eastAsia="en-AU"/>
              </w:rPr>
              <w:t>icence</w:t>
            </w:r>
            <w:r w:rsidRPr="00F57B13">
              <w:rPr>
                <w:rFonts w:cs="Noto Sans"/>
                <w:sz w:val="18"/>
                <w:szCs w:val="18"/>
                <w:lang w:eastAsia="en-AU"/>
              </w:rPr>
              <w:t xml:space="preserve"> </w:t>
            </w:r>
            <w:r w:rsidR="098D2E3F" w:rsidRPr="00F57B13">
              <w:rPr>
                <w:rFonts w:cs="Noto Sans"/>
                <w:sz w:val="18"/>
                <w:szCs w:val="18"/>
                <w:lang w:eastAsia="en-AU"/>
              </w:rPr>
              <w:t>with one or more of the following fishery symbols: N3, N11, N12, N13, L4</w:t>
            </w:r>
          </w:p>
        </w:tc>
      </w:tr>
      <w:tr w:rsidR="009F3883" w14:paraId="2EEBF9C5" w14:textId="77777777" w:rsidTr="00F57B13">
        <w:trPr>
          <w:trHeight w:val="416"/>
        </w:trPr>
        <w:tc>
          <w:tcPr>
            <w:tcW w:w="2689" w:type="dxa"/>
            <w:hideMark/>
          </w:tcPr>
          <w:p w14:paraId="57D8927D" w14:textId="77777777" w:rsidR="005709AC" w:rsidRPr="00F57B13" w:rsidRDefault="002E7FAD" w:rsidP="001F0F39">
            <w:pPr>
              <w:spacing w:before="60" w:after="60"/>
              <w:rPr>
                <w:rFonts w:cs="Noto Sans"/>
                <w:sz w:val="18"/>
                <w:szCs w:val="18"/>
                <w:highlight w:val="yellow"/>
              </w:rPr>
            </w:pPr>
            <w:r w:rsidRPr="00F57B13">
              <w:rPr>
                <w:rFonts w:cs="Noto Sans"/>
                <w:b/>
                <w:sz w:val="18"/>
                <w:szCs w:val="18"/>
                <w:lang w:eastAsia="en-AU"/>
              </w:rPr>
              <w:t>Relevant fisheries legislation</w:t>
            </w:r>
          </w:p>
        </w:tc>
        <w:tc>
          <w:tcPr>
            <w:tcW w:w="7087" w:type="dxa"/>
          </w:tcPr>
          <w:p w14:paraId="2A78A312" w14:textId="77777777" w:rsidR="005709AC" w:rsidRPr="00F57B13" w:rsidRDefault="002E7FAD" w:rsidP="001F0F39">
            <w:pPr>
              <w:spacing w:before="60"/>
              <w:rPr>
                <w:rFonts w:cs="Noto Sans"/>
                <w:i/>
                <w:sz w:val="18"/>
                <w:szCs w:val="18"/>
                <w:lang w:eastAsia="en-AU"/>
              </w:rPr>
            </w:pPr>
            <w:r w:rsidRPr="00F57B13">
              <w:rPr>
                <w:rFonts w:cs="Noto Sans"/>
                <w:i/>
                <w:sz w:val="18"/>
                <w:szCs w:val="18"/>
                <w:lang w:eastAsia="en-AU"/>
              </w:rPr>
              <w:t>Fisheries Act 1994</w:t>
            </w:r>
          </w:p>
          <w:p w14:paraId="43FE364D" w14:textId="1DC0A22F" w:rsidR="00C11C4A" w:rsidRPr="00F57B13" w:rsidRDefault="63F75D8E" w:rsidP="001F0F39">
            <w:pPr>
              <w:rPr>
                <w:rFonts w:cs="Noto Sans"/>
                <w:sz w:val="18"/>
                <w:szCs w:val="18"/>
                <w:lang w:eastAsia="en-AU"/>
              </w:rPr>
            </w:pPr>
            <w:r w:rsidRPr="00F57B13">
              <w:rPr>
                <w:rFonts w:cs="Noto Sans"/>
                <w:sz w:val="18"/>
                <w:szCs w:val="18"/>
                <w:lang w:eastAsia="en-AU"/>
              </w:rPr>
              <w:t>Fisheries (General)</w:t>
            </w:r>
            <w:r w:rsidR="46BBAFFA" w:rsidRPr="00F57B13">
              <w:rPr>
                <w:rFonts w:cs="Noto Sans"/>
                <w:sz w:val="18"/>
                <w:szCs w:val="18"/>
                <w:lang w:eastAsia="en-AU"/>
              </w:rPr>
              <w:t xml:space="preserve"> Regulation 2019</w:t>
            </w:r>
          </w:p>
          <w:p w14:paraId="7114C553" w14:textId="7E602EB3" w:rsidR="005709AC" w:rsidRPr="00F57B13" w:rsidRDefault="46BBAFFA" w:rsidP="001F0F39">
            <w:pPr>
              <w:rPr>
                <w:rFonts w:cs="Noto Sans"/>
                <w:sz w:val="18"/>
                <w:szCs w:val="18"/>
                <w:lang w:eastAsia="en-AU"/>
              </w:rPr>
            </w:pPr>
            <w:r w:rsidRPr="00F57B13">
              <w:rPr>
                <w:rFonts w:cs="Noto Sans"/>
                <w:sz w:val="18"/>
                <w:szCs w:val="18"/>
                <w:lang w:eastAsia="en-AU"/>
              </w:rPr>
              <w:t xml:space="preserve">Fisheries </w:t>
            </w:r>
            <w:r w:rsidR="63F75D8E" w:rsidRPr="00F57B13">
              <w:rPr>
                <w:rFonts w:cs="Noto Sans"/>
                <w:sz w:val="18"/>
                <w:szCs w:val="18"/>
                <w:lang w:eastAsia="en-AU"/>
              </w:rPr>
              <w:t>(Commercial Fisheries) Regulation 2019</w:t>
            </w:r>
          </w:p>
          <w:p w14:paraId="50E65231" w14:textId="718EAE8A" w:rsidR="00AC31BD" w:rsidRPr="00F57B13" w:rsidRDefault="63F75D8E" w:rsidP="001F0F39">
            <w:pPr>
              <w:spacing w:after="60"/>
              <w:rPr>
                <w:rFonts w:cs="Noto Sans"/>
                <w:i/>
                <w:sz w:val="18"/>
                <w:szCs w:val="18"/>
                <w:lang w:eastAsia="en-AU"/>
              </w:rPr>
            </w:pPr>
            <w:r w:rsidRPr="00F57B13">
              <w:rPr>
                <w:rFonts w:cs="Noto Sans"/>
                <w:sz w:val="18"/>
                <w:szCs w:val="18"/>
                <w:lang w:eastAsia="en-AU"/>
              </w:rPr>
              <w:t>Fisheries Declaration 2019</w:t>
            </w:r>
          </w:p>
        </w:tc>
      </w:tr>
      <w:tr w:rsidR="009F3883" w14:paraId="361BD32C" w14:textId="77777777" w:rsidTr="00E07836">
        <w:trPr>
          <w:trHeight w:val="865"/>
        </w:trPr>
        <w:tc>
          <w:tcPr>
            <w:tcW w:w="2689" w:type="dxa"/>
            <w:hideMark/>
          </w:tcPr>
          <w:p w14:paraId="2DD9B77C" w14:textId="77777777" w:rsidR="005709AC" w:rsidRPr="00F57B13" w:rsidRDefault="002E7FAD" w:rsidP="001F0F39">
            <w:pPr>
              <w:spacing w:before="60" w:after="60"/>
              <w:rPr>
                <w:rFonts w:cs="Noto Sans"/>
                <w:sz w:val="18"/>
                <w:szCs w:val="18"/>
                <w:highlight w:val="yellow"/>
              </w:rPr>
            </w:pPr>
            <w:r w:rsidRPr="00F57B13">
              <w:rPr>
                <w:rFonts w:cs="Noto Sans"/>
                <w:b/>
                <w:sz w:val="18"/>
                <w:szCs w:val="18"/>
                <w:lang w:eastAsia="en-AU"/>
              </w:rPr>
              <w:t>Other relevant legislation</w:t>
            </w:r>
          </w:p>
        </w:tc>
        <w:tc>
          <w:tcPr>
            <w:tcW w:w="7087" w:type="dxa"/>
          </w:tcPr>
          <w:p w14:paraId="631970BB" w14:textId="77777777" w:rsidR="005709AC" w:rsidRPr="00F57B13" w:rsidRDefault="63F75D8E" w:rsidP="001F0F39">
            <w:pPr>
              <w:spacing w:before="60"/>
              <w:rPr>
                <w:rFonts w:cs="Noto Sans"/>
                <w:i/>
                <w:sz w:val="18"/>
                <w:szCs w:val="18"/>
                <w:lang w:eastAsia="en-AU"/>
              </w:rPr>
            </w:pPr>
            <w:r w:rsidRPr="00F57B13">
              <w:rPr>
                <w:rFonts w:cs="Noto Sans"/>
                <w:i/>
                <w:sz w:val="18"/>
                <w:szCs w:val="18"/>
                <w:lang w:eastAsia="en-AU"/>
              </w:rPr>
              <w:t>Marine Parks Act 2004</w:t>
            </w:r>
          </w:p>
          <w:p w14:paraId="6206B35D" w14:textId="242832AC" w:rsidR="005709AC" w:rsidRPr="00F57B13" w:rsidRDefault="63F75D8E" w:rsidP="001F0F39">
            <w:pPr>
              <w:spacing w:after="60"/>
              <w:rPr>
                <w:rFonts w:cs="Noto Sans"/>
                <w:sz w:val="18"/>
                <w:szCs w:val="18"/>
              </w:rPr>
            </w:pPr>
            <w:r w:rsidRPr="00F57B13">
              <w:rPr>
                <w:rFonts w:cs="Noto Sans"/>
                <w:i/>
                <w:sz w:val="18"/>
                <w:szCs w:val="18"/>
                <w:lang w:eastAsia="en-AU"/>
              </w:rPr>
              <w:t xml:space="preserve">Environment Protection and Biodiversity Conservation Act 1999 </w:t>
            </w:r>
            <w:r w:rsidRPr="00F57B13">
              <w:rPr>
                <w:rFonts w:cs="Noto Sans"/>
                <w:sz w:val="18"/>
                <w:szCs w:val="18"/>
                <w:lang w:eastAsia="en-AU"/>
              </w:rPr>
              <w:t>and</w:t>
            </w:r>
            <w:r w:rsidRPr="00F57B13">
              <w:rPr>
                <w:rFonts w:cs="Noto Sans"/>
                <w:i/>
                <w:sz w:val="18"/>
                <w:szCs w:val="18"/>
                <w:lang w:eastAsia="en-AU"/>
              </w:rPr>
              <w:t xml:space="preserve"> </w:t>
            </w:r>
            <w:r w:rsidR="35C2BF50" w:rsidRPr="00F57B13">
              <w:rPr>
                <w:rFonts w:cs="Noto Sans"/>
                <w:sz w:val="18"/>
                <w:szCs w:val="18"/>
                <w:lang w:eastAsia="en-AU"/>
              </w:rPr>
              <w:t xml:space="preserve">Environment Protection and Biodiversity Conservation </w:t>
            </w:r>
            <w:r w:rsidRPr="00F57B13">
              <w:rPr>
                <w:rFonts w:cs="Noto Sans"/>
                <w:sz w:val="18"/>
                <w:szCs w:val="18"/>
                <w:lang w:eastAsia="en-AU"/>
              </w:rPr>
              <w:t>Regulation</w:t>
            </w:r>
            <w:r w:rsidR="35C2BF50" w:rsidRPr="00F57B13">
              <w:rPr>
                <w:rFonts w:cs="Noto Sans"/>
                <w:sz w:val="18"/>
                <w:szCs w:val="18"/>
                <w:lang w:eastAsia="en-AU"/>
              </w:rPr>
              <w:t>s</w:t>
            </w:r>
            <w:r w:rsidRPr="00F57B13">
              <w:rPr>
                <w:rFonts w:cs="Noto Sans"/>
                <w:sz w:val="18"/>
                <w:szCs w:val="18"/>
                <w:lang w:eastAsia="en-AU"/>
              </w:rPr>
              <w:t xml:space="preserve"> 2000</w:t>
            </w:r>
            <w:r w:rsidR="2CF1A3FF" w:rsidRPr="00F57B13">
              <w:rPr>
                <w:rFonts w:cs="Noto Sans"/>
                <w:sz w:val="18"/>
                <w:szCs w:val="18"/>
                <w:lang w:eastAsia="en-AU"/>
              </w:rPr>
              <w:t xml:space="preserve"> (C</w:t>
            </w:r>
            <w:r w:rsidR="35C2BF50" w:rsidRPr="00F57B13">
              <w:rPr>
                <w:rFonts w:cs="Noto Sans"/>
                <w:sz w:val="18"/>
                <w:szCs w:val="18"/>
                <w:lang w:eastAsia="en-AU"/>
              </w:rPr>
              <w:t>wl</w:t>
            </w:r>
            <w:r w:rsidR="2CF1A3FF" w:rsidRPr="00F57B13">
              <w:rPr>
                <w:rFonts w:cs="Noto Sans"/>
                <w:sz w:val="18"/>
                <w:szCs w:val="18"/>
                <w:lang w:eastAsia="en-AU"/>
              </w:rPr>
              <w:t>th)</w:t>
            </w:r>
          </w:p>
        </w:tc>
      </w:tr>
      <w:tr w:rsidR="009F3883" w14:paraId="43569BDE" w14:textId="77777777" w:rsidTr="00E07836">
        <w:trPr>
          <w:trHeight w:val="551"/>
        </w:trPr>
        <w:tc>
          <w:tcPr>
            <w:tcW w:w="2689" w:type="dxa"/>
            <w:hideMark/>
          </w:tcPr>
          <w:p w14:paraId="64811766" w14:textId="4AEC97FD" w:rsidR="005709AC" w:rsidRPr="00F57B13" w:rsidRDefault="002E7FAD" w:rsidP="001F0F39">
            <w:pPr>
              <w:spacing w:before="60" w:after="60"/>
              <w:rPr>
                <w:rFonts w:cs="Noto Sans"/>
                <w:sz w:val="18"/>
                <w:szCs w:val="18"/>
                <w:highlight w:val="yellow"/>
              </w:rPr>
            </w:pPr>
            <w:r w:rsidRPr="00F57B13">
              <w:rPr>
                <w:rFonts w:cs="Noto Sans"/>
                <w:b/>
                <w:sz w:val="18"/>
                <w:szCs w:val="18"/>
                <w:lang w:eastAsia="en-AU"/>
              </w:rPr>
              <w:t xml:space="preserve">Working </w:t>
            </w:r>
            <w:r w:rsidR="00152BCD" w:rsidRPr="00F57B13">
              <w:rPr>
                <w:rFonts w:cs="Noto Sans"/>
                <w:b/>
                <w:sz w:val="18"/>
                <w:szCs w:val="18"/>
                <w:lang w:eastAsia="en-AU"/>
              </w:rPr>
              <w:t>g</w:t>
            </w:r>
            <w:r w:rsidRPr="00F57B13">
              <w:rPr>
                <w:rFonts w:cs="Noto Sans"/>
                <w:b/>
                <w:sz w:val="18"/>
                <w:szCs w:val="18"/>
                <w:lang w:eastAsia="en-AU"/>
              </w:rPr>
              <w:t>roup</w:t>
            </w:r>
          </w:p>
        </w:tc>
        <w:tc>
          <w:tcPr>
            <w:tcW w:w="7087" w:type="dxa"/>
          </w:tcPr>
          <w:p w14:paraId="476B8AC8" w14:textId="096840F2" w:rsidR="005709AC" w:rsidRPr="00F57B13" w:rsidRDefault="34F9E38C" w:rsidP="001F0F39">
            <w:pPr>
              <w:spacing w:before="60"/>
              <w:rPr>
                <w:rFonts w:cs="Noto Sans"/>
                <w:sz w:val="18"/>
                <w:szCs w:val="18"/>
                <w:lang w:eastAsia="en-AU"/>
              </w:rPr>
            </w:pPr>
            <w:r w:rsidRPr="00F57B13">
              <w:rPr>
                <w:rFonts w:cs="Noto Sans"/>
                <w:sz w:val="18"/>
                <w:szCs w:val="18"/>
                <w:lang w:eastAsia="en-AU"/>
              </w:rPr>
              <w:t xml:space="preserve">Gulf of Carpentaria inshore </w:t>
            </w:r>
            <w:r w:rsidR="44FD8799" w:rsidRPr="00F57B13">
              <w:rPr>
                <w:rFonts w:cs="Noto Sans"/>
                <w:sz w:val="18"/>
                <w:szCs w:val="18"/>
                <w:lang w:eastAsia="en-AU"/>
              </w:rPr>
              <w:t>fishery working group</w:t>
            </w:r>
          </w:p>
          <w:p w14:paraId="03B7F5A0" w14:textId="39A3E94E" w:rsidR="005709AC" w:rsidRPr="00F57B13" w:rsidRDefault="63F75D8E" w:rsidP="001F0F39">
            <w:pPr>
              <w:spacing w:after="60"/>
              <w:rPr>
                <w:rFonts w:cs="Noto Sans"/>
                <w:sz w:val="18"/>
                <w:szCs w:val="18"/>
              </w:rPr>
            </w:pPr>
            <w:r w:rsidRPr="00F57B13">
              <w:rPr>
                <w:rFonts w:cs="Noto Sans"/>
                <w:sz w:val="18"/>
                <w:szCs w:val="18"/>
                <w:lang w:eastAsia="en-AU"/>
              </w:rPr>
              <w:t xml:space="preserve">Terms of </w:t>
            </w:r>
            <w:r w:rsidR="35C2BF50" w:rsidRPr="00F57B13">
              <w:rPr>
                <w:rFonts w:cs="Noto Sans"/>
                <w:sz w:val="18"/>
                <w:szCs w:val="18"/>
                <w:lang w:eastAsia="en-AU"/>
              </w:rPr>
              <w:t>r</w:t>
            </w:r>
            <w:r w:rsidRPr="00F57B13">
              <w:rPr>
                <w:rFonts w:cs="Noto Sans"/>
                <w:sz w:val="18"/>
                <w:szCs w:val="18"/>
                <w:lang w:eastAsia="en-AU"/>
              </w:rPr>
              <w:t xml:space="preserve">eference and </w:t>
            </w:r>
            <w:r w:rsidR="35C2BF50" w:rsidRPr="00F57B13">
              <w:rPr>
                <w:rFonts w:cs="Noto Sans"/>
                <w:sz w:val="18"/>
                <w:szCs w:val="18"/>
                <w:lang w:eastAsia="en-AU"/>
              </w:rPr>
              <w:t>c</w:t>
            </w:r>
            <w:r w:rsidRPr="00F57B13">
              <w:rPr>
                <w:rFonts w:cs="Noto Sans"/>
                <w:sz w:val="18"/>
                <w:szCs w:val="18"/>
                <w:lang w:eastAsia="en-AU"/>
              </w:rPr>
              <w:t xml:space="preserve">ommuniques are available at </w:t>
            </w:r>
            <w:hyperlink r:id="rId19" w:history="1">
              <w:r w:rsidR="3A8AFB42" w:rsidRPr="00F57B13">
                <w:rPr>
                  <w:rStyle w:val="Hyperlink"/>
                  <w:rFonts w:cs="Noto Sans"/>
                  <w:sz w:val="18"/>
                  <w:szCs w:val="18"/>
                  <w:lang w:eastAsia="en-AU"/>
                </w:rPr>
                <w:t>fisheries.qld.gov.au</w:t>
              </w:r>
            </w:hyperlink>
            <w:r w:rsidR="538D7B62" w:rsidRPr="00F57B13">
              <w:rPr>
                <w:rFonts w:cs="Noto Sans"/>
                <w:sz w:val="18"/>
                <w:szCs w:val="18"/>
                <w:lang w:eastAsia="en-AU"/>
              </w:rPr>
              <w:t xml:space="preserve"> </w:t>
            </w:r>
          </w:p>
        </w:tc>
      </w:tr>
      <w:tr w:rsidR="009F3883" w14:paraId="503FFEA2" w14:textId="77777777" w:rsidTr="00F57B13">
        <w:trPr>
          <w:trHeight w:val="1408"/>
        </w:trPr>
        <w:tc>
          <w:tcPr>
            <w:tcW w:w="2689" w:type="dxa"/>
            <w:hideMark/>
          </w:tcPr>
          <w:p w14:paraId="6CA67BF2" w14:textId="77777777" w:rsidR="00DB401A" w:rsidRPr="00F57B13" w:rsidRDefault="002E7FAD" w:rsidP="001F0F39">
            <w:pPr>
              <w:spacing w:before="60" w:after="60"/>
              <w:rPr>
                <w:rFonts w:cs="Noto Sans"/>
                <w:sz w:val="18"/>
                <w:szCs w:val="18"/>
                <w:highlight w:val="yellow"/>
              </w:rPr>
            </w:pPr>
            <w:r w:rsidRPr="00F57B13">
              <w:rPr>
                <w:rFonts w:cs="Noto Sans"/>
                <w:b/>
                <w:sz w:val="18"/>
                <w:szCs w:val="18"/>
                <w:lang w:eastAsia="en-AU"/>
              </w:rPr>
              <w:t>Gear</w:t>
            </w:r>
          </w:p>
        </w:tc>
        <w:tc>
          <w:tcPr>
            <w:tcW w:w="7087" w:type="dxa"/>
          </w:tcPr>
          <w:p w14:paraId="48E80ADD" w14:textId="77777777" w:rsidR="00BA0361" w:rsidRPr="00F57B13" w:rsidRDefault="00BA0361" w:rsidP="00E07836">
            <w:pPr>
              <w:spacing w:before="60" w:after="60"/>
              <w:rPr>
                <w:rFonts w:cs="Noto Sans"/>
                <w:sz w:val="18"/>
                <w:szCs w:val="18"/>
                <w:lang w:eastAsia="en-AU"/>
              </w:rPr>
            </w:pPr>
            <w:r w:rsidRPr="00F57B13">
              <w:rPr>
                <w:rFonts w:cs="Noto Sans"/>
                <w:sz w:val="18"/>
                <w:szCs w:val="18"/>
                <w:lang w:eastAsia="en-AU"/>
              </w:rPr>
              <w:t>The following apparatus are permitted for use:</w:t>
            </w:r>
          </w:p>
          <w:p w14:paraId="3CB9DF8F" w14:textId="58A1D531" w:rsidR="00BA0361" w:rsidRPr="00F57B13" w:rsidRDefault="74F546F5" w:rsidP="001F0F39">
            <w:pPr>
              <w:numPr>
                <w:ilvl w:val="0"/>
                <w:numId w:val="8"/>
              </w:numPr>
              <w:ind w:left="458"/>
              <w:rPr>
                <w:rFonts w:cs="Noto Sans"/>
                <w:sz w:val="18"/>
                <w:szCs w:val="18"/>
                <w:lang w:eastAsia="en-AU"/>
              </w:rPr>
            </w:pPr>
            <w:r w:rsidRPr="00F57B13">
              <w:rPr>
                <w:rFonts w:cs="Noto Sans"/>
                <w:sz w:val="18"/>
                <w:szCs w:val="18"/>
                <w:lang w:eastAsia="en-AU"/>
              </w:rPr>
              <w:t xml:space="preserve">commercial – </w:t>
            </w:r>
            <w:r w:rsidR="0F4E6964" w:rsidRPr="00F57B13">
              <w:rPr>
                <w:rFonts w:cs="Noto Sans"/>
                <w:sz w:val="18"/>
                <w:szCs w:val="18"/>
                <w:lang w:eastAsia="en-AU"/>
              </w:rPr>
              <w:t xml:space="preserve">set mesh gillnets, </w:t>
            </w:r>
            <w:r w:rsidRPr="00F57B13">
              <w:rPr>
                <w:rFonts w:cs="Noto Sans"/>
                <w:sz w:val="18"/>
                <w:szCs w:val="18"/>
                <w:lang w:eastAsia="en-AU"/>
              </w:rPr>
              <w:t>hook and line apparatus</w:t>
            </w:r>
            <w:r w:rsidR="5EF6D64F" w:rsidRPr="00F57B13">
              <w:rPr>
                <w:rFonts w:cs="Noto Sans"/>
                <w:sz w:val="18"/>
                <w:szCs w:val="18"/>
                <w:lang w:eastAsia="en-AU"/>
              </w:rPr>
              <w:t xml:space="preserve">, </w:t>
            </w:r>
            <w:r w:rsidR="41D00FD0" w:rsidRPr="00F57B13">
              <w:rPr>
                <w:rFonts w:cs="Noto Sans"/>
                <w:sz w:val="18"/>
                <w:szCs w:val="18"/>
                <w:lang w:eastAsia="en-AU"/>
              </w:rPr>
              <w:t xml:space="preserve">haul (seine) nets, small mesh gillnets, </w:t>
            </w:r>
            <w:r w:rsidR="5EF6D64F" w:rsidRPr="00F57B13">
              <w:rPr>
                <w:rFonts w:cs="Noto Sans"/>
                <w:sz w:val="18"/>
                <w:szCs w:val="18"/>
                <w:lang w:eastAsia="en-AU"/>
              </w:rPr>
              <w:t>cast nets</w:t>
            </w:r>
            <w:r w:rsidR="469AE2B9" w:rsidRPr="00F57B13">
              <w:rPr>
                <w:rFonts w:cs="Noto Sans"/>
                <w:sz w:val="18"/>
                <w:szCs w:val="18"/>
                <w:lang w:eastAsia="en-AU"/>
              </w:rPr>
              <w:t>, scoop nets</w:t>
            </w:r>
            <w:r w:rsidR="5EF6D64F" w:rsidRPr="00F57B13">
              <w:rPr>
                <w:rFonts w:cs="Noto Sans"/>
                <w:sz w:val="18"/>
                <w:szCs w:val="18"/>
                <w:lang w:eastAsia="en-AU"/>
              </w:rPr>
              <w:t xml:space="preserve"> </w:t>
            </w:r>
            <w:r w:rsidRPr="00F57B13">
              <w:rPr>
                <w:rFonts w:cs="Noto Sans"/>
                <w:sz w:val="18"/>
                <w:szCs w:val="18"/>
                <w:lang w:eastAsia="en-AU"/>
              </w:rPr>
              <w:t xml:space="preserve"> </w:t>
            </w:r>
          </w:p>
          <w:p w14:paraId="1ABA11A3" w14:textId="650202A9" w:rsidR="00BA0361" w:rsidRPr="00F57B13" w:rsidRDefault="74F546F5" w:rsidP="00E07836">
            <w:pPr>
              <w:numPr>
                <w:ilvl w:val="0"/>
                <w:numId w:val="8"/>
              </w:numPr>
              <w:spacing w:after="60"/>
              <w:ind w:left="458"/>
              <w:rPr>
                <w:rFonts w:cs="Noto Sans"/>
                <w:sz w:val="18"/>
                <w:szCs w:val="18"/>
                <w:lang w:eastAsia="en-AU"/>
              </w:rPr>
            </w:pPr>
            <w:r w:rsidRPr="00F57B13">
              <w:rPr>
                <w:rFonts w:cs="Noto Sans"/>
                <w:sz w:val="18"/>
                <w:szCs w:val="18"/>
                <w:lang w:eastAsia="en-AU"/>
              </w:rPr>
              <w:t>recreational – recreational hook and line apparatus</w:t>
            </w:r>
            <w:r w:rsidR="53F20038" w:rsidRPr="00F57B13">
              <w:rPr>
                <w:rFonts w:cs="Noto Sans"/>
                <w:sz w:val="18"/>
                <w:szCs w:val="18"/>
                <w:lang w:eastAsia="en-AU"/>
              </w:rPr>
              <w:t xml:space="preserve"> plus ca</w:t>
            </w:r>
            <w:r w:rsidR="5BD0C23E" w:rsidRPr="00F57B13">
              <w:rPr>
                <w:rFonts w:cs="Noto Sans"/>
                <w:sz w:val="18"/>
                <w:szCs w:val="18"/>
                <w:lang w:eastAsia="en-AU"/>
              </w:rPr>
              <w:t>s</w:t>
            </w:r>
            <w:r w:rsidR="53F20038" w:rsidRPr="00F57B13">
              <w:rPr>
                <w:rFonts w:cs="Noto Sans"/>
                <w:sz w:val="18"/>
                <w:szCs w:val="18"/>
                <w:lang w:eastAsia="en-AU"/>
              </w:rPr>
              <w:t>t, dip and seine nets, spearfishing (excluding hooka</w:t>
            </w:r>
            <w:r w:rsidR="5826EBB1" w:rsidRPr="00F57B13">
              <w:rPr>
                <w:rFonts w:cs="Noto Sans"/>
                <w:sz w:val="18"/>
                <w:szCs w:val="18"/>
                <w:lang w:eastAsia="en-AU"/>
              </w:rPr>
              <w:t>h</w:t>
            </w:r>
            <w:r w:rsidR="53F20038" w:rsidRPr="00F57B13">
              <w:rPr>
                <w:rFonts w:cs="Noto Sans"/>
                <w:sz w:val="18"/>
                <w:szCs w:val="18"/>
                <w:lang w:eastAsia="en-AU"/>
              </w:rPr>
              <w:t>/SCUBA)</w:t>
            </w:r>
          </w:p>
          <w:p w14:paraId="6C31DEDF" w14:textId="3D921EFD" w:rsidR="00AC31BD" w:rsidRPr="00F57B13" w:rsidRDefault="74F546F5" w:rsidP="001F0F39">
            <w:pPr>
              <w:spacing w:after="60"/>
              <w:rPr>
                <w:rFonts w:cs="Noto Sans"/>
                <w:sz w:val="18"/>
                <w:szCs w:val="18"/>
                <w:lang w:eastAsia="en-AU"/>
              </w:rPr>
            </w:pPr>
            <w:r w:rsidRPr="00F57B13">
              <w:rPr>
                <w:rFonts w:cs="Noto Sans"/>
                <w:sz w:val="18"/>
                <w:szCs w:val="18"/>
                <w:lang w:eastAsia="en-AU"/>
              </w:rPr>
              <w:t>Refer to fisheries legislation for specific gear requirements and rules</w:t>
            </w:r>
            <w:r w:rsidR="086BCC9F" w:rsidRPr="00F57B13">
              <w:rPr>
                <w:rFonts w:cs="Noto Sans"/>
                <w:sz w:val="18"/>
                <w:szCs w:val="18"/>
                <w:lang w:eastAsia="en-AU"/>
              </w:rPr>
              <w:t>.</w:t>
            </w:r>
          </w:p>
        </w:tc>
      </w:tr>
      <w:tr w:rsidR="009F3883" w14:paraId="5C1D9035" w14:textId="77777777" w:rsidTr="00F57B13">
        <w:trPr>
          <w:trHeight w:val="841"/>
        </w:trPr>
        <w:tc>
          <w:tcPr>
            <w:tcW w:w="2689" w:type="dxa"/>
          </w:tcPr>
          <w:p w14:paraId="42185CCD" w14:textId="77777777" w:rsidR="00DB401A" w:rsidRPr="00F57B13" w:rsidRDefault="002E7FAD" w:rsidP="001F0F39">
            <w:pPr>
              <w:spacing w:before="60" w:after="60"/>
              <w:rPr>
                <w:rFonts w:cs="Noto Sans"/>
                <w:sz w:val="18"/>
                <w:szCs w:val="18"/>
                <w:highlight w:val="yellow"/>
              </w:rPr>
            </w:pPr>
            <w:r w:rsidRPr="00F57B13">
              <w:rPr>
                <w:rFonts w:cs="Noto Sans"/>
                <w:b/>
                <w:sz w:val="18"/>
                <w:szCs w:val="18"/>
                <w:lang w:eastAsia="en-AU"/>
              </w:rPr>
              <w:t>Main management methods</w:t>
            </w:r>
          </w:p>
        </w:tc>
        <w:tc>
          <w:tcPr>
            <w:tcW w:w="7087" w:type="dxa"/>
          </w:tcPr>
          <w:p w14:paraId="01B5FFA9" w14:textId="549218F7" w:rsidR="00D15DD2" w:rsidRPr="00F57B13" w:rsidRDefault="1524C1C6" w:rsidP="00E07836">
            <w:pPr>
              <w:spacing w:before="60"/>
              <w:rPr>
                <w:rFonts w:cs="Noto Sans"/>
                <w:sz w:val="18"/>
                <w:szCs w:val="18"/>
                <w:lang w:eastAsia="en-AU"/>
              </w:rPr>
            </w:pPr>
            <w:r w:rsidRPr="00F57B13">
              <w:rPr>
                <w:rFonts w:cs="Noto Sans"/>
                <w:b/>
                <w:sz w:val="18"/>
                <w:szCs w:val="18"/>
                <w:lang w:eastAsia="en-AU"/>
              </w:rPr>
              <w:t>All sectors:</w:t>
            </w:r>
          </w:p>
          <w:p w14:paraId="2D567835" w14:textId="0C065A95" w:rsidR="00D15DD2" w:rsidRPr="00F57B13" w:rsidRDefault="1B36FB75" w:rsidP="00E07836">
            <w:pPr>
              <w:numPr>
                <w:ilvl w:val="0"/>
                <w:numId w:val="8"/>
              </w:numPr>
              <w:spacing w:before="60"/>
              <w:ind w:left="453" w:hanging="357"/>
              <w:rPr>
                <w:rFonts w:cs="Noto Sans"/>
                <w:sz w:val="18"/>
                <w:szCs w:val="18"/>
                <w:lang w:eastAsia="en-AU"/>
              </w:rPr>
            </w:pPr>
            <w:r w:rsidRPr="00F57B13">
              <w:rPr>
                <w:rFonts w:cs="Noto Sans"/>
                <w:sz w:val="18"/>
                <w:szCs w:val="18"/>
                <w:lang w:eastAsia="en-AU"/>
              </w:rPr>
              <w:t>g</w:t>
            </w:r>
            <w:r w:rsidR="1524C1C6" w:rsidRPr="00F57B13">
              <w:rPr>
                <w:rFonts w:cs="Noto Sans"/>
                <w:sz w:val="18"/>
                <w:szCs w:val="18"/>
                <w:lang w:eastAsia="en-AU"/>
              </w:rPr>
              <w:t>ear restrictions</w:t>
            </w:r>
          </w:p>
          <w:p w14:paraId="461B2B62" w14:textId="7730717B" w:rsidR="00D15DD2" w:rsidRPr="00F57B13" w:rsidRDefault="264482BA" w:rsidP="00E07836">
            <w:pPr>
              <w:numPr>
                <w:ilvl w:val="0"/>
                <w:numId w:val="8"/>
              </w:numPr>
              <w:ind w:left="453" w:hanging="357"/>
              <w:rPr>
                <w:rFonts w:cs="Noto Sans"/>
                <w:i/>
                <w:sz w:val="18"/>
                <w:szCs w:val="18"/>
                <w:lang w:eastAsia="en-AU"/>
              </w:rPr>
            </w:pPr>
            <w:r w:rsidRPr="00F57B13">
              <w:rPr>
                <w:rFonts w:cs="Noto Sans"/>
                <w:sz w:val="18"/>
                <w:szCs w:val="18"/>
                <w:lang w:eastAsia="en-AU"/>
              </w:rPr>
              <w:t>m</w:t>
            </w:r>
            <w:r w:rsidR="1524C1C6" w:rsidRPr="00F57B13">
              <w:rPr>
                <w:rFonts w:cs="Noto Sans"/>
                <w:sz w:val="18"/>
                <w:szCs w:val="18"/>
                <w:lang w:eastAsia="en-AU"/>
              </w:rPr>
              <w:t xml:space="preserve">inimum </w:t>
            </w:r>
            <w:r w:rsidR="004F2830" w:rsidRPr="00F57B13">
              <w:rPr>
                <w:rFonts w:cs="Noto Sans"/>
                <w:sz w:val="18"/>
                <w:szCs w:val="18"/>
                <w:lang w:eastAsia="en-AU"/>
              </w:rPr>
              <w:t>legal-size</w:t>
            </w:r>
            <w:r w:rsidR="1524C1C6" w:rsidRPr="00F57B13">
              <w:rPr>
                <w:rFonts w:cs="Noto Sans"/>
                <w:sz w:val="18"/>
                <w:szCs w:val="18"/>
                <w:lang w:eastAsia="en-AU"/>
              </w:rPr>
              <w:t xml:space="preserve"> limit </w:t>
            </w:r>
          </w:p>
          <w:p w14:paraId="10A3D23B" w14:textId="4A1A85AB" w:rsidR="7AF68978" w:rsidRPr="00F57B13" w:rsidRDefault="7AF68978" w:rsidP="00E07836">
            <w:pPr>
              <w:numPr>
                <w:ilvl w:val="0"/>
                <w:numId w:val="8"/>
              </w:numPr>
              <w:spacing w:after="60"/>
              <w:ind w:left="453" w:hanging="357"/>
              <w:rPr>
                <w:rFonts w:cs="Noto Sans"/>
                <w:sz w:val="18"/>
                <w:szCs w:val="18"/>
                <w:lang w:eastAsia="en-AU"/>
              </w:rPr>
            </w:pPr>
            <w:r w:rsidRPr="00F57B13">
              <w:rPr>
                <w:rFonts w:cs="Noto Sans"/>
                <w:sz w:val="18"/>
                <w:szCs w:val="18"/>
                <w:lang w:eastAsia="en-AU"/>
              </w:rPr>
              <w:t>s</w:t>
            </w:r>
            <w:r w:rsidR="5E2F065A" w:rsidRPr="00F57B13">
              <w:rPr>
                <w:rFonts w:cs="Noto Sans"/>
                <w:sz w:val="18"/>
                <w:szCs w:val="18"/>
                <w:lang w:eastAsia="en-AU"/>
              </w:rPr>
              <w:t>patial and temporal closures</w:t>
            </w:r>
          </w:p>
          <w:p w14:paraId="3BACF70B" w14:textId="1C3E4F16" w:rsidR="00DB401A" w:rsidRPr="00F57B13" w:rsidRDefault="63F75D8E" w:rsidP="00E07836">
            <w:pPr>
              <w:spacing w:before="60"/>
              <w:rPr>
                <w:rFonts w:cs="Noto Sans"/>
                <w:sz w:val="18"/>
                <w:szCs w:val="18"/>
                <w:lang w:eastAsia="en-AU"/>
              </w:rPr>
            </w:pPr>
            <w:r w:rsidRPr="00F57B13">
              <w:rPr>
                <w:rFonts w:cs="Noto Sans"/>
                <w:b/>
                <w:sz w:val="18"/>
                <w:szCs w:val="18"/>
                <w:lang w:eastAsia="en-AU"/>
              </w:rPr>
              <w:t>Commercial</w:t>
            </w:r>
            <w:r w:rsidR="221E95D2" w:rsidRPr="00F57B13">
              <w:rPr>
                <w:rFonts w:cs="Noto Sans"/>
                <w:b/>
                <w:sz w:val="18"/>
                <w:szCs w:val="18"/>
                <w:lang w:eastAsia="en-AU"/>
              </w:rPr>
              <w:t xml:space="preserve"> only:</w:t>
            </w:r>
          </w:p>
          <w:p w14:paraId="758E4147" w14:textId="67DDB096" w:rsidR="00DB401A" w:rsidRPr="00F57B13" w:rsidRDefault="762E8216" w:rsidP="00E07836">
            <w:pPr>
              <w:numPr>
                <w:ilvl w:val="0"/>
                <w:numId w:val="8"/>
              </w:numPr>
              <w:spacing w:before="60"/>
              <w:ind w:left="458"/>
              <w:rPr>
                <w:rFonts w:cs="Noto Sans"/>
                <w:i/>
                <w:sz w:val="18"/>
                <w:szCs w:val="18"/>
                <w:lang w:eastAsia="en-AU"/>
              </w:rPr>
            </w:pPr>
            <w:r w:rsidRPr="00F57B13">
              <w:rPr>
                <w:rFonts w:cs="Noto Sans"/>
                <w:sz w:val="18"/>
                <w:szCs w:val="18"/>
                <w:lang w:eastAsia="en-AU"/>
              </w:rPr>
              <w:t>t</w:t>
            </w:r>
            <w:r w:rsidR="63F75D8E" w:rsidRPr="00F57B13">
              <w:rPr>
                <w:rFonts w:cs="Noto Sans"/>
                <w:sz w:val="18"/>
                <w:szCs w:val="18"/>
                <w:lang w:eastAsia="en-AU"/>
              </w:rPr>
              <w:t xml:space="preserve">otal </w:t>
            </w:r>
            <w:r w:rsidR="19E6E191" w:rsidRPr="00F57B13">
              <w:rPr>
                <w:rFonts w:cs="Noto Sans"/>
                <w:sz w:val="18"/>
                <w:szCs w:val="18"/>
                <w:lang w:eastAsia="en-AU"/>
              </w:rPr>
              <w:t>a</w:t>
            </w:r>
            <w:r w:rsidR="63F75D8E" w:rsidRPr="00F57B13">
              <w:rPr>
                <w:rFonts w:cs="Noto Sans"/>
                <w:sz w:val="18"/>
                <w:szCs w:val="18"/>
                <w:lang w:eastAsia="en-AU"/>
              </w:rPr>
              <w:t xml:space="preserve">llowable </w:t>
            </w:r>
            <w:r w:rsidR="19E6E191" w:rsidRPr="00F57B13">
              <w:rPr>
                <w:rFonts w:cs="Noto Sans"/>
                <w:sz w:val="18"/>
                <w:szCs w:val="18"/>
                <w:lang w:eastAsia="en-AU"/>
              </w:rPr>
              <w:t>c</w:t>
            </w:r>
            <w:r w:rsidR="63F75D8E" w:rsidRPr="00F57B13">
              <w:rPr>
                <w:rFonts w:cs="Noto Sans"/>
                <w:sz w:val="18"/>
                <w:szCs w:val="18"/>
                <w:lang w:eastAsia="en-AU"/>
              </w:rPr>
              <w:t xml:space="preserve">ommercial </w:t>
            </w:r>
            <w:r w:rsidR="19E6E191" w:rsidRPr="00F57B13">
              <w:rPr>
                <w:rFonts w:cs="Noto Sans"/>
                <w:sz w:val="18"/>
                <w:szCs w:val="18"/>
                <w:lang w:eastAsia="en-AU"/>
              </w:rPr>
              <w:t>c</w:t>
            </w:r>
            <w:r w:rsidR="63F75D8E" w:rsidRPr="00F57B13">
              <w:rPr>
                <w:rFonts w:cs="Noto Sans"/>
                <w:sz w:val="18"/>
                <w:szCs w:val="18"/>
                <w:lang w:eastAsia="en-AU"/>
              </w:rPr>
              <w:t>atch (TACC)</w:t>
            </w:r>
          </w:p>
          <w:p w14:paraId="5A01A70C" w14:textId="70B0A618" w:rsidR="008520F8" w:rsidRPr="00F57B13" w:rsidRDefault="50284396" w:rsidP="00E07836">
            <w:pPr>
              <w:numPr>
                <w:ilvl w:val="0"/>
                <w:numId w:val="8"/>
              </w:numPr>
              <w:ind w:left="458"/>
              <w:rPr>
                <w:rFonts w:cs="Noto Sans"/>
                <w:i/>
                <w:sz w:val="18"/>
                <w:szCs w:val="18"/>
                <w:lang w:eastAsia="en-AU"/>
              </w:rPr>
            </w:pPr>
            <w:r w:rsidRPr="00F57B13">
              <w:rPr>
                <w:rFonts w:cs="Noto Sans"/>
                <w:sz w:val="18"/>
                <w:szCs w:val="18"/>
                <w:lang w:eastAsia="en-AU"/>
              </w:rPr>
              <w:t>l</w:t>
            </w:r>
            <w:r w:rsidR="257A0B8F" w:rsidRPr="00F57B13">
              <w:rPr>
                <w:rFonts w:cs="Noto Sans"/>
                <w:sz w:val="18"/>
                <w:szCs w:val="18"/>
                <w:lang w:eastAsia="en-AU"/>
              </w:rPr>
              <w:t xml:space="preserve">imited </w:t>
            </w:r>
            <w:r w:rsidR="30C1F3B5" w:rsidRPr="00F57B13">
              <w:rPr>
                <w:rFonts w:cs="Noto Sans"/>
                <w:sz w:val="18"/>
                <w:szCs w:val="18"/>
                <w:lang w:eastAsia="en-AU"/>
              </w:rPr>
              <w:t>entry</w:t>
            </w:r>
            <w:r w:rsidR="6FF7E603" w:rsidRPr="00F57B13">
              <w:rPr>
                <w:rFonts w:cs="Noto Sans"/>
                <w:sz w:val="18"/>
                <w:szCs w:val="18"/>
                <w:lang w:eastAsia="en-AU"/>
              </w:rPr>
              <w:t xml:space="preserve"> and </w:t>
            </w:r>
            <w:r w:rsidR="32EA59E1" w:rsidRPr="00F57B13">
              <w:rPr>
                <w:rFonts w:cs="Noto Sans"/>
                <w:sz w:val="18"/>
                <w:szCs w:val="18"/>
                <w:lang w:eastAsia="en-AU"/>
              </w:rPr>
              <w:t>defined fishery areas</w:t>
            </w:r>
          </w:p>
          <w:p w14:paraId="4BCB8118" w14:textId="0B7B0896" w:rsidR="00BB6134" w:rsidRPr="00F57B13" w:rsidRDefault="6531F6FC" w:rsidP="00E07836">
            <w:pPr>
              <w:numPr>
                <w:ilvl w:val="0"/>
                <w:numId w:val="8"/>
              </w:numPr>
              <w:spacing w:after="60"/>
              <w:ind w:left="458"/>
              <w:rPr>
                <w:rFonts w:cs="Noto Sans"/>
                <w:sz w:val="18"/>
                <w:szCs w:val="18"/>
                <w:lang w:eastAsia="en-AU"/>
              </w:rPr>
            </w:pPr>
            <w:r w:rsidRPr="00F57B13">
              <w:rPr>
                <w:rFonts w:cs="Noto Sans"/>
                <w:sz w:val="18"/>
                <w:szCs w:val="18"/>
                <w:lang w:eastAsia="en-AU"/>
              </w:rPr>
              <w:t>v</w:t>
            </w:r>
            <w:r w:rsidR="30C1F3B5" w:rsidRPr="00F57B13">
              <w:rPr>
                <w:rFonts w:cs="Noto Sans"/>
                <w:sz w:val="18"/>
                <w:szCs w:val="18"/>
                <w:lang w:eastAsia="en-AU"/>
              </w:rPr>
              <w:t xml:space="preserve">essel </w:t>
            </w:r>
            <w:r w:rsidR="79D8482D" w:rsidRPr="00F57B13">
              <w:rPr>
                <w:rFonts w:cs="Noto Sans"/>
                <w:sz w:val="18"/>
                <w:szCs w:val="18"/>
                <w:lang w:eastAsia="en-AU"/>
              </w:rPr>
              <w:t xml:space="preserve">and tender </w:t>
            </w:r>
            <w:r w:rsidR="30C1F3B5" w:rsidRPr="00F57B13">
              <w:rPr>
                <w:rFonts w:cs="Noto Sans"/>
                <w:sz w:val="18"/>
                <w:szCs w:val="18"/>
                <w:lang w:eastAsia="en-AU"/>
              </w:rPr>
              <w:t>restrictions</w:t>
            </w:r>
          </w:p>
          <w:p w14:paraId="43424F7F" w14:textId="4FB62C2D" w:rsidR="00DB401A" w:rsidRPr="00F57B13" w:rsidRDefault="63F75D8E" w:rsidP="001F0F39">
            <w:pPr>
              <w:spacing w:before="60" w:after="60"/>
              <w:rPr>
                <w:rFonts w:cs="Noto Sans"/>
                <w:b/>
                <w:sz w:val="18"/>
                <w:szCs w:val="18"/>
                <w:lang w:eastAsia="en-AU"/>
              </w:rPr>
            </w:pPr>
            <w:r w:rsidRPr="00F57B13">
              <w:rPr>
                <w:rFonts w:cs="Noto Sans"/>
                <w:b/>
                <w:sz w:val="18"/>
                <w:szCs w:val="18"/>
                <w:lang w:eastAsia="en-AU"/>
              </w:rPr>
              <w:t>Recreational</w:t>
            </w:r>
            <w:r w:rsidR="221E95D2" w:rsidRPr="00F57B13">
              <w:rPr>
                <w:rFonts w:cs="Noto Sans"/>
                <w:b/>
                <w:sz w:val="18"/>
                <w:szCs w:val="18"/>
                <w:lang w:eastAsia="en-AU"/>
              </w:rPr>
              <w:t xml:space="preserve"> only:</w:t>
            </w:r>
          </w:p>
          <w:p w14:paraId="3BE9D31A" w14:textId="4C8AC7BC" w:rsidR="007350C8" w:rsidRPr="00F57B13" w:rsidRDefault="0CBB7544" w:rsidP="00E07836">
            <w:pPr>
              <w:numPr>
                <w:ilvl w:val="0"/>
                <w:numId w:val="8"/>
              </w:numPr>
              <w:spacing w:before="60"/>
              <w:ind w:left="453" w:hanging="357"/>
              <w:rPr>
                <w:rFonts w:cs="Noto Sans"/>
                <w:i/>
                <w:sz w:val="18"/>
                <w:szCs w:val="18"/>
                <w:lang w:eastAsia="en-AU"/>
              </w:rPr>
            </w:pPr>
            <w:r w:rsidRPr="00F57B13">
              <w:rPr>
                <w:rFonts w:cs="Noto Sans"/>
                <w:sz w:val="18"/>
                <w:szCs w:val="18"/>
                <w:lang w:eastAsia="en-AU"/>
              </w:rPr>
              <w:t>i</w:t>
            </w:r>
            <w:r w:rsidR="30C1F3B5" w:rsidRPr="00F57B13">
              <w:rPr>
                <w:rFonts w:cs="Noto Sans"/>
                <w:sz w:val="18"/>
                <w:szCs w:val="18"/>
                <w:lang w:eastAsia="en-AU"/>
              </w:rPr>
              <w:t>n</w:t>
            </w:r>
            <w:r w:rsidR="454A80A2" w:rsidRPr="00F57B13">
              <w:rPr>
                <w:rFonts w:cs="Noto Sans"/>
                <w:sz w:val="18"/>
                <w:szCs w:val="18"/>
                <w:lang w:eastAsia="en-AU"/>
              </w:rPr>
              <w:t>-</w:t>
            </w:r>
            <w:r w:rsidR="30C1F3B5" w:rsidRPr="00F57B13">
              <w:rPr>
                <w:rFonts w:cs="Noto Sans"/>
                <w:sz w:val="18"/>
                <w:szCs w:val="18"/>
                <w:lang w:eastAsia="en-AU"/>
              </w:rPr>
              <w:t>possession</w:t>
            </w:r>
            <w:r w:rsidR="454A80A2" w:rsidRPr="00F57B13">
              <w:rPr>
                <w:rFonts w:cs="Noto Sans"/>
                <w:sz w:val="18"/>
                <w:szCs w:val="18"/>
                <w:lang w:eastAsia="en-AU"/>
              </w:rPr>
              <w:t xml:space="preserve"> </w:t>
            </w:r>
            <w:r w:rsidR="162EE145" w:rsidRPr="00F57B13">
              <w:rPr>
                <w:rFonts w:cs="Noto Sans"/>
                <w:sz w:val="18"/>
                <w:szCs w:val="18"/>
                <w:lang w:eastAsia="en-AU"/>
              </w:rPr>
              <w:t>limits</w:t>
            </w:r>
          </w:p>
          <w:p w14:paraId="3423CA88" w14:textId="5EFB5E1D" w:rsidR="008520F8" w:rsidRPr="00F57B13" w:rsidRDefault="1A681766" w:rsidP="00E07836">
            <w:pPr>
              <w:numPr>
                <w:ilvl w:val="0"/>
                <w:numId w:val="8"/>
              </w:numPr>
              <w:spacing w:after="60"/>
              <w:ind w:left="453" w:hanging="357"/>
              <w:rPr>
                <w:rFonts w:cs="Noto Sans"/>
                <w:sz w:val="18"/>
                <w:szCs w:val="18"/>
                <w:lang w:eastAsia="en-AU"/>
              </w:rPr>
            </w:pPr>
            <w:r w:rsidRPr="00F57B13">
              <w:rPr>
                <w:rFonts w:cs="Noto Sans"/>
                <w:sz w:val="18"/>
                <w:szCs w:val="18"/>
                <w:lang w:eastAsia="en-AU"/>
              </w:rPr>
              <w:t>b</w:t>
            </w:r>
            <w:r w:rsidR="454A80A2" w:rsidRPr="00F57B13">
              <w:rPr>
                <w:rFonts w:cs="Noto Sans"/>
                <w:sz w:val="18"/>
                <w:szCs w:val="18"/>
                <w:lang w:eastAsia="en-AU"/>
              </w:rPr>
              <w:t>oat</w:t>
            </w:r>
            <w:r w:rsidR="30C1F3B5" w:rsidRPr="00F57B13">
              <w:rPr>
                <w:rFonts w:cs="Noto Sans"/>
                <w:sz w:val="18"/>
                <w:szCs w:val="18"/>
                <w:lang w:eastAsia="en-AU"/>
              </w:rPr>
              <w:t xml:space="preserve"> limit</w:t>
            </w:r>
            <w:r w:rsidR="454A80A2" w:rsidRPr="00F57B13">
              <w:rPr>
                <w:rFonts w:cs="Noto Sans"/>
                <w:sz w:val="18"/>
                <w:szCs w:val="18"/>
                <w:lang w:eastAsia="en-AU"/>
              </w:rPr>
              <w:t>s</w:t>
            </w:r>
          </w:p>
        </w:tc>
      </w:tr>
      <w:tr w:rsidR="009F3883" w14:paraId="16A902A1" w14:textId="77777777" w:rsidTr="00F57B13">
        <w:trPr>
          <w:trHeight w:val="77"/>
        </w:trPr>
        <w:tc>
          <w:tcPr>
            <w:tcW w:w="2689" w:type="dxa"/>
          </w:tcPr>
          <w:p w14:paraId="7532220F" w14:textId="77777777" w:rsidR="00DB401A" w:rsidRPr="00F57B13" w:rsidRDefault="002E7FAD" w:rsidP="001F0F39">
            <w:pPr>
              <w:spacing w:before="60" w:after="60"/>
              <w:rPr>
                <w:rFonts w:cs="Noto Sans"/>
                <w:sz w:val="18"/>
                <w:szCs w:val="18"/>
              </w:rPr>
            </w:pPr>
            <w:r w:rsidRPr="00F57B13">
              <w:rPr>
                <w:rFonts w:cs="Noto Sans"/>
                <w:b/>
                <w:sz w:val="18"/>
                <w:szCs w:val="18"/>
                <w:lang w:eastAsia="en-AU"/>
              </w:rPr>
              <w:lastRenderedPageBreak/>
              <w:t>Fishing year</w:t>
            </w:r>
          </w:p>
        </w:tc>
        <w:tc>
          <w:tcPr>
            <w:tcW w:w="7087" w:type="dxa"/>
          </w:tcPr>
          <w:p w14:paraId="1F518D5E" w14:textId="4B72C108" w:rsidR="00DB401A" w:rsidRPr="00F57B13" w:rsidRDefault="2BCC2CDB" w:rsidP="001F0F39">
            <w:pPr>
              <w:spacing w:before="60" w:after="60"/>
              <w:rPr>
                <w:rFonts w:cs="Noto Sans"/>
                <w:sz w:val="18"/>
                <w:szCs w:val="18"/>
                <w:lang w:eastAsia="en-AU"/>
              </w:rPr>
            </w:pPr>
            <w:r w:rsidRPr="00F57B13">
              <w:rPr>
                <w:rFonts w:cs="Noto Sans"/>
                <w:sz w:val="18"/>
                <w:szCs w:val="18"/>
                <w:lang w:eastAsia="en-AU"/>
              </w:rPr>
              <w:t xml:space="preserve">1 January – 31 December </w:t>
            </w:r>
          </w:p>
        </w:tc>
      </w:tr>
      <w:tr w:rsidR="009F3883" w14:paraId="032BE3D7" w14:textId="77777777" w:rsidTr="00F57B13">
        <w:trPr>
          <w:trHeight w:val="3840"/>
        </w:trPr>
        <w:tc>
          <w:tcPr>
            <w:tcW w:w="2689" w:type="dxa"/>
          </w:tcPr>
          <w:p w14:paraId="6CD685CB" w14:textId="0669D377" w:rsidR="00DB401A" w:rsidRPr="00F57B13" w:rsidRDefault="002E7FAD" w:rsidP="001F0F39">
            <w:pPr>
              <w:keepNext/>
              <w:spacing w:before="60" w:after="60"/>
              <w:rPr>
                <w:rFonts w:cs="Noto Sans"/>
                <w:sz w:val="18"/>
                <w:szCs w:val="18"/>
              </w:rPr>
            </w:pPr>
            <w:r w:rsidRPr="00F57B13">
              <w:rPr>
                <w:rFonts w:cs="Noto Sans"/>
                <w:b/>
                <w:sz w:val="18"/>
                <w:szCs w:val="18"/>
                <w:lang w:eastAsia="en-AU"/>
              </w:rPr>
              <w:t xml:space="preserve">Stock </w:t>
            </w:r>
            <w:r w:rsidR="00152BCD" w:rsidRPr="00F57B13">
              <w:rPr>
                <w:rFonts w:cs="Noto Sans"/>
                <w:b/>
                <w:sz w:val="18"/>
                <w:szCs w:val="18"/>
                <w:lang w:eastAsia="en-AU"/>
              </w:rPr>
              <w:t>s</w:t>
            </w:r>
            <w:r w:rsidRPr="00F57B13">
              <w:rPr>
                <w:rFonts w:cs="Noto Sans"/>
                <w:b/>
                <w:sz w:val="18"/>
                <w:szCs w:val="18"/>
                <w:lang w:eastAsia="en-AU"/>
              </w:rPr>
              <w:t>tatus</w:t>
            </w:r>
          </w:p>
        </w:tc>
        <w:tc>
          <w:tcPr>
            <w:tcW w:w="7087" w:type="dxa"/>
          </w:tcPr>
          <w:p w14:paraId="7C24D124" w14:textId="19573C17" w:rsidR="005709AC" w:rsidRPr="00F57B13" w:rsidRDefault="6807BB1C" w:rsidP="001F0F39">
            <w:pPr>
              <w:keepNext/>
              <w:spacing w:before="60" w:after="60"/>
              <w:rPr>
                <w:rFonts w:cs="Noto Sans"/>
                <w:sz w:val="18"/>
                <w:szCs w:val="18"/>
                <w:lang w:eastAsia="en-AU"/>
              </w:rPr>
            </w:pPr>
            <w:r w:rsidRPr="00F57B13">
              <w:rPr>
                <w:rFonts w:cs="Noto Sans"/>
                <w:sz w:val="18"/>
                <w:szCs w:val="18"/>
                <w:lang w:eastAsia="en-AU"/>
              </w:rPr>
              <w:t xml:space="preserve">Stock status is assessed using the nationally agreed Status of Australian Fish Stocks (SAFS) classification framework (visit </w:t>
            </w:r>
            <w:hyperlink r:id="rId20">
              <w:r w:rsidR="5371E808" w:rsidRPr="00F57B13">
                <w:rPr>
                  <w:rStyle w:val="Hyperlink"/>
                  <w:rFonts w:cs="Noto Sans"/>
                  <w:sz w:val="18"/>
                  <w:szCs w:val="18"/>
                  <w:lang w:eastAsia="en-AU"/>
                </w:rPr>
                <w:t>fish.gov.au</w:t>
              </w:r>
            </w:hyperlink>
            <w:r w:rsidR="5371E808" w:rsidRPr="00F57B13">
              <w:rPr>
                <w:rFonts w:cs="Noto Sans"/>
                <w:sz w:val="18"/>
                <w:szCs w:val="18"/>
                <w:lang w:eastAsia="en-AU"/>
              </w:rPr>
              <w:t>).</w:t>
            </w:r>
            <w:r w:rsidRPr="00F57B13">
              <w:rPr>
                <w:rFonts w:cs="Noto Sans"/>
                <w:sz w:val="18"/>
                <w:szCs w:val="18"/>
                <w:lang w:eastAsia="en-AU"/>
              </w:rPr>
              <w:t xml:space="preserve"> T</w:t>
            </w:r>
            <w:r w:rsidR="2AEB9A42" w:rsidRPr="00F57B13">
              <w:rPr>
                <w:rFonts w:cs="Noto Sans"/>
                <w:sz w:val="18"/>
                <w:szCs w:val="18"/>
                <w:lang w:eastAsia="en-AU"/>
              </w:rPr>
              <w:t xml:space="preserve">he SAFS stock status for tier 1 and 2 species </w:t>
            </w:r>
            <w:r w:rsidR="7BB5A6D5" w:rsidRPr="00F57B13">
              <w:rPr>
                <w:rFonts w:cs="Noto Sans"/>
                <w:sz w:val="18"/>
                <w:szCs w:val="18"/>
                <w:lang w:eastAsia="en-AU"/>
              </w:rPr>
              <w:t>in 202</w:t>
            </w:r>
            <w:r w:rsidR="004350C2" w:rsidRPr="00F57B13">
              <w:rPr>
                <w:rFonts w:cs="Noto Sans"/>
                <w:sz w:val="18"/>
                <w:szCs w:val="18"/>
                <w:lang w:eastAsia="en-AU"/>
              </w:rPr>
              <w:t xml:space="preserve">3 </w:t>
            </w:r>
            <w:r w:rsidR="7BB5A6D5" w:rsidRPr="00F57B13">
              <w:rPr>
                <w:rFonts w:cs="Noto Sans"/>
                <w:sz w:val="18"/>
                <w:szCs w:val="18"/>
                <w:lang w:eastAsia="en-AU"/>
              </w:rPr>
              <w:t>was as follows</w:t>
            </w:r>
            <w:r w:rsidR="4DFACDAF" w:rsidRPr="00F57B13">
              <w:rPr>
                <w:rFonts w:cs="Noto Sans"/>
                <w:sz w:val="18"/>
                <w:szCs w:val="18"/>
                <w:lang w:eastAsia="en-AU"/>
              </w:rPr>
              <w:t>*</w:t>
            </w:r>
            <w:r w:rsidR="7BB5A6D5" w:rsidRPr="00F57B13">
              <w:rPr>
                <w:rFonts w:cs="Noto Sans"/>
                <w:sz w:val="18"/>
                <w:szCs w:val="18"/>
                <w:lang w:eastAsia="en-AU"/>
              </w:rPr>
              <w:t>:</w:t>
            </w:r>
          </w:p>
          <w:p w14:paraId="543D4AA7" w14:textId="7D3DF858" w:rsidR="005709AC" w:rsidRPr="00F57B13" w:rsidRDefault="6E8116A7" w:rsidP="00E07836">
            <w:pPr>
              <w:keepNext/>
              <w:numPr>
                <w:ilvl w:val="0"/>
                <w:numId w:val="1"/>
              </w:numPr>
              <w:spacing w:before="60" w:after="60"/>
              <w:ind w:left="453" w:hanging="357"/>
              <w:contextualSpacing/>
              <w:rPr>
                <w:rFonts w:cs="Noto Sans"/>
                <w:sz w:val="18"/>
                <w:szCs w:val="18"/>
                <w:lang w:eastAsia="en-AU"/>
              </w:rPr>
            </w:pPr>
            <w:r w:rsidRPr="00F57B13">
              <w:rPr>
                <w:rFonts w:cs="Noto Sans"/>
                <w:sz w:val="18"/>
                <w:szCs w:val="18"/>
                <w:lang w:eastAsia="en-AU"/>
              </w:rPr>
              <w:t>b</w:t>
            </w:r>
            <w:r w:rsidR="0F059655" w:rsidRPr="00F57B13">
              <w:rPr>
                <w:rFonts w:cs="Noto Sans"/>
                <w:sz w:val="18"/>
                <w:szCs w:val="18"/>
                <w:lang w:eastAsia="en-AU"/>
              </w:rPr>
              <w:t>arramundi – sustainable</w:t>
            </w:r>
          </w:p>
          <w:p w14:paraId="7E6266ED" w14:textId="1328CCE9" w:rsidR="005709AC" w:rsidRPr="00F57B13" w:rsidRDefault="1F4931C7" w:rsidP="00E07836">
            <w:pPr>
              <w:keepNext/>
              <w:numPr>
                <w:ilvl w:val="0"/>
                <w:numId w:val="1"/>
              </w:numPr>
              <w:spacing w:before="60" w:after="60"/>
              <w:ind w:left="453" w:hanging="357"/>
              <w:contextualSpacing/>
              <w:rPr>
                <w:rFonts w:cs="Noto Sans"/>
                <w:sz w:val="18"/>
                <w:szCs w:val="18"/>
                <w:lang w:eastAsia="en-AU"/>
              </w:rPr>
            </w:pPr>
            <w:r w:rsidRPr="00F57B13">
              <w:rPr>
                <w:rFonts w:cs="Noto Sans"/>
                <w:sz w:val="18"/>
                <w:szCs w:val="18"/>
                <w:lang w:eastAsia="en-AU"/>
              </w:rPr>
              <w:t>b</w:t>
            </w:r>
            <w:r w:rsidR="53A1B79C" w:rsidRPr="00F57B13">
              <w:rPr>
                <w:rFonts w:cs="Noto Sans"/>
                <w:sz w:val="18"/>
                <w:szCs w:val="18"/>
                <w:lang w:eastAsia="en-AU"/>
              </w:rPr>
              <w:t>lack jewfish – undefined</w:t>
            </w:r>
          </w:p>
          <w:p w14:paraId="11D1FD9F" w14:textId="3C69C4CF" w:rsidR="005709AC" w:rsidRPr="00F57B13" w:rsidRDefault="63CDC138" w:rsidP="00E07836">
            <w:pPr>
              <w:keepNext/>
              <w:numPr>
                <w:ilvl w:val="0"/>
                <w:numId w:val="1"/>
              </w:numPr>
              <w:spacing w:before="60" w:after="60"/>
              <w:ind w:left="453" w:hanging="357"/>
              <w:contextualSpacing/>
              <w:rPr>
                <w:rFonts w:cs="Noto Sans"/>
                <w:sz w:val="18"/>
                <w:szCs w:val="18"/>
                <w:lang w:eastAsia="en-AU"/>
              </w:rPr>
            </w:pPr>
            <w:r w:rsidRPr="00F57B13">
              <w:rPr>
                <w:rFonts w:cs="Noto Sans"/>
                <w:sz w:val="18"/>
                <w:szCs w:val="18"/>
                <w:lang w:eastAsia="en-AU"/>
              </w:rPr>
              <w:t>g</w:t>
            </w:r>
            <w:r w:rsidR="0F059655" w:rsidRPr="00F57B13">
              <w:rPr>
                <w:rFonts w:cs="Noto Sans"/>
                <w:sz w:val="18"/>
                <w:szCs w:val="18"/>
                <w:lang w:eastAsia="en-AU"/>
              </w:rPr>
              <w:t>rey mackerel</w:t>
            </w:r>
            <w:r w:rsidR="71579527" w:rsidRPr="00F57B13">
              <w:rPr>
                <w:rFonts w:cs="Noto Sans"/>
                <w:sz w:val="18"/>
                <w:szCs w:val="18"/>
                <w:lang w:eastAsia="en-AU"/>
              </w:rPr>
              <w:t xml:space="preserve"> – sustainable</w:t>
            </w:r>
          </w:p>
          <w:p w14:paraId="07BE4879" w14:textId="70ACD398" w:rsidR="005709AC" w:rsidRPr="00F57B13" w:rsidRDefault="30C469CC" w:rsidP="00E07836">
            <w:pPr>
              <w:keepNext/>
              <w:numPr>
                <w:ilvl w:val="0"/>
                <w:numId w:val="1"/>
              </w:numPr>
              <w:spacing w:before="60" w:after="60"/>
              <w:ind w:left="453" w:hanging="357"/>
              <w:contextualSpacing/>
              <w:rPr>
                <w:rFonts w:cs="Noto Sans"/>
                <w:sz w:val="18"/>
                <w:szCs w:val="18"/>
                <w:lang w:eastAsia="en-AU"/>
              </w:rPr>
            </w:pPr>
            <w:r w:rsidRPr="00F57B13">
              <w:rPr>
                <w:rFonts w:cs="Noto Sans"/>
                <w:sz w:val="18"/>
                <w:szCs w:val="18"/>
                <w:lang w:eastAsia="en-AU"/>
              </w:rPr>
              <w:t>king threadfin – depleting</w:t>
            </w:r>
          </w:p>
          <w:p w14:paraId="49727CBB" w14:textId="1EE5C1B3" w:rsidR="005709AC" w:rsidRPr="00F57B13" w:rsidRDefault="71579527" w:rsidP="001F0F39">
            <w:pPr>
              <w:keepNext/>
              <w:numPr>
                <w:ilvl w:val="0"/>
                <w:numId w:val="1"/>
              </w:numPr>
              <w:spacing w:before="60" w:after="60"/>
              <w:ind w:left="453" w:hanging="357"/>
              <w:rPr>
                <w:rFonts w:cs="Noto Sans"/>
                <w:sz w:val="18"/>
                <w:szCs w:val="18"/>
                <w:lang w:eastAsia="en-AU"/>
              </w:rPr>
            </w:pPr>
            <w:r w:rsidRPr="00F57B13">
              <w:rPr>
                <w:rFonts w:cs="Noto Sans"/>
                <w:sz w:val="18"/>
                <w:szCs w:val="18"/>
                <w:lang w:eastAsia="en-AU"/>
              </w:rPr>
              <w:t xml:space="preserve">Spanish mackerel – </w:t>
            </w:r>
            <w:r w:rsidR="29B9669B" w:rsidRPr="00F57B13">
              <w:rPr>
                <w:rFonts w:cs="Noto Sans"/>
                <w:sz w:val="18"/>
                <w:szCs w:val="18"/>
                <w:lang w:eastAsia="en-AU"/>
              </w:rPr>
              <w:t>d</w:t>
            </w:r>
            <w:r w:rsidRPr="00F57B13">
              <w:rPr>
                <w:rFonts w:cs="Noto Sans"/>
                <w:sz w:val="18"/>
                <w:szCs w:val="18"/>
                <w:lang w:eastAsia="en-AU"/>
              </w:rPr>
              <w:t>epleting</w:t>
            </w:r>
          </w:p>
          <w:p w14:paraId="4906B6E2" w14:textId="7F3EF5E6" w:rsidR="005709AC" w:rsidRPr="00F57B13" w:rsidRDefault="676E986C" w:rsidP="001F0F39">
            <w:pPr>
              <w:keepNext/>
              <w:spacing w:before="60" w:after="60"/>
              <w:rPr>
                <w:rFonts w:cs="Noto Sans"/>
                <w:sz w:val="18"/>
                <w:szCs w:val="18"/>
                <w:lang w:eastAsia="en-AU"/>
              </w:rPr>
            </w:pPr>
            <w:r w:rsidRPr="00F57B13">
              <w:rPr>
                <w:rFonts w:cs="Noto Sans"/>
                <w:sz w:val="18"/>
                <w:szCs w:val="18"/>
                <w:lang w:eastAsia="en-AU"/>
              </w:rPr>
              <w:t>A</w:t>
            </w:r>
            <w:r w:rsidR="39210411" w:rsidRPr="00F57B13">
              <w:rPr>
                <w:rFonts w:cs="Noto Sans"/>
                <w:sz w:val="18"/>
                <w:szCs w:val="18"/>
                <w:lang w:eastAsia="en-AU"/>
              </w:rPr>
              <w:t>ll</w:t>
            </w:r>
            <w:r w:rsidRPr="00F57B13">
              <w:rPr>
                <w:rFonts w:cs="Noto Sans"/>
                <w:sz w:val="18"/>
                <w:szCs w:val="18"/>
                <w:lang w:eastAsia="en-AU"/>
              </w:rPr>
              <w:t xml:space="preserve"> other species are listed as ‘undefined’ or are yet to be assessed under the SAFS. </w:t>
            </w:r>
          </w:p>
          <w:p w14:paraId="4CCA2CF7" w14:textId="3CD62583" w:rsidR="005709AC" w:rsidRPr="00F57B13" w:rsidRDefault="676E986C" w:rsidP="001F0F39">
            <w:pPr>
              <w:keepNext/>
              <w:spacing w:before="60" w:after="60"/>
              <w:rPr>
                <w:rFonts w:cs="Noto Sans"/>
                <w:sz w:val="18"/>
                <w:szCs w:val="18"/>
                <w:lang w:eastAsia="en-AU"/>
              </w:rPr>
            </w:pPr>
            <w:r w:rsidRPr="00F57B13">
              <w:rPr>
                <w:rFonts w:cs="Noto Sans"/>
                <w:sz w:val="18"/>
                <w:szCs w:val="18"/>
                <w:lang w:eastAsia="en-AU"/>
              </w:rPr>
              <w:t xml:space="preserve">*Note: The classification system used as </w:t>
            </w:r>
            <w:r w:rsidR="1B1301FB" w:rsidRPr="00F57B13">
              <w:rPr>
                <w:rFonts w:cs="Noto Sans"/>
                <w:sz w:val="18"/>
                <w:szCs w:val="18"/>
                <w:lang w:eastAsia="en-AU"/>
              </w:rPr>
              <w:t xml:space="preserve">in </w:t>
            </w:r>
            <w:r w:rsidRPr="00F57B13">
              <w:rPr>
                <w:rFonts w:cs="Noto Sans"/>
                <w:sz w:val="18"/>
                <w:szCs w:val="18"/>
                <w:lang w:eastAsia="en-AU"/>
              </w:rPr>
              <w:t xml:space="preserve">the SAFS reporting is assessed against </w:t>
            </w:r>
            <w:proofErr w:type="gramStart"/>
            <w:r w:rsidRPr="00F57B13">
              <w:rPr>
                <w:rFonts w:cs="Noto Sans"/>
                <w:sz w:val="18"/>
                <w:szCs w:val="18"/>
                <w:lang w:eastAsia="en-AU"/>
              </w:rPr>
              <w:t>a 20% biomass sustainability criteria</w:t>
            </w:r>
            <w:proofErr w:type="gramEnd"/>
            <w:r w:rsidRPr="00F57B13">
              <w:rPr>
                <w:rFonts w:cs="Noto Sans"/>
                <w:sz w:val="18"/>
                <w:szCs w:val="18"/>
                <w:lang w:eastAsia="en-AU"/>
              </w:rPr>
              <w:t xml:space="preserve">. Therefore, although a species may be classified as ‘sustainable’ under SAFS, this does not mean that the biomass is meeting the targets set out in </w:t>
            </w:r>
            <w:r w:rsidR="00AE50E4" w:rsidRPr="00F57B13">
              <w:rPr>
                <w:rFonts w:cs="Noto Sans"/>
                <w:sz w:val="18"/>
                <w:szCs w:val="18"/>
                <w:lang w:eastAsia="en-AU"/>
              </w:rPr>
              <w:t>this harvest strategy</w:t>
            </w:r>
            <w:r w:rsidR="00E1143D" w:rsidRPr="00F57B13">
              <w:rPr>
                <w:rFonts w:cs="Noto Sans"/>
                <w:sz w:val="18"/>
                <w:szCs w:val="18"/>
                <w:lang w:eastAsia="en-AU"/>
              </w:rPr>
              <w:t>. F</w:t>
            </w:r>
            <w:r w:rsidRPr="00F57B13">
              <w:rPr>
                <w:rFonts w:cs="Noto Sans"/>
                <w:sz w:val="18"/>
                <w:szCs w:val="18"/>
                <w:lang w:eastAsia="en-AU"/>
              </w:rPr>
              <w:t>or more specific species biomass estimates, consult the relevant stock assessment for that species.</w:t>
            </w:r>
          </w:p>
        </w:tc>
      </w:tr>
      <w:tr w:rsidR="009F3883" w14:paraId="712263C8" w14:textId="77777777" w:rsidTr="00F57B13">
        <w:trPr>
          <w:trHeight w:val="1147"/>
        </w:trPr>
        <w:tc>
          <w:tcPr>
            <w:tcW w:w="2689" w:type="dxa"/>
          </w:tcPr>
          <w:p w14:paraId="45D055FE" w14:textId="77777777" w:rsidR="00DB401A" w:rsidRPr="00F57B13" w:rsidRDefault="002E7FAD" w:rsidP="001F0F39">
            <w:pPr>
              <w:spacing w:before="60" w:after="60"/>
              <w:rPr>
                <w:rFonts w:cs="Noto Sans"/>
                <w:b/>
                <w:i/>
                <w:sz w:val="18"/>
                <w:szCs w:val="18"/>
                <w:lang w:eastAsia="en-AU"/>
              </w:rPr>
            </w:pPr>
            <w:r w:rsidRPr="00F57B13">
              <w:rPr>
                <w:rFonts w:cs="Noto Sans"/>
                <w:b/>
                <w:sz w:val="18"/>
                <w:szCs w:val="18"/>
                <w:lang w:eastAsia="en-AU"/>
              </w:rPr>
              <w:t>Accreditation under the</w:t>
            </w:r>
            <w:r w:rsidRPr="00F57B13">
              <w:rPr>
                <w:rFonts w:cs="Noto Sans"/>
                <w:b/>
                <w:i/>
                <w:sz w:val="18"/>
                <w:szCs w:val="18"/>
                <w:lang w:eastAsia="en-AU"/>
              </w:rPr>
              <w:t xml:space="preserve"> Environment Protection and Biodiversity Conservation Act 1999</w:t>
            </w:r>
          </w:p>
        </w:tc>
        <w:tc>
          <w:tcPr>
            <w:tcW w:w="7087" w:type="dxa"/>
          </w:tcPr>
          <w:p w14:paraId="71AA9E8A" w14:textId="69CAB207" w:rsidR="4ECF0582" w:rsidRPr="00F57B13" w:rsidRDefault="4ECF0582" w:rsidP="00E07836">
            <w:pPr>
              <w:spacing w:before="60"/>
              <w:rPr>
                <w:rFonts w:cs="Noto Sans"/>
                <w:sz w:val="18"/>
                <w:szCs w:val="18"/>
              </w:rPr>
            </w:pPr>
            <w:r w:rsidRPr="00F57B13">
              <w:rPr>
                <w:rFonts w:cs="Noto Sans"/>
                <w:sz w:val="18"/>
                <w:szCs w:val="18"/>
                <w:lang w:eastAsia="en-AU"/>
              </w:rPr>
              <w:t>Gulf of Carpentaria Inshore Fin Fish Fishery (net) - Part 13</w:t>
            </w:r>
          </w:p>
          <w:p w14:paraId="7CAA8757" w14:textId="4C080D5B" w:rsidR="4ECF0582" w:rsidRPr="00F57B13" w:rsidRDefault="4ECF0582" w:rsidP="6C914696">
            <w:pPr>
              <w:rPr>
                <w:rFonts w:cs="Noto Sans"/>
                <w:sz w:val="18"/>
                <w:szCs w:val="18"/>
                <w:lang w:eastAsia="en-AU"/>
              </w:rPr>
            </w:pPr>
            <w:r w:rsidRPr="00F57B13">
              <w:rPr>
                <w:rFonts w:cs="Noto Sans"/>
                <w:sz w:val="18"/>
                <w:szCs w:val="18"/>
                <w:lang w:eastAsia="en-AU"/>
              </w:rPr>
              <w:t xml:space="preserve">Gulf of </w:t>
            </w:r>
            <w:r w:rsidR="00C72512" w:rsidRPr="00F57B13">
              <w:rPr>
                <w:rFonts w:cs="Noto Sans"/>
                <w:sz w:val="18"/>
                <w:szCs w:val="18"/>
                <w:lang w:eastAsia="en-AU"/>
              </w:rPr>
              <w:t>Carpentaria</w:t>
            </w:r>
            <w:r w:rsidRPr="00F57B13">
              <w:rPr>
                <w:rFonts w:cs="Noto Sans"/>
                <w:sz w:val="18"/>
                <w:szCs w:val="18"/>
                <w:lang w:eastAsia="en-AU"/>
              </w:rPr>
              <w:t xml:space="preserve"> Line Fishery (line) - Part 13</w:t>
            </w:r>
          </w:p>
          <w:p w14:paraId="167066BF" w14:textId="5076BD04" w:rsidR="00DB401A" w:rsidRPr="00F57B13" w:rsidRDefault="00DA0D41" w:rsidP="00E07836">
            <w:pPr>
              <w:spacing w:after="60"/>
              <w:rPr>
                <w:rFonts w:cs="Noto Sans"/>
                <w:sz w:val="18"/>
                <w:szCs w:val="18"/>
                <w:lang w:eastAsia="en-AU"/>
              </w:rPr>
            </w:pPr>
            <w:r w:rsidRPr="00F57B13">
              <w:rPr>
                <w:rFonts w:cs="Noto Sans"/>
                <w:sz w:val="18"/>
                <w:szCs w:val="18"/>
                <w:lang w:eastAsia="en-AU"/>
              </w:rPr>
              <w:t xml:space="preserve">Visit </w:t>
            </w:r>
            <w:hyperlink r:id="rId21" w:history="1">
              <w:r w:rsidRPr="00F57B13">
                <w:rPr>
                  <w:rStyle w:val="Hyperlink"/>
                  <w:rFonts w:cs="Noto Sans"/>
                  <w:sz w:val="18"/>
                  <w:szCs w:val="18"/>
                  <w:lang w:eastAsia="en-AU"/>
                </w:rPr>
                <w:t>environment.gov.au</w:t>
              </w:r>
            </w:hyperlink>
          </w:p>
        </w:tc>
      </w:tr>
    </w:tbl>
    <w:p w14:paraId="4F5AEAEA" w14:textId="3C62BC2E" w:rsidR="004269B9" w:rsidRPr="00687C9E" w:rsidRDefault="002E7FAD" w:rsidP="00F57B13">
      <w:pPr>
        <w:pStyle w:val="Heading1"/>
      </w:pPr>
      <w:bookmarkStart w:id="16" w:name="_Toc121747116"/>
      <w:bookmarkStart w:id="17" w:name="_Toc204270751"/>
      <w:bookmarkStart w:id="18" w:name="_Toc205215628"/>
      <w:r w:rsidRPr="00687C9E">
        <w:t xml:space="preserve">Fishery </w:t>
      </w:r>
      <w:r w:rsidRPr="00F57B13">
        <w:t>objectives</w:t>
      </w:r>
      <w:bookmarkEnd w:id="16"/>
      <w:bookmarkEnd w:id="17"/>
      <w:bookmarkEnd w:id="18"/>
    </w:p>
    <w:p w14:paraId="6DF2E534" w14:textId="44A694FE" w:rsidR="00FA40EE" w:rsidRPr="001957A5" w:rsidRDefault="002E7FAD" w:rsidP="00AA5BE5">
      <w:r w:rsidRPr="001957A5">
        <w:t xml:space="preserve">The objective of the harvest strategy is to manage the fishery in accordance with the objectives of the </w:t>
      </w:r>
      <w:r w:rsidRPr="001957A5">
        <w:rPr>
          <w:i/>
        </w:rPr>
        <w:t>Fisheries Act 1994</w:t>
      </w:r>
      <w:r w:rsidR="00E1143D">
        <w:t>.</w:t>
      </w:r>
    </w:p>
    <w:p w14:paraId="1A4FDFB3" w14:textId="25AD486F" w:rsidR="004269B9" w:rsidRDefault="0084444B" w:rsidP="00AA5BE5">
      <w:r w:rsidRPr="008C22BE">
        <w:t>Fishery objectives set out the direction and aspirations to</w:t>
      </w:r>
      <w:r>
        <w:t xml:space="preserve"> be</w:t>
      </w:r>
      <w:r w:rsidRPr="008C22BE">
        <w:t xml:space="preserve"> achieve</w:t>
      </w:r>
      <w:r>
        <w:t>d</w:t>
      </w:r>
      <w:r w:rsidRPr="008C22BE">
        <w:t xml:space="preserve"> in the long term.</w:t>
      </w:r>
      <w:r>
        <w:t xml:space="preserve"> </w:t>
      </w:r>
      <w:r w:rsidR="002E7FAD" w:rsidRPr="008C22BE">
        <w:t xml:space="preserve">The </w:t>
      </w:r>
      <w:r w:rsidR="002E7FAD">
        <w:t xml:space="preserve">primary </w:t>
      </w:r>
      <w:r w:rsidR="002E7FAD" w:rsidRPr="008C22BE">
        <w:t>objective</w:t>
      </w:r>
      <w:r>
        <w:t xml:space="preserve"> of </w:t>
      </w:r>
      <w:r w:rsidR="002E7FAD">
        <w:t xml:space="preserve">this fishery </w:t>
      </w:r>
      <w:r>
        <w:t>is</w:t>
      </w:r>
      <w:r w:rsidR="002E7FAD" w:rsidRPr="008C22BE">
        <w:t xml:space="preserve"> to:</w:t>
      </w:r>
    </w:p>
    <w:p w14:paraId="05458769" w14:textId="6BEDB931" w:rsidR="00B605E7" w:rsidRPr="0084444B" w:rsidRDefault="001D435E" w:rsidP="00AA5BE5">
      <w:pPr>
        <w:pStyle w:val="ListParagraph"/>
        <w:numPr>
          <w:ilvl w:val="0"/>
          <w:numId w:val="23"/>
        </w:numPr>
      </w:pPr>
      <w:r w:rsidRPr="0084444B">
        <w:t>Build and m</w:t>
      </w:r>
      <w:r w:rsidR="5A19B80A" w:rsidRPr="0084444B">
        <w:t>aintain the target species in the GOCIF</w:t>
      </w:r>
      <w:r w:rsidR="4F154CFA" w:rsidRPr="0084444B">
        <w:t xml:space="preserve"> </w:t>
      </w:r>
      <w:r w:rsidR="5A19B80A" w:rsidRPr="0084444B">
        <w:t xml:space="preserve">to a target </w:t>
      </w:r>
      <w:r w:rsidR="12DC6B0F" w:rsidRPr="0084444B">
        <w:t>spawning biomass level that aims to maximise economic yield (</w:t>
      </w:r>
      <w:proofErr w:type="spellStart"/>
      <w:r w:rsidR="12DC6B0F" w:rsidRPr="0084444B">
        <w:t>B</w:t>
      </w:r>
      <w:r w:rsidR="12DC6B0F" w:rsidRPr="00AA5BE5">
        <w:rPr>
          <w:i/>
        </w:rPr>
        <w:t>mey</w:t>
      </w:r>
      <w:proofErr w:type="spellEnd"/>
      <w:r w:rsidR="12DC6B0F" w:rsidRPr="0084444B">
        <w:t>) for the fishery.</w:t>
      </w:r>
    </w:p>
    <w:p w14:paraId="57686F28" w14:textId="06614F38" w:rsidR="004269B9" w:rsidRPr="00AA5BE5" w:rsidRDefault="002E7FAD" w:rsidP="00AA5BE5">
      <w:pPr>
        <w:rPr>
          <w:rFonts w:cstheme="minorHAnsi"/>
          <w:b/>
        </w:rPr>
      </w:pPr>
      <w:r w:rsidRPr="00AA5BE5">
        <w:rPr>
          <w:b/>
        </w:rPr>
        <w:t>In pursuing the primary objective</w:t>
      </w:r>
      <w:r w:rsidR="00680EDE" w:rsidRPr="00AA5BE5">
        <w:rPr>
          <w:b/>
        </w:rPr>
        <w:t>s</w:t>
      </w:r>
      <w:r w:rsidRPr="00AA5BE5">
        <w:rPr>
          <w:b/>
        </w:rPr>
        <w:t>, the harvest strategy aims to</w:t>
      </w:r>
      <w:r w:rsidRPr="00AA5BE5">
        <w:rPr>
          <w:rFonts w:cstheme="minorHAnsi"/>
          <w:b/>
        </w:rPr>
        <w:t>:</w:t>
      </w:r>
    </w:p>
    <w:p w14:paraId="5C7D2B38" w14:textId="736EB47C" w:rsidR="004269B9" w:rsidRPr="00AA5BE5" w:rsidRDefault="723CEB59" w:rsidP="00AA5BE5">
      <w:pPr>
        <w:pStyle w:val="ListParagraph"/>
        <w:numPr>
          <w:ilvl w:val="0"/>
          <w:numId w:val="23"/>
        </w:numPr>
        <w:rPr>
          <w:color w:val="000000"/>
        </w:rPr>
      </w:pPr>
      <w:r w:rsidRPr="6C914696">
        <w:t>m</w:t>
      </w:r>
      <w:r w:rsidR="63F75D8E" w:rsidRPr="6C914696">
        <w:t>inimis</w:t>
      </w:r>
      <w:r w:rsidR="63615EFF" w:rsidRPr="6C914696">
        <w:t xml:space="preserve">e </w:t>
      </w:r>
      <w:r w:rsidR="63F75D8E" w:rsidRPr="6C914696">
        <w:t>and mitigat</w:t>
      </w:r>
      <w:r w:rsidR="63615EFF" w:rsidRPr="6C914696">
        <w:t>e</w:t>
      </w:r>
      <w:r w:rsidR="63F75D8E" w:rsidRPr="6C914696">
        <w:t xml:space="preserve"> </w:t>
      </w:r>
      <w:r w:rsidR="63615EFF" w:rsidRPr="6C914696">
        <w:t>any unacceptable</w:t>
      </w:r>
      <w:r w:rsidR="63F75D8E" w:rsidRPr="6C914696">
        <w:t xml:space="preserve"> ecolog</w:t>
      </w:r>
      <w:r w:rsidR="3669B95F" w:rsidRPr="6C914696">
        <w:t>ical risks arising from fishing-</w:t>
      </w:r>
      <w:r w:rsidR="63F75D8E" w:rsidRPr="6C914696">
        <w:t>related activities</w:t>
      </w:r>
      <w:r w:rsidR="412803F9" w:rsidRPr="6C914696">
        <w:t xml:space="preserve"> to ensure the protection and recovery of protected species</w:t>
      </w:r>
    </w:p>
    <w:p w14:paraId="33331028" w14:textId="0523D8E0" w:rsidR="332F4058" w:rsidRDefault="332F4058" w:rsidP="00AA5BE5">
      <w:pPr>
        <w:pStyle w:val="ListParagraph"/>
        <w:numPr>
          <w:ilvl w:val="0"/>
          <w:numId w:val="23"/>
        </w:numPr>
      </w:pPr>
      <w:r w:rsidRPr="6C914696">
        <w:t>maximise economic performance of the commercial and charter sectors</w:t>
      </w:r>
    </w:p>
    <w:p w14:paraId="28F1BB6D" w14:textId="727DEC7A" w:rsidR="332F4058" w:rsidRDefault="332F4058" w:rsidP="00AA5BE5">
      <w:pPr>
        <w:pStyle w:val="ListParagraph"/>
        <w:numPr>
          <w:ilvl w:val="0"/>
          <w:numId w:val="23"/>
        </w:numPr>
      </w:pPr>
      <w:r w:rsidRPr="6C914696">
        <w:t>monitor the social and economic benefits of the fishery to the community</w:t>
      </w:r>
    </w:p>
    <w:p w14:paraId="4FBBD674" w14:textId="51C5FB11" w:rsidR="332F4058" w:rsidRDefault="332F4058" w:rsidP="00AA5BE5">
      <w:pPr>
        <w:pStyle w:val="ListParagraph"/>
        <w:numPr>
          <w:ilvl w:val="0"/>
          <w:numId w:val="23"/>
        </w:numPr>
      </w:pPr>
      <w:r w:rsidRPr="6C914696">
        <w:t xml:space="preserve">consider the potential for species-specific depletion </w:t>
      </w:r>
    </w:p>
    <w:p w14:paraId="1A7873D3" w14:textId="777C5CE6" w:rsidR="332F4058" w:rsidRDefault="00C26FF0" w:rsidP="00AA5BE5">
      <w:pPr>
        <w:pStyle w:val="ListParagraph"/>
        <w:numPr>
          <w:ilvl w:val="0"/>
          <w:numId w:val="23"/>
        </w:numPr>
      </w:pPr>
      <w:r>
        <w:t>i</w:t>
      </w:r>
      <w:r w:rsidR="332F4058" w:rsidRPr="6C914696">
        <w:t xml:space="preserve">dentify and maintain appropriate sectoral allocations for </w:t>
      </w:r>
      <w:proofErr w:type="gramStart"/>
      <w:r w:rsidR="00A0716A">
        <w:t xml:space="preserve">particular </w:t>
      </w:r>
      <w:r w:rsidR="332F4058" w:rsidRPr="6C914696">
        <w:t>GOCIF</w:t>
      </w:r>
      <w:proofErr w:type="gramEnd"/>
      <w:r w:rsidR="332F4058" w:rsidRPr="6C914696">
        <w:t xml:space="preserve"> resources</w:t>
      </w:r>
    </w:p>
    <w:p w14:paraId="781EB6A6" w14:textId="5AB3C625" w:rsidR="332F4058" w:rsidRDefault="00C26FF0" w:rsidP="00AA5BE5">
      <w:pPr>
        <w:pStyle w:val="ListParagraph"/>
        <w:numPr>
          <w:ilvl w:val="0"/>
          <w:numId w:val="23"/>
        </w:numPr>
      </w:pPr>
      <w:r>
        <w:t>m</w:t>
      </w:r>
      <w:r w:rsidR="332F4058" w:rsidRPr="6C914696">
        <w:t>aintain access to traditional fishing for Aboriginal and Torres Strait Islander people</w:t>
      </w:r>
      <w:r w:rsidR="7B58E877" w:rsidRPr="6C914696">
        <w:t xml:space="preserve"> and improve commercial and charter fishing opportunities </w:t>
      </w:r>
    </w:p>
    <w:p w14:paraId="153DAA59" w14:textId="77777777" w:rsidR="002034CF" w:rsidRPr="002034CF" w:rsidRDefault="002034CF" w:rsidP="002034CF">
      <w:bookmarkStart w:id="19" w:name="_Toc121747117"/>
      <w:r w:rsidRPr="002034CF">
        <w:br w:type="page"/>
      </w:r>
    </w:p>
    <w:p w14:paraId="71DC5A23" w14:textId="1EF76DD8" w:rsidR="005E20EC" w:rsidRDefault="002E7FAD" w:rsidP="00AA5BE5">
      <w:pPr>
        <w:pStyle w:val="Heading1"/>
      </w:pPr>
      <w:bookmarkStart w:id="20" w:name="_Toc204270752"/>
      <w:bookmarkStart w:id="21" w:name="_Toc205215629"/>
      <w:r w:rsidRPr="005E20EC">
        <w:lastRenderedPageBreak/>
        <w:t xml:space="preserve">Catch </w:t>
      </w:r>
      <w:r w:rsidRPr="00AA5BE5">
        <w:t>shares</w:t>
      </w:r>
      <w:bookmarkEnd w:id="19"/>
      <w:bookmarkEnd w:id="20"/>
      <w:bookmarkEnd w:id="21"/>
    </w:p>
    <w:p w14:paraId="2D7AF437" w14:textId="18045239" w:rsidR="003C6D52" w:rsidRPr="003C6D52" w:rsidRDefault="63F75D8E" w:rsidP="00E56B44">
      <w:r w:rsidRPr="6C914696">
        <w:t xml:space="preserve">This harvest strategy aims to maintain the existing catch shares between sectors. The resource allocation arrangements </w:t>
      </w:r>
      <w:r w:rsidR="7F40E2A2" w:rsidRPr="6C914696">
        <w:t xml:space="preserve">for </w:t>
      </w:r>
      <w:proofErr w:type="gramStart"/>
      <w:r w:rsidR="7F40E2A2" w:rsidRPr="6C914696">
        <w:t>tier</w:t>
      </w:r>
      <w:proofErr w:type="gramEnd"/>
      <w:r w:rsidR="7F40E2A2" w:rsidRPr="6C914696">
        <w:t xml:space="preserve"> 1 and 2 </w:t>
      </w:r>
      <w:r w:rsidRPr="6C914696">
        <w:t>set out in Table 3</w:t>
      </w:r>
      <w:r w:rsidR="103438AB" w:rsidRPr="6C914696">
        <w:t xml:space="preserve"> </w:t>
      </w:r>
      <w:r w:rsidRPr="6C914696">
        <w:t xml:space="preserve">ensure that catch shares among sectors can be maintained in response to changes in the </w:t>
      </w:r>
      <w:r w:rsidR="339D7F2A" w:rsidRPr="6C914696">
        <w:t>T</w:t>
      </w:r>
      <w:r w:rsidR="005D6B85">
        <w:t xml:space="preserve">otal </w:t>
      </w:r>
      <w:r w:rsidR="339D7F2A" w:rsidRPr="6C914696">
        <w:t>A</w:t>
      </w:r>
      <w:r w:rsidR="005D6B85">
        <w:t>llowable Catch (TA</w:t>
      </w:r>
      <w:r w:rsidR="339D7F2A" w:rsidRPr="6C914696">
        <w:t>C</w:t>
      </w:r>
      <w:r w:rsidR="005D6B85">
        <w:t>)</w:t>
      </w:r>
      <w:r w:rsidRPr="6C914696">
        <w:t xml:space="preserve">. </w:t>
      </w:r>
    </w:p>
    <w:p w14:paraId="6220708F" w14:textId="519EFC27" w:rsidR="6D9C24E9" w:rsidRDefault="6D9C24E9" w:rsidP="00E56B44">
      <w:r w:rsidRPr="6C914696">
        <w:t>Recreational harvest estimates are limited for many species in the Queensland Gulf of Carpentaria</w:t>
      </w:r>
      <w:r w:rsidR="7A9DAFC9" w:rsidRPr="6C914696">
        <w:t xml:space="preserve">. For </w:t>
      </w:r>
      <w:r w:rsidR="228CCA7A" w:rsidRPr="6C914696">
        <w:t>species</w:t>
      </w:r>
      <w:r w:rsidR="7A9DAFC9" w:rsidRPr="6C914696">
        <w:t xml:space="preserve"> without c</w:t>
      </w:r>
      <w:r w:rsidR="047204A2" w:rsidRPr="6C914696">
        <w:t xml:space="preserve">atch share estimates from </w:t>
      </w:r>
      <w:r w:rsidR="5E2D1EC9" w:rsidRPr="6C914696">
        <w:t xml:space="preserve">quantitative </w:t>
      </w:r>
      <w:r w:rsidR="047204A2" w:rsidRPr="6C914696">
        <w:t xml:space="preserve">stock assessments, or the state-wide recreational fishing survey, no </w:t>
      </w:r>
      <w:r w:rsidR="4CF4327C" w:rsidRPr="6C914696">
        <w:t>catch</w:t>
      </w:r>
      <w:r w:rsidR="047204A2" w:rsidRPr="6C914696">
        <w:t xml:space="preserve"> share allocation has been defined</w:t>
      </w:r>
      <w:r w:rsidR="7EA050DB" w:rsidRPr="6C914696">
        <w:t>.</w:t>
      </w:r>
      <w:r w:rsidR="0225F015" w:rsidRPr="6C914696">
        <w:t xml:space="preserve"> F</w:t>
      </w:r>
      <w:r w:rsidR="047204A2" w:rsidRPr="6C914696">
        <w:t xml:space="preserve">uture </w:t>
      </w:r>
      <w:r w:rsidR="3B789061" w:rsidRPr="6C914696">
        <w:t>stock assessments and recreational</w:t>
      </w:r>
      <w:r w:rsidR="047204A2" w:rsidRPr="6C914696">
        <w:t xml:space="preserve"> </w:t>
      </w:r>
      <w:r w:rsidR="30BC2B30" w:rsidRPr="6C914696">
        <w:t xml:space="preserve">fishing surveys </w:t>
      </w:r>
      <w:r w:rsidR="047204A2" w:rsidRPr="6C914696">
        <w:t>will guide the establishment of catch shares for th</w:t>
      </w:r>
      <w:r w:rsidR="618B4640" w:rsidRPr="6C914696">
        <w:t>ese</w:t>
      </w:r>
      <w:r w:rsidR="047204A2" w:rsidRPr="6C914696">
        <w:t xml:space="preserve"> </w:t>
      </w:r>
      <w:r w:rsidR="5CBDD702" w:rsidRPr="6C914696">
        <w:t>species</w:t>
      </w:r>
      <w:r w:rsidR="047204A2" w:rsidRPr="6C914696">
        <w:t xml:space="preserve"> </w:t>
      </w:r>
      <w:r w:rsidR="2EC048D8" w:rsidRPr="6C914696">
        <w:t>as they become available.</w:t>
      </w:r>
      <w:r w:rsidR="047204A2" w:rsidRPr="6C914696">
        <w:t xml:space="preserve"> </w:t>
      </w:r>
      <w:r w:rsidR="61471354" w:rsidRPr="6C914696">
        <w:t xml:space="preserve">If species are </w:t>
      </w:r>
      <w:r w:rsidR="10B92AE0" w:rsidRPr="6C914696">
        <w:t>escalated</w:t>
      </w:r>
      <w:r w:rsidR="61471354" w:rsidRPr="6C914696">
        <w:t xml:space="preserve"> to a higher level of </w:t>
      </w:r>
      <w:r w:rsidR="052DB84A" w:rsidRPr="6C914696">
        <w:t xml:space="preserve">management </w:t>
      </w:r>
      <w:r w:rsidR="61471354" w:rsidRPr="6C914696">
        <w:t xml:space="preserve">(e.g. move from tier 3 to tier 2), consideration will be given to the establishment of a catch share should </w:t>
      </w:r>
      <w:proofErr w:type="gramStart"/>
      <w:r w:rsidR="7DA50370" w:rsidRPr="6C914696">
        <w:t>suitable</w:t>
      </w:r>
      <w:proofErr w:type="gramEnd"/>
      <w:r w:rsidR="7DA50370" w:rsidRPr="6C914696">
        <w:t xml:space="preserve"> harvest estimates be available.</w:t>
      </w:r>
    </w:p>
    <w:p w14:paraId="60F7B36D" w14:textId="5B008DCE" w:rsidR="003C6D52" w:rsidRPr="003C6D52" w:rsidRDefault="63F75D8E" w:rsidP="00E56B44">
      <w:r w:rsidRPr="6C914696">
        <w:t xml:space="preserve">Future reviews of the </w:t>
      </w:r>
      <w:r w:rsidR="5B705EDB" w:rsidRPr="6C914696">
        <w:t xml:space="preserve">TAC </w:t>
      </w:r>
      <w:r w:rsidR="1D293127" w:rsidRPr="6C914696">
        <w:t xml:space="preserve">for species with allocated </w:t>
      </w:r>
      <w:r w:rsidR="5EFBDD63" w:rsidRPr="6C914696">
        <w:t>catch</w:t>
      </w:r>
      <w:r w:rsidR="1D293127" w:rsidRPr="6C914696">
        <w:t xml:space="preserve"> shares </w:t>
      </w:r>
      <w:r w:rsidR="5B705EDB" w:rsidRPr="6C914696">
        <w:t xml:space="preserve">will </w:t>
      </w:r>
      <w:r w:rsidR="5F9B60B8" w:rsidRPr="6C914696">
        <w:t>consider</w:t>
      </w:r>
      <w:r w:rsidR="5B705EDB" w:rsidRPr="6C914696">
        <w:t xml:space="preserve"> the results from the latest</w:t>
      </w:r>
      <w:r w:rsidR="2D9CAA98" w:rsidRPr="6C914696">
        <w:t xml:space="preserve"> </w:t>
      </w:r>
      <w:r w:rsidR="452F79BC" w:rsidRPr="6C914696">
        <w:t>state-wide</w:t>
      </w:r>
      <w:r w:rsidRPr="6C914696">
        <w:t xml:space="preserve"> recreational fishing survey, any other available information relating to recreational harvest</w:t>
      </w:r>
      <w:r w:rsidR="048C6AA2" w:rsidRPr="6C914696">
        <w:t>,</w:t>
      </w:r>
      <w:r w:rsidRPr="6C914696">
        <w:t xml:space="preserve"> and validated commercial catch over </w:t>
      </w:r>
      <w:r w:rsidR="38D9D3E5" w:rsidRPr="6C914696">
        <w:t xml:space="preserve">the </w:t>
      </w:r>
      <w:r w:rsidRPr="6C914696">
        <w:t xml:space="preserve">corresponding year. Table 3 outlines </w:t>
      </w:r>
      <w:r w:rsidR="5510016B" w:rsidRPr="6C914696">
        <w:t xml:space="preserve">existing </w:t>
      </w:r>
      <w:r w:rsidRPr="6C914696">
        <w:t>catch shares for all sectors</w:t>
      </w:r>
      <w:r w:rsidR="006C6239" w:rsidRPr="6C914696">
        <w:t xml:space="preserve"> </w:t>
      </w:r>
      <w:r w:rsidRPr="6C914696">
        <w:t xml:space="preserve">based on available data up to </w:t>
      </w:r>
      <w:r w:rsidR="3AEDDBC8" w:rsidRPr="6C914696">
        <w:t>2020</w:t>
      </w:r>
      <w:r w:rsidRPr="6C914696">
        <w:t xml:space="preserve">. </w:t>
      </w:r>
    </w:p>
    <w:p w14:paraId="19AB4773" w14:textId="0DEBE11E" w:rsidR="003C6D52" w:rsidRPr="003C6D52" w:rsidRDefault="0019015A" w:rsidP="00E56B44">
      <w:pPr>
        <w:rPr>
          <w:rFonts w:cstheme="minorHAnsi"/>
        </w:rPr>
      </w:pPr>
      <w:r>
        <w:rPr>
          <w:rFonts w:cstheme="minorHAnsi"/>
        </w:rPr>
        <w:t xml:space="preserve">The traditional fishing rights of </w:t>
      </w:r>
      <w:r w:rsidR="002E7FAD" w:rsidRPr="003C6D52">
        <w:rPr>
          <w:rFonts w:cstheme="minorHAnsi"/>
        </w:rPr>
        <w:t>Aboriginal peoples and Torres Strait Islander</w:t>
      </w:r>
      <w:r w:rsidR="00C0223E">
        <w:rPr>
          <w:rFonts w:cstheme="minorHAnsi"/>
        </w:rPr>
        <w:t>s</w:t>
      </w:r>
      <w:r w:rsidR="002E7FAD" w:rsidRPr="003C6D52">
        <w:rPr>
          <w:rFonts w:cstheme="minorHAnsi"/>
        </w:rPr>
        <w:t xml:space="preserve"> are protected under native title legislation and relate to harvest for domestic, communal and non-commercial purposes. Accordingly, traditional and customary fishing is</w:t>
      </w:r>
      <w:r w:rsidR="00E528BB">
        <w:rPr>
          <w:rFonts w:cstheme="minorHAnsi"/>
        </w:rPr>
        <w:t xml:space="preserve"> recognised in Queensland and is</w:t>
      </w:r>
      <w:r w:rsidR="002E7FAD" w:rsidRPr="003C6D52">
        <w:rPr>
          <w:rFonts w:cstheme="minorHAnsi"/>
        </w:rPr>
        <w:t xml:space="preserve"> not a defined allocation.  </w:t>
      </w:r>
    </w:p>
    <w:p w14:paraId="5AE0BB00" w14:textId="34F417C8" w:rsidR="003C6D52" w:rsidRDefault="63F75D8E" w:rsidP="00E56B44">
      <w:r w:rsidRPr="004273CA">
        <w:t>Aboriginal peoples and Torres Strait Islander</w:t>
      </w:r>
      <w:r w:rsidR="6F9C65D2" w:rsidRPr="004273CA">
        <w:t>s</w:t>
      </w:r>
      <w:r w:rsidRPr="004273CA">
        <w:t xml:space="preserve"> </w:t>
      </w:r>
      <w:bookmarkStart w:id="22" w:name="_Hlk72877600"/>
      <w:r w:rsidRPr="004273CA">
        <w:t>and their</w:t>
      </w:r>
      <w:r w:rsidR="339D7F2A" w:rsidRPr="004273CA">
        <w:t xml:space="preserve"> communities continue to express a</w:t>
      </w:r>
      <w:r w:rsidRPr="004273CA">
        <w:t xml:space="preserve"> desire </w:t>
      </w:r>
      <w:bookmarkEnd w:id="22"/>
      <w:r w:rsidRPr="004273CA">
        <w:t xml:space="preserve">for more economic opportunities through fishing, particularly in their own sea country. </w:t>
      </w:r>
      <w:r w:rsidR="339D7F2A" w:rsidRPr="004273CA">
        <w:t xml:space="preserve">The </w:t>
      </w:r>
      <w:r w:rsidR="6F9C65D2" w:rsidRPr="004273CA">
        <w:rPr>
          <w:i/>
        </w:rPr>
        <w:t>Aboriginal and Torres Strait Islander</w:t>
      </w:r>
      <w:r w:rsidR="339D7F2A" w:rsidRPr="004273CA">
        <w:rPr>
          <w:i/>
        </w:rPr>
        <w:t xml:space="preserve"> </w:t>
      </w:r>
      <w:r w:rsidR="6F9C65D2" w:rsidRPr="004273CA">
        <w:rPr>
          <w:i/>
        </w:rPr>
        <w:t>c</w:t>
      </w:r>
      <w:r w:rsidR="339D7F2A" w:rsidRPr="004273CA">
        <w:rPr>
          <w:i/>
        </w:rPr>
        <w:t xml:space="preserve">ommercial </w:t>
      </w:r>
      <w:r w:rsidR="6F9C65D2" w:rsidRPr="004273CA">
        <w:rPr>
          <w:i/>
        </w:rPr>
        <w:t>f</w:t>
      </w:r>
      <w:r w:rsidR="339D7F2A" w:rsidRPr="004273CA">
        <w:rPr>
          <w:i/>
        </w:rPr>
        <w:t xml:space="preserve">ishing </w:t>
      </w:r>
      <w:r w:rsidR="6F9C65D2" w:rsidRPr="004273CA">
        <w:rPr>
          <w:i/>
        </w:rPr>
        <w:t>d</w:t>
      </w:r>
      <w:r w:rsidR="339D7F2A" w:rsidRPr="004273CA">
        <w:rPr>
          <w:i/>
        </w:rPr>
        <w:t xml:space="preserve">evelopment </w:t>
      </w:r>
      <w:r w:rsidR="6F9C65D2" w:rsidRPr="004273CA">
        <w:rPr>
          <w:i/>
        </w:rPr>
        <w:t>p</w:t>
      </w:r>
      <w:r w:rsidR="339D7F2A" w:rsidRPr="004273CA">
        <w:rPr>
          <w:i/>
        </w:rPr>
        <w:t>olicy</w:t>
      </w:r>
      <w:r w:rsidR="339D7F2A" w:rsidRPr="004273CA">
        <w:t xml:space="preserve"> provides for an Indigenous </w:t>
      </w:r>
      <w:r w:rsidR="6F9C65D2" w:rsidRPr="004273CA">
        <w:t>f</w:t>
      </w:r>
      <w:r w:rsidR="339D7F2A" w:rsidRPr="004273CA">
        <w:t xml:space="preserve">ishing </w:t>
      </w:r>
      <w:r w:rsidR="6F9C65D2" w:rsidRPr="004273CA">
        <w:t>p</w:t>
      </w:r>
      <w:r w:rsidR="339D7F2A" w:rsidRPr="004273CA">
        <w:t xml:space="preserve">ermit to be issued, on a </w:t>
      </w:r>
      <w:r w:rsidR="768A2642" w:rsidRPr="004273CA">
        <w:t>case-by-case</w:t>
      </w:r>
      <w:r w:rsidR="339D7F2A" w:rsidRPr="004273CA">
        <w:t xml:space="preserve"> basis and in accordance with section 54 of the Fisheries (General) Regulation 2019, to provide opportunities to take part in fishing-related business</w:t>
      </w:r>
      <w:r w:rsidRPr="004273CA">
        <w:t xml:space="preserve">. </w:t>
      </w:r>
      <w:r w:rsidR="4DC33485" w:rsidRPr="004273CA">
        <w:t xml:space="preserve">An amount of up to 10 tonnes </w:t>
      </w:r>
      <w:r w:rsidR="2BEF4C60" w:rsidRPr="004273CA">
        <w:t xml:space="preserve">of GOCIF species </w:t>
      </w:r>
      <w:r w:rsidR="4DC33485" w:rsidRPr="004273CA">
        <w:t>may be set aside as an Indigenous commercial allocation.</w:t>
      </w:r>
    </w:p>
    <w:p w14:paraId="7A72DFFD" w14:textId="0A61DBBD" w:rsidR="004764FB" w:rsidRPr="002512F4" w:rsidRDefault="002E7FAD" w:rsidP="00085FD6">
      <w:pPr>
        <w:pStyle w:val="Caption"/>
      </w:pPr>
      <w:r w:rsidRPr="002512F4">
        <w:t>Table 3: Resource allocation arrangements for the</w:t>
      </w:r>
      <w:r w:rsidR="00596D8B">
        <w:t xml:space="preserve"> GOCIF</w:t>
      </w:r>
    </w:p>
    <w:tbl>
      <w:tblPr>
        <w:tblStyle w:val="TableGrid"/>
        <w:tblW w:w="9826" w:type="dxa"/>
        <w:tblBorders>
          <w:top w:val="single" w:sz="4" w:space="0" w:color="005672"/>
          <w:left w:val="none" w:sz="0" w:space="0" w:color="auto"/>
          <w:bottom w:val="single" w:sz="4" w:space="0" w:color="005672"/>
          <w:right w:val="none" w:sz="0" w:space="0" w:color="auto"/>
          <w:insideH w:val="single" w:sz="4" w:space="0" w:color="005672"/>
          <w:insideV w:val="none" w:sz="0" w:space="0" w:color="auto"/>
        </w:tblBorders>
        <w:tblLook w:val="04A0" w:firstRow="1" w:lastRow="0" w:firstColumn="1" w:lastColumn="0" w:noHBand="0" w:noVBand="1"/>
        <w:tblCaption w:val="Resource allocation arrangements for the mud crab fishery"/>
      </w:tblPr>
      <w:tblGrid>
        <w:gridCol w:w="3962"/>
        <w:gridCol w:w="910"/>
        <w:gridCol w:w="2477"/>
        <w:gridCol w:w="2477"/>
      </w:tblGrid>
      <w:tr w:rsidR="00596D8B" w14:paraId="04FADA6B" w14:textId="77777777" w:rsidTr="00E56B44">
        <w:trPr>
          <w:trHeight w:val="687"/>
          <w:tblHeader/>
        </w:trPr>
        <w:tc>
          <w:tcPr>
            <w:tcW w:w="3962" w:type="dxa"/>
            <w:shd w:val="clear" w:color="auto" w:fill="005672"/>
          </w:tcPr>
          <w:p w14:paraId="2407E9D1" w14:textId="77777777" w:rsidR="00596D8B" w:rsidRPr="00E56B44" w:rsidRDefault="00596D8B" w:rsidP="00E56B44">
            <w:pPr>
              <w:keepNext/>
              <w:keepLines/>
              <w:spacing w:before="60" w:after="60" w:line="300" w:lineRule="atLeast"/>
              <w:rPr>
                <w:rFonts w:cs="Noto Sans"/>
                <w:b/>
                <w:color w:val="FFFFFF" w:themeColor="background1"/>
                <w:sz w:val="18"/>
                <w:szCs w:val="18"/>
              </w:rPr>
            </w:pPr>
            <w:r w:rsidRPr="00E56B44">
              <w:rPr>
                <w:rFonts w:cs="Noto Sans"/>
                <w:b/>
                <w:color w:val="FFFFFF" w:themeColor="background1"/>
                <w:sz w:val="18"/>
                <w:szCs w:val="18"/>
              </w:rPr>
              <w:t>Management unit</w:t>
            </w:r>
          </w:p>
        </w:tc>
        <w:tc>
          <w:tcPr>
            <w:tcW w:w="910" w:type="dxa"/>
            <w:shd w:val="clear" w:color="auto" w:fill="005672"/>
          </w:tcPr>
          <w:p w14:paraId="79DC57A9" w14:textId="4EA38A40" w:rsidR="00596D8B" w:rsidRPr="00E56B44" w:rsidRDefault="00596D8B" w:rsidP="00E56B44">
            <w:pPr>
              <w:spacing w:before="60" w:after="60" w:line="300" w:lineRule="atLeast"/>
              <w:jc w:val="center"/>
              <w:rPr>
                <w:rFonts w:cs="Noto Sans"/>
                <w:b/>
                <w:color w:val="FFFFFF" w:themeColor="background1"/>
                <w:sz w:val="18"/>
                <w:szCs w:val="18"/>
              </w:rPr>
            </w:pPr>
            <w:r w:rsidRPr="00E56B44">
              <w:rPr>
                <w:rFonts w:cs="Noto Sans"/>
                <w:b/>
                <w:color w:val="FFFFFF" w:themeColor="background1"/>
                <w:sz w:val="18"/>
                <w:szCs w:val="18"/>
              </w:rPr>
              <w:t>Tier</w:t>
            </w:r>
          </w:p>
        </w:tc>
        <w:tc>
          <w:tcPr>
            <w:tcW w:w="2477" w:type="dxa"/>
            <w:shd w:val="clear" w:color="auto" w:fill="005672"/>
          </w:tcPr>
          <w:p w14:paraId="5EA1C8F9" w14:textId="2C419797" w:rsidR="00596D8B" w:rsidRPr="00E56B44" w:rsidRDefault="00596D8B" w:rsidP="00E56B44">
            <w:pPr>
              <w:keepNext/>
              <w:keepLines/>
              <w:spacing w:before="60" w:after="60" w:line="300" w:lineRule="atLeast"/>
              <w:jc w:val="center"/>
              <w:rPr>
                <w:rFonts w:cs="Noto Sans"/>
                <w:b/>
                <w:color w:val="FFFFFF" w:themeColor="background1"/>
                <w:sz w:val="18"/>
                <w:szCs w:val="18"/>
                <w:vertAlign w:val="superscript"/>
              </w:rPr>
            </w:pPr>
            <w:r w:rsidRPr="00E56B44">
              <w:rPr>
                <w:rFonts w:cs="Noto Sans"/>
                <w:b/>
                <w:color w:val="FFFFFF" w:themeColor="background1"/>
                <w:sz w:val="18"/>
                <w:szCs w:val="18"/>
              </w:rPr>
              <w:t>Commercial fishing</w:t>
            </w:r>
          </w:p>
        </w:tc>
        <w:tc>
          <w:tcPr>
            <w:tcW w:w="2477" w:type="dxa"/>
            <w:shd w:val="clear" w:color="auto" w:fill="005672"/>
          </w:tcPr>
          <w:p w14:paraId="7FA7CE52" w14:textId="3AFD6141" w:rsidR="00596D8B" w:rsidRPr="00E56B44" w:rsidRDefault="00596D8B" w:rsidP="00E56B44">
            <w:pPr>
              <w:keepNext/>
              <w:keepLines/>
              <w:spacing w:before="60" w:after="60" w:line="300" w:lineRule="atLeast"/>
              <w:jc w:val="center"/>
              <w:rPr>
                <w:rFonts w:cs="Noto Sans"/>
                <w:b/>
                <w:color w:val="FFFFFF" w:themeColor="background1"/>
                <w:sz w:val="18"/>
                <w:szCs w:val="18"/>
                <w:vertAlign w:val="superscript"/>
              </w:rPr>
            </w:pPr>
            <w:r w:rsidRPr="00E56B44">
              <w:rPr>
                <w:rFonts w:cs="Noto Sans"/>
                <w:b/>
                <w:color w:val="FFFFFF" w:themeColor="background1"/>
                <w:sz w:val="18"/>
                <w:szCs w:val="18"/>
              </w:rPr>
              <w:t>Recreational fishing</w:t>
            </w:r>
            <w:r w:rsidRPr="00E56B44">
              <w:rPr>
                <w:rFonts w:cs="Noto Sans"/>
                <w:b/>
                <w:color w:val="FFFFFF" w:themeColor="background1"/>
                <w:sz w:val="18"/>
                <w:szCs w:val="18"/>
                <w:vertAlign w:val="superscript"/>
              </w:rPr>
              <w:t xml:space="preserve"> </w:t>
            </w:r>
            <w:r w:rsidRPr="00E56B44">
              <w:rPr>
                <w:rFonts w:cs="Noto Sans"/>
                <w:b/>
                <w:color w:val="FFFFFF" w:themeColor="background1"/>
                <w:sz w:val="18"/>
                <w:szCs w:val="18"/>
              </w:rPr>
              <w:t>(including charter)</w:t>
            </w:r>
          </w:p>
        </w:tc>
      </w:tr>
      <w:tr w:rsidR="00596D8B" w14:paraId="2CC7175D" w14:textId="77777777" w:rsidTr="00E56B44">
        <w:trPr>
          <w:trHeight w:val="348"/>
        </w:trPr>
        <w:tc>
          <w:tcPr>
            <w:tcW w:w="3962" w:type="dxa"/>
            <w:vAlign w:val="center"/>
          </w:tcPr>
          <w:p w14:paraId="2699FC36" w14:textId="2082EB35" w:rsidR="00596D8B" w:rsidRPr="00E56B44" w:rsidRDefault="00596D8B" w:rsidP="00E56B44">
            <w:pPr>
              <w:spacing w:before="60" w:after="60"/>
              <w:rPr>
                <w:rFonts w:cs="Noto Sans"/>
                <w:b/>
                <w:sz w:val="18"/>
                <w:szCs w:val="18"/>
              </w:rPr>
            </w:pPr>
            <w:r w:rsidRPr="00E56B44">
              <w:rPr>
                <w:rFonts w:cs="Noto Sans"/>
                <w:sz w:val="18"/>
                <w:szCs w:val="18"/>
              </w:rPr>
              <w:t>Barramundi</w:t>
            </w:r>
            <w:r w:rsidRPr="00E56B44">
              <w:rPr>
                <w:rFonts w:cs="Noto Sans"/>
                <w:b/>
                <w:sz w:val="18"/>
                <w:szCs w:val="18"/>
                <w:vertAlign w:val="superscript"/>
              </w:rPr>
              <w:t xml:space="preserve"> 1</w:t>
            </w:r>
          </w:p>
        </w:tc>
        <w:tc>
          <w:tcPr>
            <w:tcW w:w="910" w:type="dxa"/>
            <w:vAlign w:val="center"/>
          </w:tcPr>
          <w:p w14:paraId="7FFEDFFF" w14:textId="058C0D46" w:rsidR="00596D8B" w:rsidRPr="00E56B44" w:rsidRDefault="00596D8B" w:rsidP="00E56B44">
            <w:pPr>
              <w:spacing w:before="60" w:after="60"/>
              <w:jc w:val="center"/>
              <w:rPr>
                <w:rFonts w:cs="Noto Sans"/>
                <w:sz w:val="18"/>
                <w:szCs w:val="18"/>
              </w:rPr>
            </w:pPr>
            <w:r w:rsidRPr="00E56B44">
              <w:rPr>
                <w:rFonts w:cs="Noto Sans"/>
                <w:sz w:val="18"/>
                <w:szCs w:val="18"/>
              </w:rPr>
              <w:t>1</w:t>
            </w:r>
          </w:p>
        </w:tc>
        <w:tc>
          <w:tcPr>
            <w:tcW w:w="2477" w:type="dxa"/>
            <w:vAlign w:val="center"/>
          </w:tcPr>
          <w:p w14:paraId="7C6D6613" w14:textId="2346736D" w:rsidR="00596D8B" w:rsidRPr="00E56B44" w:rsidRDefault="00237909" w:rsidP="00E56B44">
            <w:pPr>
              <w:keepNext/>
              <w:spacing w:before="60" w:after="60"/>
              <w:jc w:val="center"/>
              <w:rPr>
                <w:rFonts w:cs="Noto Sans"/>
                <w:b/>
                <w:sz w:val="18"/>
                <w:szCs w:val="18"/>
              </w:rPr>
            </w:pPr>
            <w:r w:rsidRPr="00E56B44">
              <w:rPr>
                <w:rFonts w:cs="Noto Sans"/>
                <w:sz w:val="18"/>
                <w:szCs w:val="18"/>
              </w:rPr>
              <w:t>80%</w:t>
            </w:r>
          </w:p>
        </w:tc>
        <w:tc>
          <w:tcPr>
            <w:tcW w:w="2477" w:type="dxa"/>
            <w:vAlign w:val="center"/>
          </w:tcPr>
          <w:p w14:paraId="0BF1EB87" w14:textId="7FF94469" w:rsidR="00596D8B" w:rsidRPr="00E56B44" w:rsidRDefault="00237909" w:rsidP="00E56B44">
            <w:pPr>
              <w:keepNext/>
              <w:spacing w:before="60" w:after="60"/>
              <w:jc w:val="center"/>
              <w:rPr>
                <w:rFonts w:cs="Noto Sans"/>
                <w:b/>
                <w:sz w:val="18"/>
                <w:szCs w:val="18"/>
              </w:rPr>
            </w:pPr>
            <w:r w:rsidRPr="00E56B44">
              <w:rPr>
                <w:rFonts w:cs="Noto Sans"/>
                <w:sz w:val="18"/>
                <w:szCs w:val="18"/>
              </w:rPr>
              <w:t>20%</w:t>
            </w:r>
          </w:p>
        </w:tc>
      </w:tr>
      <w:tr w:rsidR="00596D8B" w14:paraId="52114287" w14:textId="77777777" w:rsidTr="00E56B44">
        <w:trPr>
          <w:trHeight w:val="303"/>
        </w:trPr>
        <w:tc>
          <w:tcPr>
            <w:tcW w:w="3962" w:type="dxa"/>
            <w:vAlign w:val="center"/>
          </w:tcPr>
          <w:p w14:paraId="17FA4DC2" w14:textId="372F0A9E" w:rsidR="00596D8B" w:rsidRPr="00E56B44" w:rsidRDefault="00596D8B" w:rsidP="00E56B44">
            <w:pPr>
              <w:spacing w:before="60" w:after="60"/>
              <w:rPr>
                <w:rFonts w:cs="Noto Sans"/>
                <w:b/>
                <w:sz w:val="18"/>
                <w:szCs w:val="18"/>
                <w:vertAlign w:val="superscript"/>
              </w:rPr>
            </w:pPr>
            <w:r w:rsidRPr="00E56B44">
              <w:rPr>
                <w:rFonts w:cs="Noto Sans"/>
                <w:sz w:val="18"/>
                <w:szCs w:val="18"/>
              </w:rPr>
              <w:t>Grey mackerel</w:t>
            </w:r>
          </w:p>
        </w:tc>
        <w:tc>
          <w:tcPr>
            <w:tcW w:w="910" w:type="dxa"/>
            <w:vAlign w:val="center"/>
          </w:tcPr>
          <w:p w14:paraId="736154BD" w14:textId="4F4EAFEB" w:rsidR="00596D8B" w:rsidRPr="00E56B44" w:rsidRDefault="00596D8B" w:rsidP="00E56B44">
            <w:pPr>
              <w:spacing w:before="60" w:after="60"/>
              <w:jc w:val="center"/>
              <w:rPr>
                <w:rFonts w:cs="Noto Sans"/>
                <w:sz w:val="18"/>
                <w:szCs w:val="18"/>
              </w:rPr>
            </w:pPr>
            <w:r w:rsidRPr="00E56B44">
              <w:rPr>
                <w:rFonts w:cs="Noto Sans"/>
                <w:sz w:val="18"/>
                <w:szCs w:val="18"/>
              </w:rPr>
              <w:t>1</w:t>
            </w:r>
          </w:p>
        </w:tc>
        <w:tc>
          <w:tcPr>
            <w:tcW w:w="2477" w:type="dxa"/>
            <w:vAlign w:val="center"/>
          </w:tcPr>
          <w:p w14:paraId="47A802DC" w14:textId="7F01F0AF" w:rsidR="00596D8B" w:rsidRPr="00E56B44" w:rsidRDefault="00596D8B" w:rsidP="00E56B44">
            <w:pPr>
              <w:spacing w:before="60" w:after="60"/>
              <w:jc w:val="center"/>
              <w:rPr>
                <w:rFonts w:cs="Noto Sans"/>
                <w:sz w:val="18"/>
                <w:szCs w:val="18"/>
              </w:rPr>
            </w:pPr>
            <w:r w:rsidRPr="00E56B44">
              <w:rPr>
                <w:rFonts w:cs="Noto Sans"/>
                <w:sz w:val="18"/>
                <w:szCs w:val="18"/>
              </w:rPr>
              <w:t>-</w:t>
            </w:r>
          </w:p>
        </w:tc>
        <w:tc>
          <w:tcPr>
            <w:tcW w:w="2477" w:type="dxa"/>
            <w:vAlign w:val="center"/>
          </w:tcPr>
          <w:p w14:paraId="07914CD1" w14:textId="1F72A709" w:rsidR="00596D8B" w:rsidRPr="00E56B44" w:rsidRDefault="00596D8B" w:rsidP="00E56B44">
            <w:pPr>
              <w:spacing w:before="60" w:after="60"/>
              <w:jc w:val="center"/>
              <w:rPr>
                <w:rFonts w:cs="Noto Sans"/>
                <w:sz w:val="18"/>
                <w:szCs w:val="18"/>
              </w:rPr>
            </w:pPr>
            <w:r w:rsidRPr="00E56B44">
              <w:rPr>
                <w:rFonts w:cs="Noto Sans"/>
                <w:sz w:val="18"/>
                <w:szCs w:val="18"/>
              </w:rPr>
              <w:t>-</w:t>
            </w:r>
          </w:p>
        </w:tc>
      </w:tr>
      <w:tr w:rsidR="00596D8B" w14:paraId="351B78BF" w14:textId="77777777" w:rsidTr="00E56B44">
        <w:trPr>
          <w:trHeight w:val="303"/>
        </w:trPr>
        <w:tc>
          <w:tcPr>
            <w:tcW w:w="3962" w:type="dxa"/>
            <w:vAlign w:val="center"/>
          </w:tcPr>
          <w:p w14:paraId="6A11A281" w14:textId="0418620E" w:rsidR="00596D8B" w:rsidRPr="00E56B44" w:rsidRDefault="00596D8B" w:rsidP="00E56B44">
            <w:pPr>
              <w:spacing w:before="60" w:after="60"/>
              <w:rPr>
                <w:rFonts w:cs="Noto Sans"/>
                <w:b/>
                <w:sz w:val="18"/>
                <w:szCs w:val="18"/>
              </w:rPr>
            </w:pPr>
            <w:r w:rsidRPr="00E56B44">
              <w:rPr>
                <w:rFonts w:cs="Noto Sans"/>
                <w:sz w:val="18"/>
                <w:szCs w:val="18"/>
              </w:rPr>
              <w:t>Spanish mackerel</w:t>
            </w:r>
            <w:r w:rsidRPr="00E56B44">
              <w:rPr>
                <w:rFonts w:cs="Noto Sans"/>
                <w:b/>
                <w:sz w:val="18"/>
                <w:szCs w:val="18"/>
                <w:vertAlign w:val="superscript"/>
              </w:rPr>
              <w:t xml:space="preserve"> 1</w:t>
            </w:r>
          </w:p>
        </w:tc>
        <w:tc>
          <w:tcPr>
            <w:tcW w:w="910" w:type="dxa"/>
            <w:vAlign w:val="center"/>
          </w:tcPr>
          <w:p w14:paraId="66A226F2" w14:textId="4950C879" w:rsidR="00596D8B" w:rsidRPr="00E56B44" w:rsidRDefault="00596D8B" w:rsidP="00E56B44">
            <w:pPr>
              <w:spacing w:before="60" w:after="60"/>
              <w:jc w:val="center"/>
              <w:rPr>
                <w:rFonts w:cs="Noto Sans"/>
                <w:sz w:val="18"/>
                <w:szCs w:val="18"/>
              </w:rPr>
            </w:pPr>
            <w:r w:rsidRPr="00E56B44">
              <w:rPr>
                <w:rFonts w:cs="Noto Sans"/>
                <w:sz w:val="18"/>
                <w:szCs w:val="18"/>
              </w:rPr>
              <w:t>1</w:t>
            </w:r>
          </w:p>
        </w:tc>
        <w:tc>
          <w:tcPr>
            <w:tcW w:w="2477" w:type="dxa"/>
            <w:vAlign w:val="center"/>
          </w:tcPr>
          <w:p w14:paraId="6B6CF3B7" w14:textId="5E05CBBE" w:rsidR="00596D8B" w:rsidRPr="00E56B44" w:rsidRDefault="00596D8B" w:rsidP="00E56B44">
            <w:pPr>
              <w:spacing w:before="60" w:after="60"/>
              <w:jc w:val="center"/>
              <w:rPr>
                <w:rFonts w:cs="Noto Sans"/>
                <w:b/>
                <w:sz w:val="18"/>
                <w:szCs w:val="18"/>
                <w:vertAlign w:val="superscript"/>
              </w:rPr>
            </w:pPr>
            <w:commentRangeStart w:id="23"/>
            <w:r w:rsidRPr="00E56B44">
              <w:rPr>
                <w:rFonts w:cs="Noto Sans"/>
                <w:sz w:val="18"/>
                <w:szCs w:val="18"/>
              </w:rPr>
              <w:t>97%</w:t>
            </w:r>
            <w:commentRangeEnd w:id="23"/>
            <w:r w:rsidR="00B711EA" w:rsidRPr="00E56B44">
              <w:rPr>
                <w:rStyle w:val="CommentReference"/>
                <w:rFonts w:cs="Noto Sans"/>
                <w:b/>
                <w:sz w:val="18"/>
                <w:szCs w:val="18"/>
                <w:vertAlign w:val="superscript"/>
              </w:rPr>
              <w:commentReference w:id="23"/>
            </w:r>
          </w:p>
        </w:tc>
        <w:tc>
          <w:tcPr>
            <w:tcW w:w="2477" w:type="dxa"/>
            <w:vAlign w:val="center"/>
          </w:tcPr>
          <w:p w14:paraId="19BE51EB" w14:textId="7DA7E9D5" w:rsidR="00596D8B" w:rsidRPr="00E56B44" w:rsidRDefault="00596D8B" w:rsidP="00E56B44">
            <w:pPr>
              <w:spacing w:before="60" w:after="60"/>
              <w:jc w:val="center"/>
              <w:rPr>
                <w:rFonts w:cs="Noto Sans"/>
                <w:b/>
                <w:sz w:val="18"/>
                <w:szCs w:val="18"/>
                <w:vertAlign w:val="superscript"/>
              </w:rPr>
            </w:pPr>
            <w:r w:rsidRPr="00E56B44">
              <w:rPr>
                <w:rFonts w:cs="Noto Sans"/>
                <w:sz w:val="18"/>
                <w:szCs w:val="18"/>
              </w:rPr>
              <w:t>3%</w:t>
            </w:r>
          </w:p>
        </w:tc>
      </w:tr>
      <w:tr w:rsidR="00596D8B" w14:paraId="1FC3F0AF" w14:textId="77777777" w:rsidTr="00E56B44">
        <w:trPr>
          <w:trHeight w:val="303"/>
        </w:trPr>
        <w:tc>
          <w:tcPr>
            <w:tcW w:w="3962" w:type="dxa"/>
            <w:vAlign w:val="center"/>
          </w:tcPr>
          <w:p w14:paraId="7D1B67D4" w14:textId="387E31F7" w:rsidR="00596D8B" w:rsidRPr="00E56B44" w:rsidRDefault="00596D8B" w:rsidP="00E56B44">
            <w:pPr>
              <w:spacing w:before="60" w:after="60"/>
              <w:rPr>
                <w:rFonts w:cs="Noto Sans"/>
                <w:b/>
                <w:sz w:val="18"/>
                <w:szCs w:val="18"/>
              </w:rPr>
            </w:pPr>
            <w:r w:rsidRPr="00E56B44">
              <w:rPr>
                <w:rFonts w:cs="Noto Sans"/>
                <w:sz w:val="18"/>
                <w:szCs w:val="18"/>
              </w:rPr>
              <w:t xml:space="preserve">King threadfin </w:t>
            </w:r>
            <w:r w:rsidRPr="00E56B44">
              <w:rPr>
                <w:rFonts w:cs="Noto Sans"/>
                <w:b/>
                <w:sz w:val="18"/>
                <w:szCs w:val="18"/>
                <w:vertAlign w:val="superscript"/>
              </w:rPr>
              <w:t>1</w:t>
            </w:r>
          </w:p>
        </w:tc>
        <w:tc>
          <w:tcPr>
            <w:tcW w:w="910" w:type="dxa"/>
            <w:vAlign w:val="center"/>
          </w:tcPr>
          <w:p w14:paraId="3B929930" w14:textId="31763DD8" w:rsidR="00596D8B" w:rsidRPr="00E56B44" w:rsidRDefault="00596D8B" w:rsidP="00E56B44">
            <w:pPr>
              <w:spacing w:before="60" w:after="60"/>
              <w:jc w:val="center"/>
              <w:rPr>
                <w:rFonts w:cs="Noto Sans"/>
                <w:sz w:val="18"/>
                <w:szCs w:val="18"/>
              </w:rPr>
            </w:pPr>
            <w:r w:rsidRPr="00E56B44">
              <w:rPr>
                <w:rFonts w:cs="Noto Sans"/>
                <w:sz w:val="18"/>
                <w:szCs w:val="18"/>
              </w:rPr>
              <w:t>2</w:t>
            </w:r>
          </w:p>
        </w:tc>
        <w:tc>
          <w:tcPr>
            <w:tcW w:w="2477" w:type="dxa"/>
            <w:vAlign w:val="center"/>
          </w:tcPr>
          <w:p w14:paraId="780C0687" w14:textId="3FF0D344" w:rsidR="00596D8B" w:rsidRPr="00E56B44" w:rsidRDefault="00596D8B" w:rsidP="00E56B44">
            <w:pPr>
              <w:spacing w:before="60" w:after="60"/>
              <w:jc w:val="center"/>
              <w:rPr>
                <w:rFonts w:cs="Noto Sans"/>
                <w:b/>
                <w:sz w:val="18"/>
                <w:szCs w:val="18"/>
                <w:vertAlign w:val="superscript"/>
              </w:rPr>
            </w:pPr>
            <w:r w:rsidRPr="00E56B44">
              <w:rPr>
                <w:rFonts w:cs="Noto Sans"/>
                <w:sz w:val="18"/>
                <w:szCs w:val="18"/>
              </w:rPr>
              <w:t>92%</w:t>
            </w:r>
          </w:p>
        </w:tc>
        <w:tc>
          <w:tcPr>
            <w:tcW w:w="2477" w:type="dxa"/>
            <w:vAlign w:val="center"/>
          </w:tcPr>
          <w:p w14:paraId="1207F654" w14:textId="5F98A31A" w:rsidR="00596D8B" w:rsidRPr="00E56B44" w:rsidRDefault="00596D8B" w:rsidP="00E56B44">
            <w:pPr>
              <w:spacing w:before="60" w:after="60"/>
              <w:jc w:val="center"/>
              <w:rPr>
                <w:rFonts w:cs="Noto Sans"/>
                <w:b/>
                <w:sz w:val="18"/>
                <w:szCs w:val="18"/>
                <w:vertAlign w:val="superscript"/>
              </w:rPr>
            </w:pPr>
            <w:r w:rsidRPr="00E56B44">
              <w:rPr>
                <w:rFonts w:cs="Noto Sans"/>
                <w:sz w:val="18"/>
                <w:szCs w:val="18"/>
              </w:rPr>
              <w:t>8%</w:t>
            </w:r>
          </w:p>
        </w:tc>
      </w:tr>
      <w:tr w:rsidR="00596D8B" w14:paraId="13A956B4" w14:textId="77777777" w:rsidTr="00E56B44">
        <w:trPr>
          <w:trHeight w:val="367"/>
        </w:trPr>
        <w:tc>
          <w:tcPr>
            <w:tcW w:w="3962" w:type="dxa"/>
            <w:vAlign w:val="center"/>
          </w:tcPr>
          <w:p w14:paraId="7176DF4A" w14:textId="6F8C5C9F" w:rsidR="00596D8B" w:rsidRPr="00E56B44" w:rsidRDefault="00C75662" w:rsidP="00E56B44">
            <w:pPr>
              <w:spacing w:before="60" w:after="60"/>
              <w:rPr>
                <w:rFonts w:cs="Noto Sans"/>
                <w:b/>
                <w:sz w:val="18"/>
                <w:szCs w:val="18"/>
              </w:rPr>
            </w:pPr>
            <w:r w:rsidRPr="00E56B44">
              <w:rPr>
                <w:rFonts w:cs="Noto Sans"/>
                <w:sz w:val="18"/>
                <w:szCs w:val="18"/>
              </w:rPr>
              <w:t>Sharks and rays</w:t>
            </w:r>
            <w:r w:rsidR="00596D8B" w:rsidRPr="00E56B44">
              <w:rPr>
                <w:rFonts w:cs="Noto Sans"/>
                <w:b/>
                <w:sz w:val="18"/>
                <w:szCs w:val="18"/>
                <w:vertAlign w:val="superscript"/>
              </w:rPr>
              <w:t xml:space="preserve"> 2</w:t>
            </w:r>
          </w:p>
        </w:tc>
        <w:tc>
          <w:tcPr>
            <w:tcW w:w="910" w:type="dxa"/>
            <w:vAlign w:val="center"/>
          </w:tcPr>
          <w:p w14:paraId="1B314EFC" w14:textId="5C3AB9E2" w:rsidR="00596D8B" w:rsidRPr="00E56B44" w:rsidRDefault="00596D8B" w:rsidP="00E56B44">
            <w:pPr>
              <w:spacing w:before="60" w:after="60"/>
              <w:jc w:val="center"/>
              <w:rPr>
                <w:rFonts w:cs="Noto Sans"/>
                <w:sz w:val="18"/>
                <w:szCs w:val="18"/>
              </w:rPr>
            </w:pPr>
            <w:r w:rsidRPr="00E56B44">
              <w:rPr>
                <w:rFonts w:cs="Noto Sans"/>
                <w:sz w:val="18"/>
                <w:szCs w:val="18"/>
              </w:rPr>
              <w:t>2</w:t>
            </w:r>
          </w:p>
        </w:tc>
        <w:tc>
          <w:tcPr>
            <w:tcW w:w="2477" w:type="dxa"/>
            <w:vAlign w:val="center"/>
          </w:tcPr>
          <w:p w14:paraId="6BBB3785" w14:textId="3AC9BA60" w:rsidR="00596D8B" w:rsidRPr="00E56B44" w:rsidRDefault="00596D8B" w:rsidP="00E56B44">
            <w:pPr>
              <w:spacing w:before="60" w:after="60"/>
              <w:jc w:val="center"/>
              <w:rPr>
                <w:rFonts w:cs="Noto Sans"/>
                <w:sz w:val="18"/>
                <w:szCs w:val="18"/>
              </w:rPr>
            </w:pPr>
            <w:r w:rsidRPr="00E56B44">
              <w:rPr>
                <w:rFonts w:cs="Noto Sans"/>
                <w:sz w:val="18"/>
                <w:szCs w:val="18"/>
              </w:rPr>
              <w:t>99%</w:t>
            </w:r>
          </w:p>
        </w:tc>
        <w:tc>
          <w:tcPr>
            <w:tcW w:w="2477" w:type="dxa"/>
            <w:vAlign w:val="center"/>
          </w:tcPr>
          <w:p w14:paraId="2D8EE35D" w14:textId="0CE8F7DB" w:rsidR="00596D8B" w:rsidRPr="00E56B44" w:rsidRDefault="00596D8B" w:rsidP="00E56B44">
            <w:pPr>
              <w:spacing w:before="60" w:after="60"/>
              <w:jc w:val="center"/>
              <w:rPr>
                <w:rFonts w:cs="Noto Sans"/>
                <w:sz w:val="18"/>
                <w:szCs w:val="18"/>
              </w:rPr>
            </w:pPr>
            <w:r w:rsidRPr="00E56B44">
              <w:rPr>
                <w:rFonts w:cs="Noto Sans"/>
                <w:sz w:val="18"/>
                <w:szCs w:val="18"/>
              </w:rPr>
              <w:t>1%</w:t>
            </w:r>
          </w:p>
        </w:tc>
      </w:tr>
      <w:tr w:rsidR="00195D66" w14:paraId="6C519D44" w14:textId="77777777" w:rsidTr="00E56B44">
        <w:trPr>
          <w:trHeight w:val="405"/>
        </w:trPr>
        <w:tc>
          <w:tcPr>
            <w:tcW w:w="3962" w:type="dxa"/>
            <w:vAlign w:val="center"/>
          </w:tcPr>
          <w:p w14:paraId="577794ED" w14:textId="0F217EC2" w:rsidR="00195D66" w:rsidRPr="00E56B44" w:rsidRDefault="00195D66" w:rsidP="00E56B44">
            <w:pPr>
              <w:spacing w:before="60" w:after="60"/>
              <w:rPr>
                <w:rFonts w:cs="Noto Sans"/>
                <w:sz w:val="18"/>
                <w:szCs w:val="18"/>
              </w:rPr>
            </w:pPr>
            <w:r w:rsidRPr="00E56B44">
              <w:rPr>
                <w:rFonts w:cs="Noto Sans"/>
                <w:sz w:val="18"/>
                <w:szCs w:val="18"/>
              </w:rPr>
              <w:t xml:space="preserve">Blue </w:t>
            </w:r>
            <w:r w:rsidR="0007126B" w:rsidRPr="00E56B44">
              <w:rPr>
                <w:rFonts w:cs="Noto Sans"/>
                <w:sz w:val="18"/>
                <w:szCs w:val="18"/>
              </w:rPr>
              <w:t>threadfin</w:t>
            </w:r>
          </w:p>
        </w:tc>
        <w:tc>
          <w:tcPr>
            <w:tcW w:w="910" w:type="dxa"/>
            <w:vAlign w:val="center"/>
          </w:tcPr>
          <w:p w14:paraId="21993C8A" w14:textId="2D84C011" w:rsidR="00195D66" w:rsidRPr="00E56B44" w:rsidRDefault="003A3407" w:rsidP="00E56B44">
            <w:pPr>
              <w:spacing w:before="60" w:after="60"/>
              <w:jc w:val="center"/>
              <w:rPr>
                <w:rFonts w:cs="Noto Sans"/>
                <w:sz w:val="18"/>
                <w:szCs w:val="18"/>
              </w:rPr>
            </w:pPr>
            <w:r w:rsidRPr="00E56B44">
              <w:rPr>
                <w:rFonts w:cs="Noto Sans"/>
                <w:sz w:val="18"/>
                <w:szCs w:val="18"/>
              </w:rPr>
              <w:t>2</w:t>
            </w:r>
          </w:p>
        </w:tc>
        <w:tc>
          <w:tcPr>
            <w:tcW w:w="2477" w:type="dxa"/>
            <w:vAlign w:val="center"/>
          </w:tcPr>
          <w:p w14:paraId="0EB437F4" w14:textId="489D1F5B" w:rsidR="00195D66" w:rsidRPr="00E56B44" w:rsidRDefault="0007126B" w:rsidP="00E56B44">
            <w:pPr>
              <w:spacing w:before="60" w:after="60"/>
              <w:jc w:val="center"/>
              <w:rPr>
                <w:rFonts w:cs="Noto Sans"/>
                <w:sz w:val="18"/>
                <w:szCs w:val="18"/>
              </w:rPr>
            </w:pPr>
            <w:r w:rsidRPr="00E56B44">
              <w:rPr>
                <w:rFonts w:cs="Noto Sans"/>
                <w:sz w:val="18"/>
                <w:szCs w:val="18"/>
              </w:rPr>
              <w:t>X</w:t>
            </w:r>
          </w:p>
        </w:tc>
        <w:tc>
          <w:tcPr>
            <w:tcW w:w="2477" w:type="dxa"/>
            <w:vAlign w:val="center"/>
          </w:tcPr>
          <w:p w14:paraId="32D3397F" w14:textId="4EC8B987" w:rsidR="00195D66" w:rsidRPr="00E56B44" w:rsidRDefault="0007126B" w:rsidP="00E56B44">
            <w:pPr>
              <w:spacing w:before="60" w:after="60"/>
              <w:jc w:val="center"/>
              <w:rPr>
                <w:rFonts w:cs="Noto Sans"/>
                <w:sz w:val="18"/>
                <w:szCs w:val="18"/>
              </w:rPr>
            </w:pPr>
            <w:r w:rsidRPr="00E56B44">
              <w:rPr>
                <w:rFonts w:cs="Noto Sans"/>
                <w:sz w:val="18"/>
                <w:szCs w:val="18"/>
              </w:rPr>
              <w:t>X</w:t>
            </w:r>
          </w:p>
        </w:tc>
      </w:tr>
      <w:tr w:rsidR="00596D8B" w14:paraId="75B9B34B" w14:textId="77777777" w:rsidTr="00E56B44">
        <w:trPr>
          <w:trHeight w:val="303"/>
        </w:trPr>
        <w:tc>
          <w:tcPr>
            <w:tcW w:w="3962" w:type="dxa"/>
            <w:vAlign w:val="center"/>
          </w:tcPr>
          <w:p w14:paraId="334AD07F" w14:textId="59929419" w:rsidR="00596D8B" w:rsidRPr="00E56B44" w:rsidRDefault="00596D8B" w:rsidP="00E56B44">
            <w:pPr>
              <w:spacing w:before="60" w:after="60"/>
              <w:rPr>
                <w:rFonts w:cs="Noto Sans"/>
                <w:sz w:val="18"/>
                <w:szCs w:val="18"/>
              </w:rPr>
            </w:pPr>
            <w:r w:rsidRPr="00E56B44">
              <w:rPr>
                <w:rFonts w:cs="Noto Sans"/>
                <w:sz w:val="18"/>
                <w:szCs w:val="18"/>
              </w:rPr>
              <w:t>Black jewfish</w:t>
            </w:r>
          </w:p>
        </w:tc>
        <w:tc>
          <w:tcPr>
            <w:tcW w:w="910" w:type="dxa"/>
            <w:vAlign w:val="center"/>
          </w:tcPr>
          <w:p w14:paraId="2A09B1B6" w14:textId="39204923" w:rsidR="00596D8B" w:rsidRPr="00E56B44" w:rsidRDefault="00596D8B" w:rsidP="00E56B44">
            <w:pPr>
              <w:spacing w:before="60" w:after="60"/>
              <w:jc w:val="center"/>
              <w:rPr>
                <w:rFonts w:cs="Noto Sans"/>
                <w:sz w:val="18"/>
                <w:szCs w:val="18"/>
              </w:rPr>
            </w:pPr>
            <w:r w:rsidRPr="00E56B44">
              <w:rPr>
                <w:rFonts w:cs="Noto Sans"/>
                <w:sz w:val="18"/>
                <w:szCs w:val="18"/>
              </w:rPr>
              <w:t>2</w:t>
            </w:r>
          </w:p>
        </w:tc>
        <w:tc>
          <w:tcPr>
            <w:tcW w:w="2477" w:type="dxa"/>
            <w:vAlign w:val="center"/>
          </w:tcPr>
          <w:p w14:paraId="20BAB86C" w14:textId="03540493" w:rsidR="00596D8B" w:rsidRPr="00E56B44" w:rsidRDefault="00596D8B" w:rsidP="00E56B44">
            <w:pPr>
              <w:spacing w:before="60" w:after="60"/>
              <w:jc w:val="center"/>
              <w:rPr>
                <w:rFonts w:cs="Noto Sans"/>
                <w:sz w:val="18"/>
                <w:szCs w:val="18"/>
              </w:rPr>
            </w:pPr>
            <w:r w:rsidRPr="00E56B44">
              <w:rPr>
                <w:rFonts w:cs="Noto Sans"/>
                <w:sz w:val="18"/>
                <w:szCs w:val="18"/>
              </w:rPr>
              <w:t>-</w:t>
            </w:r>
          </w:p>
        </w:tc>
        <w:tc>
          <w:tcPr>
            <w:tcW w:w="2477" w:type="dxa"/>
            <w:vAlign w:val="center"/>
          </w:tcPr>
          <w:p w14:paraId="11CBD9A2" w14:textId="05180BF8" w:rsidR="00596D8B" w:rsidRPr="00E56B44" w:rsidRDefault="00596D8B" w:rsidP="00E56B44">
            <w:pPr>
              <w:spacing w:before="60" w:after="60"/>
              <w:jc w:val="center"/>
              <w:rPr>
                <w:rFonts w:cs="Noto Sans"/>
                <w:sz w:val="18"/>
                <w:szCs w:val="18"/>
              </w:rPr>
            </w:pPr>
            <w:r w:rsidRPr="00E56B44">
              <w:rPr>
                <w:rFonts w:cs="Noto Sans"/>
                <w:sz w:val="18"/>
                <w:szCs w:val="18"/>
              </w:rPr>
              <w:t>-</w:t>
            </w:r>
          </w:p>
        </w:tc>
      </w:tr>
    </w:tbl>
    <w:p w14:paraId="5D173452" w14:textId="7AAAA833" w:rsidR="00EF4737" w:rsidRPr="0010104B" w:rsidRDefault="63F75D8E" w:rsidP="0010104B">
      <w:pPr>
        <w:keepNext/>
        <w:keepLines/>
        <w:tabs>
          <w:tab w:val="left" w:pos="142"/>
        </w:tabs>
        <w:spacing w:before="120" w:after="0"/>
        <w:rPr>
          <w:rFonts w:cs="Noto Sans"/>
          <w:sz w:val="16"/>
          <w:szCs w:val="16"/>
        </w:rPr>
      </w:pPr>
      <w:r w:rsidRPr="0010104B">
        <w:rPr>
          <w:rFonts w:cs="Noto Sans"/>
          <w:sz w:val="16"/>
          <w:szCs w:val="16"/>
          <w:vertAlign w:val="superscript"/>
        </w:rPr>
        <w:t>1</w:t>
      </w:r>
      <w:r w:rsidR="002E7FAD" w:rsidRPr="0010104B">
        <w:rPr>
          <w:rFonts w:cs="Noto Sans"/>
          <w:sz w:val="16"/>
          <w:szCs w:val="16"/>
        </w:rPr>
        <w:tab/>
      </w:r>
      <w:r w:rsidRPr="0010104B">
        <w:rPr>
          <w:rFonts w:cs="Noto Sans"/>
          <w:sz w:val="16"/>
          <w:szCs w:val="16"/>
        </w:rPr>
        <w:t>C</w:t>
      </w:r>
      <w:r w:rsidR="52DB9ADE" w:rsidRPr="0010104B">
        <w:rPr>
          <w:rFonts w:cs="Noto Sans"/>
          <w:sz w:val="16"/>
          <w:szCs w:val="16"/>
        </w:rPr>
        <w:t>atch share established from more recent stock assessment</w:t>
      </w:r>
      <w:r w:rsidR="07AC4F3D" w:rsidRPr="0010104B">
        <w:rPr>
          <w:rFonts w:cs="Noto Sans"/>
          <w:sz w:val="16"/>
          <w:szCs w:val="16"/>
        </w:rPr>
        <w:t>.</w:t>
      </w:r>
    </w:p>
    <w:p w14:paraId="39E544E4" w14:textId="497615F6" w:rsidR="1BD1ECE2" w:rsidRPr="0010104B" w:rsidRDefault="1BD1ECE2" w:rsidP="0010104B">
      <w:pPr>
        <w:tabs>
          <w:tab w:val="left" w:pos="142"/>
        </w:tabs>
        <w:spacing w:after="0"/>
        <w:ind w:left="142" w:hanging="142"/>
        <w:rPr>
          <w:rFonts w:cs="Noto Sans"/>
          <w:sz w:val="16"/>
          <w:szCs w:val="16"/>
        </w:rPr>
      </w:pPr>
      <w:r w:rsidRPr="0010104B">
        <w:rPr>
          <w:rFonts w:cs="Noto Sans"/>
          <w:sz w:val="16"/>
          <w:szCs w:val="16"/>
          <w:vertAlign w:val="superscript"/>
        </w:rPr>
        <w:t xml:space="preserve">2 </w:t>
      </w:r>
      <w:r w:rsidRPr="0010104B">
        <w:rPr>
          <w:rFonts w:cs="Noto Sans"/>
          <w:sz w:val="16"/>
          <w:szCs w:val="16"/>
        </w:rPr>
        <w:tab/>
        <w:t>Shark and ray harvest is assumed to be predominately commercial.</w:t>
      </w:r>
    </w:p>
    <w:p w14:paraId="36CED23A" w14:textId="1EE00EE5" w:rsidR="00CD11F3" w:rsidRPr="0010104B" w:rsidRDefault="63F75D8E" w:rsidP="6C914696">
      <w:pPr>
        <w:keepLines/>
        <w:tabs>
          <w:tab w:val="left" w:pos="142"/>
        </w:tabs>
        <w:ind w:left="142" w:hanging="142"/>
        <w:rPr>
          <w:rFonts w:cs="Noto Sans"/>
          <w:sz w:val="16"/>
          <w:szCs w:val="16"/>
        </w:rPr>
      </w:pPr>
      <w:r w:rsidRPr="0010104B">
        <w:rPr>
          <w:rFonts w:cs="Noto Sans"/>
          <w:sz w:val="16"/>
          <w:szCs w:val="16"/>
          <w:vertAlign w:val="superscript"/>
        </w:rPr>
        <w:lastRenderedPageBreak/>
        <w:t>2</w:t>
      </w:r>
      <w:r w:rsidR="002E7FAD" w:rsidRPr="0010104B">
        <w:rPr>
          <w:rFonts w:cs="Noto Sans"/>
          <w:sz w:val="16"/>
          <w:szCs w:val="16"/>
        </w:rPr>
        <w:tab/>
      </w:r>
      <w:r w:rsidR="170263E8" w:rsidRPr="0010104B">
        <w:rPr>
          <w:rFonts w:cs="Noto Sans"/>
          <w:sz w:val="16"/>
          <w:szCs w:val="16"/>
        </w:rPr>
        <w:t>Catch share established from recreational harvest estimate from 2019-20 recreational fishing s</w:t>
      </w:r>
      <w:r w:rsidR="02BB3FD9" w:rsidRPr="0010104B">
        <w:rPr>
          <w:rFonts w:cs="Noto Sans"/>
          <w:sz w:val="16"/>
          <w:szCs w:val="16"/>
        </w:rPr>
        <w:t>urvey compared to 2019 commercial catch.</w:t>
      </w:r>
    </w:p>
    <w:p w14:paraId="6FDF9D91" w14:textId="77777777" w:rsidR="00BB2046" w:rsidRPr="00BB2046" w:rsidRDefault="00BB2046" w:rsidP="00BB2046">
      <w:bookmarkStart w:id="24" w:name="_Toc121747118"/>
      <w:r w:rsidRPr="00BB2046">
        <w:br w:type="page"/>
      </w:r>
    </w:p>
    <w:p w14:paraId="3763BAFC" w14:textId="1AA966F6" w:rsidR="00F8146B" w:rsidRDefault="63F75D8E" w:rsidP="00577D62">
      <w:pPr>
        <w:pStyle w:val="Heading1"/>
      </w:pPr>
      <w:bookmarkStart w:id="25" w:name="_Toc204270753"/>
      <w:bookmarkStart w:id="26" w:name="_Toc205215630"/>
      <w:r w:rsidRPr="00577D62">
        <w:lastRenderedPageBreak/>
        <w:t>Managing</w:t>
      </w:r>
      <w:r w:rsidRPr="6C914696">
        <w:t xml:space="preserve"> the </w:t>
      </w:r>
      <w:r w:rsidR="0B8564D6" w:rsidRPr="6C914696">
        <w:t>performance of the fishery</w:t>
      </w:r>
      <w:bookmarkEnd w:id="24"/>
      <w:bookmarkEnd w:id="25"/>
      <w:bookmarkEnd w:id="26"/>
    </w:p>
    <w:p w14:paraId="4F5D045F" w14:textId="0E78E16E" w:rsidR="6B071C23" w:rsidRDefault="6B071C23" w:rsidP="00025300">
      <w:pPr>
        <w:pStyle w:val="Heading2"/>
        <w:rPr>
          <w:rFonts w:eastAsia="Times New Roman"/>
        </w:rPr>
      </w:pPr>
      <w:bookmarkStart w:id="27" w:name="_Toc205215631"/>
      <w:r w:rsidRPr="6C914696">
        <w:t xml:space="preserve">Performance </w:t>
      </w:r>
      <w:r w:rsidR="0E41DB30" w:rsidRPr="6C914696">
        <w:t>i</w:t>
      </w:r>
      <w:r w:rsidRPr="6C914696">
        <w:t>ndicators and reference points</w:t>
      </w:r>
      <w:bookmarkEnd w:id="27"/>
      <w:r w:rsidRPr="6C914696">
        <w:t xml:space="preserve"> </w:t>
      </w:r>
    </w:p>
    <w:p w14:paraId="2ACC15B4" w14:textId="77777777" w:rsidR="00214168" w:rsidRPr="003E4325" w:rsidRDefault="1A58824D" w:rsidP="00577D62">
      <w:r w:rsidRPr="6C914696">
        <w:t xml:space="preserve">Suitable performance indicators have been selected to describe fishery performance in relation to the objectives, with associated reference points identified to established acceptable performance. </w:t>
      </w:r>
      <w:r w:rsidRPr="003E4325">
        <w:t xml:space="preserve">The primary performance indicator used to evaluate the status of </w:t>
      </w:r>
      <w:r w:rsidR="6830FF3E" w:rsidRPr="003E4325">
        <w:t>GOCIF species</w:t>
      </w:r>
      <w:r w:rsidRPr="003E4325">
        <w:t xml:space="preserve"> is spawning </w:t>
      </w:r>
      <w:r w:rsidR="451072EE" w:rsidRPr="003E4325">
        <w:t xml:space="preserve">stock </w:t>
      </w:r>
      <w:r w:rsidRPr="003E4325">
        <w:t xml:space="preserve">biomass. </w:t>
      </w:r>
      <w:r w:rsidR="2CAC2A5C" w:rsidRPr="003E4325">
        <w:t>Spawning</w:t>
      </w:r>
      <w:r w:rsidR="451072EE" w:rsidRPr="003E4325">
        <w:t xml:space="preserve"> stock</w:t>
      </w:r>
      <w:r w:rsidR="2CAC2A5C" w:rsidRPr="003E4325">
        <w:t xml:space="preserve"> </w:t>
      </w:r>
      <w:r w:rsidRPr="003E4325">
        <w:t>biomass is assessed periodically and is compared to the associated reference points</w:t>
      </w:r>
      <w:r w:rsidR="63F75D8E" w:rsidRPr="003E4325">
        <w:t xml:space="preserve">. </w:t>
      </w:r>
    </w:p>
    <w:p w14:paraId="4EF87341" w14:textId="3B04516B" w:rsidR="00134EDD" w:rsidRPr="003E4325" w:rsidRDefault="0036563E" w:rsidP="00577D62">
      <w:r w:rsidRPr="003E4325">
        <w:t>In addition to the primary per</w:t>
      </w:r>
      <w:r w:rsidR="00CB2074" w:rsidRPr="003E4325">
        <w:t>formance indicators, this harvest strategy includes a</w:t>
      </w:r>
      <w:r w:rsidR="00F92031">
        <w:t xml:space="preserve"> </w:t>
      </w:r>
      <w:r w:rsidR="00CB2074" w:rsidRPr="003E4325">
        <w:t>rebuilding target reference point</w:t>
      </w:r>
      <w:r w:rsidR="00242053" w:rsidRPr="003E4325">
        <w:t xml:space="preserve"> for king threadfin</w:t>
      </w:r>
      <w:r w:rsidR="001B2B67" w:rsidRPr="003E4325">
        <w:t xml:space="preserve">. This target </w:t>
      </w:r>
      <w:r w:rsidR="00242053" w:rsidRPr="003E4325">
        <w:t>aims to rebuild</w:t>
      </w:r>
      <w:r w:rsidR="001B2B67" w:rsidRPr="003E4325">
        <w:t xml:space="preserve"> king threadfin</w:t>
      </w:r>
      <w:r w:rsidR="00242053" w:rsidRPr="003E4325">
        <w:t xml:space="preserve"> stock biomass to a level that aims to achieve maximum sustainable yield (MSY)</w:t>
      </w:r>
      <w:r w:rsidR="00F33B01" w:rsidRPr="003E4325">
        <w:t xml:space="preserve"> </w:t>
      </w:r>
      <w:r w:rsidR="00BD66CF" w:rsidRPr="003E4325">
        <w:t>and, subsequently, purs</w:t>
      </w:r>
      <w:r w:rsidR="00214168" w:rsidRPr="003E4325">
        <w:t>ues the long-term goal of achieving maximum economic yield (MEY).</w:t>
      </w:r>
    </w:p>
    <w:p w14:paraId="08092D11" w14:textId="01EC3E15" w:rsidR="00B605E7" w:rsidRPr="003E4325" w:rsidRDefault="002E7FAD" w:rsidP="00577D62">
      <w:pPr>
        <w:rPr>
          <w:rFonts w:cstheme="minorHAnsi"/>
        </w:rPr>
      </w:pPr>
      <w:r w:rsidRPr="003E4325">
        <w:rPr>
          <w:rFonts w:cstheme="minorHAnsi"/>
        </w:rPr>
        <w:t>The default biomass</w:t>
      </w:r>
      <w:r w:rsidR="000652B7" w:rsidRPr="003E4325">
        <w:rPr>
          <w:rFonts w:cstheme="minorHAnsi"/>
        </w:rPr>
        <w:t xml:space="preserve"> </w:t>
      </w:r>
      <w:r w:rsidRPr="003E4325">
        <w:rPr>
          <w:rFonts w:cstheme="minorHAnsi"/>
        </w:rPr>
        <w:t>reference</w:t>
      </w:r>
      <w:r w:rsidR="000652B7" w:rsidRPr="003E4325">
        <w:rPr>
          <w:rFonts w:cstheme="minorHAnsi"/>
        </w:rPr>
        <w:t xml:space="preserve"> </w:t>
      </w:r>
      <w:r w:rsidRPr="003E4325">
        <w:rPr>
          <w:rFonts w:cstheme="minorHAnsi"/>
        </w:rPr>
        <w:t>points identified in this harvest strategy are:</w:t>
      </w:r>
    </w:p>
    <w:p w14:paraId="2EB96518" w14:textId="095D18C1" w:rsidR="0031379C" w:rsidRPr="0079453E" w:rsidRDefault="4664962F" w:rsidP="00577D62">
      <w:pPr>
        <w:pStyle w:val="ListParagraph"/>
        <w:numPr>
          <w:ilvl w:val="0"/>
          <w:numId w:val="24"/>
        </w:numPr>
        <w:rPr>
          <w:lang w:val="en-GB" w:eastAsia="en-AU"/>
        </w:rPr>
      </w:pPr>
      <w:r w:rsidRPr="0079453E">
        <w:rPr>
          <w:lang w:val="en-GB" w:eastAsia="en-AU"/>
        </w:rPr>
        <w:t>a</w:t>
      </w:r>
      <w:r w:rsidR="00037CA7" w:rsidRPr="0079453E">
        <w:rPr>
          <w:lang w:val="en-GB" w:eastAsia="en-AU"/>
        </w:rPr>
        <w:t xml:space="preserve"> </w:t>
      </w:r>
      <w:r w:rsidR="37EE0CD9" w:rsidRPr="0079453E">
        <w:rPr>
          <w:lang w:val="en-GB" w:eastAsia="en-AU"/>
        </w:rPr>
        <w:t>rebuilding</w:t>
      </w:r>
      <w:r w:rsidRPr="0079453E">
        <w:rPr>
          <w:lang w:val="en-GB" w:eastAsia="en-AU"/>
        </w:rPr>
        <w:t xml:space="preserve"> target reference point </w:t>
      </w:r>
      <w:r w:rsidR="31B92DFE" w:rsidRPr="0079453E">
        <w:rPr>
          <w:lang w:val="en-GB" w:eastAsia="en-AU"/>
        </w:rPr>
        <w:t xml:space="preserve">for king threadfin </w:t>
      </w:r>
      <w:r w:rsidRPr="0079453E">
        <w:rPr>
          <w:lang w:val="en-GB" w:eastAsia="en-AU"/>
        </w:rPr>
        <w:t xml:space="preserve">of 40% of the </w:t>
      </w:r>
      <w:r w:rsidR="488D72EB" w:rsidRPr="0079453E">
        <w:rPr>
          <w:lang w:val="en-GB" w:eastAsia="en-AU"/>
        </w:rPr>
        <w:t>spawning</w:t>
      </w:r>
      <w:r w:rsidRPr="0079453E">
        <w:rPr>
          <w:lang w:val="en-GB" w:eastAsia="en-AU"/>
        </w:rPr>
        <w:t xml:space="preserve"> biomass (B</w:t>
      </w:r>
      <w:r w:rsidRPr="0079453E">
        <w:rPr>
          <w:vertAlign w:val="subscript"/>
          <w:lang w:val="en-GB" w:eastAsia="en-AU"/>
        </w:rPr>
        <w:t>40</w:t>
      </w:r>
      <w:r w:rsidRPr="0079453E">
        <w:rPr>
          <w:lang w:val="en-GB" w:eastAsia="en-AU"/>
        </w:rPr>
        <w:t>) being the relative biomass level th</w:t>
      </w:r>
      <w:r w:rsidR="00440D30" w:rsidRPr="0079453E">
        <w:rPr>
          <w:lang w:val="en-GB" w:eastAsia="en-AU"/>
        </w:rPr>
        <w:t>is</w:t>
      </w:r>
      <w:r w:rsidRPr="0079453E">
        <w:rPr>
          <w:lang w:val="en-GB" w:eastAsia="en-AU"/>
        </w:rPr>
        <w:t xml:space="preserve"> harvest strategy aims to achieve</w:t>
      </w:r>
    </w:p>
    <w:p w14:paraId="0E6A491E" w14:textId="79F3520C" w:rsidR="00721E8D" w:rsidRPr="00577D62" w:rsidRDefault="1DD5EC80" w:rsidP="00577D62">
      <w:pPr>
        <w:pStyle w:val="ListParagraph"/>
        <w:numPr>
          <w:ilvl w:val="0"/>
          <w:numId w:val="24"/>
        </w:numPr>
        <w:rPr>
          <w:lang w:val="en-GB" w:eastAsia="en-AU"/>
        </w:rPr>
      </w:pPr>
      <w:r w:rsidRPr="00577D62">
        <w:rPr>
          <w:lang w:val="en-GB" w:eastAsia="en-AU"/>
        </w:rPr>
        <w:t>a</w:t>
      </w:r>
      <w:r w:rsidR="4664962F" w:rsidRPr="00577D62">
        <w:rPr>
          <w:lang w:val="en-GB" w:eastAsia="en-AU"/>
        </w:rPr>
        <w:t>n overarching</w:t>
      </w:r>
      <w:r w:rsidR="63F75D8E" w:rsidRPr="00577D62">
        <w:rPr>
          <w:lang w:val="en-GB" w:eastAsia="en-AU"/>
        </w:rPr>
        <w:t xml:space="preserve"> target reference point (B</w:t>
      </w:r>
      <w:r w:rsidR="630ECE6D" w:rsidRPr="00577D62">
        <w:rPr>
          <w:i/>
          <w:lang w:val="en-GB" w:eastAsia="en-AU"/>
        </w:rPr>
        <w:t>targ</w:t>
      </w:r>
      <w:r w:rsidR="63F75D8E" w:rsidRPr="00577D62">
        <w:rPr>
          <w:lang w:val="en-GB" w:eastAsia="en-AU"/>
        </w:rPr>
        <w:t xml:space="preserve">) of 60% of the </w:t>
      </w:r>
      <w:r w:rsidR="488D72EB" w:rsidRPr="00577D62">
        <w:rPr>
          <w:lang w:val="en-GB" w:eastAsia="en-AU"/>
        </w:rPr>
        <w:t xml:space="preserve">spawning </w:t>
      </w:r>
      <w:r w:rsidR="63F75D8E" w:rsidRPr="00577D62">
        <w:rPr>
          <w:lang w:val="en-GB" w:eastAsia="en-AU"/>
        </w:rPr>
        <w:t>biomass being the relative biomass level the harvest strategy aims to achieve</w:t>
      </w:r>
      <w:r w:rsidR="4664962F" w:rsidRPr="00577D62">
        <w:rPr>
          <w:lang w:val="en-GB" w:eastAsia="en-AU"/>
        </w:rPr>
        <w:t xml:space="preserve"> </w:t>
      </w:r>
      <w:r w:rsidR="5686C386" w:rsidRPr="00577D62">
        <w:rPr>
          <w:lang w:val="en-GB" w:eastAsia="en-AU"/>
        </w:rPr>
        <w:t xml:space="preserve">for tier 1 </w:t>
      </w:r>
      <w:r w:rsidR="429B1D53" w:rsidRPr="00577D62">
        <w:rPr>
          <w:lang w:val="en-GB" w:eastAsia="en-AU"/>
        </w:rPr>
        <w:t xml:space="preserve">and some tier 2 </w:t>
      </w:r>
      <w:r w:rsidR="5686C386" w:rsidRPr="00577D62">
        <w:rPr>
          <w:lang w:val="en-GB" w:eastAsia="en-AU"/>
        </w:rPr>
        <w:t xml:space="preserve">species </w:t>
      </w:r>
      <w:r w:rsidR="000F1B0F" w:rsidRPr="00577D62">
        <w:rPr>
          <w:lang w:val="en-GB" w:eastAsia="en-AU"/>
        </w:rPr>
        <w:t>of the fishery</w:t>
      </w:r>
      <w:r w:rsidRPr="00577D62">
        <w:rPr>
          <w:lang w:val="en-GB" w:eastAsia="en-AU"/>
        </w:rPr>
        <w:t xml:space="preserve"> –</w:t>
      </w:r>
      <w:r w:rsidR="63F75D8E" w:rsidRPr="00577D62">
        <w:rPr>
          <w:lang w:val="en-GB" w:eastAsia="en-AU"/>
        </w:rPr>
        <w:t xml:space="preserve"> </w:t>
      </w:r>
      <w:r w:rsidRPr="00577D62">
        <w:rPr>
          <w:lang w:val="en-GB" w:eastAsia="en-AU"/>
        </w:rPr>
        <w:t>t</w:t>
      </w:r>
      <w:r w:rsidR="63F75D8E" w:rsidRPr="00577D62">
        <w:rPr>
          <w:lang w:val="en-GB" w:eastAsia="en-AU"/>
        </w:rPr>
        <w:t xml:space="preserve">his is considered a proxy </w:t>
      </w:r>
      <w:r w:rsidR="38532B14" w:rsidRPr="00577D62">
        <w:rPr>
          <w:lang w:val="en-GB" w:eastAsia="en-AU"/>
        </w:rPr>
        <w:t xml:space="preserve">for </w:t>
      </w:r>
      <w:r w:rsidR="199C492B" w:rsidRPr="00577D62">
        <w:rPr>
          <w:lang w:val="en-GB" w:eastAsia="en-AU"/>
        </w:rPr>
        <w:t xml:space="preserve">the biomass </w:t>
      </w:r>
      <w:r w:rsidR="38532B14" w:rsidRPr="00577D62">
        <w:rPr>
          <w:lang w:val="en-GB" w:eastAsia="en-AU"/>
        </w:rPr>
        <w:t>achieving maximum economic yield (</w:t>
      </w:r>
      <w:proofErr w:type="spellStart"/>
      <w:r w:rsidR="63F75D8E" w:rsidRPr="00577D62">
        <w:rPr>
          <w:lang w:val="en-GB" w:eastAsia="en-AU"/>
        </w:rPr>
        <w:t>B</w:t>
      </w:r>
      <w:r w:rsidR="630ECE6D" w:rsidRPr="00577D62">
        <w:rPr>
          <w:i/>
          <w:lang w:val="en-GB" w:eastAsia="en-AU"/>
        </w:rPr>
        <w:t>mey</w:t>
      </w:r>
      <w:proofErr w:type="spellEnd"/>
      <w:r w:rsidR="38532B14" w:rsidRPr="00577D62">
        <w:rPr>
          <w:lang w:val="en-GB" w:eastAsia="en-AU"/>
        </w:rPr>
        <w:t>)</w:t>
      </w:r>
    </w:p>
    <w:p w14:paraId="5C5D05FE" w14:textId="635CFD81" w:rsidR="00B605E7" w:rsidRPr="00577D62" w:rsidRDefault="1DD5EC80" w:rsidP="00577D62">
      <w:pPr>
        <w:pStyle w:val="ListParagraph"/>
        <w:numPr>
          <w:ilvl w:val="0"/>
          <w:numId w:val="24"/>
        </w:numPr>
        <w:rPr>
          <w:lang w:val="en-GB" w:eastAsia="en-AU"/>
        </w:rPr>
      </w:pPr>
      <w:r w:rsidRPr="00577D62">
        <w:rPr>
          <w:lang w:val="en-GB" w:eastAsia="en-AU"/>
        </w:rPr>
        <w:t>a</w:t>
      </w:r>
      <w:r w:rsidR="63F75D8E" w:rsidRPr="00577D62">
        <w:rPr>
          <w:lang w:val="en-GB" w:eastAsia="en-AU"/>
        </w:rPr>
        <w:t xml:space="preserve"> limit reference point </w:t>
      </w:r>
      <w:r w:rsidR="06FDFBF0" w:rsidRPr="00577D62">
        <w:rPr>
          <w:lang w:val="en-GB" w:eastAsia="en-AU"/>
        </w:rPr>
        <w:t>(B</w:t>
      </w:r>
      <w:r w:rsidR="06FDFBF0" w:rsidRPr="00577D62">
        <w:rPr>
          <w:i/>
          <w:lang w:val="en-GB" w:eastAsia="en-AU"/>
        </w:rPr>
        <w:t>lim</w:t>
      </w:r>
      <w:r w:rsidR="06FDFBF0" w:rsidRPr="00577D62">
        <w:rPr>
          <w:lang w:val="en-GB" w:eastAsia="en-AU"/>
        </w:rPr>
        <w:t xml:space="preserve">) </w:t>
      </w:r>
      <w:r w:rsidR="48DCF0E3" w:rsidRPr="00577D62">
        <w:rPr>
          <w:lang w:val="en-GB" w:eastAsia="en-AU"/>
        </w:rPr>
        <w:t xml:space="preserve">of </w:t>
      </w:r>
      <w:r w:rsidR="63F75D8E" w:rsidRPr="00577D62">
        <w:rPr>
          <w:lang w:val="en-GB" w:eastAsia="en-AU"/>
        </w:rPr>
        <w:t xml:space="preserve">20% of the </w:t>
      </w:r>
      <w:r w:rsidR="7789BE73" w:rsidRPr="00577D62">
        <w:rPr>
          <w:lang w:val="en-GB" w:eastAsia="en-AU"/>
        </w:rPr>
        <w:t>spawning</w:t>
      </w:r>
      <w:r w:rsidR="63F75D8E" w:rsidRPr="00577D62">
        <w:rPr>
          <w:lang w:val="en-GB" w:eastAsia="en-AU"/>
        </w:rPr>
        <w:t xml:space="preserve"> biomass</w:t>
      </w:r>
      <w:r w:rsidR="06FDFBF0" w:rsidRPr="00577D62">
        <w:rPr>
          <w:lang w:val="en-GB" w:eastAsia="en-AU"/>
        </w:rPr>
        <w:t xml:space="preserve"> (B</w:t>
      </w:r>
      <w:r w:rsidR="06FDFBF0" w:rsidRPr="00577D62">
        <w:rPr>
          <w:vertAlign w:val="subscript"/>
          <w:lang w:val="en-GB" w:eastAsia="en-AU"/>
        </w:rPr>
        <w:t>20</w:t>
      </w:r>
      <w:r w:rsidR="06FDFBF0" w:rsidRPr="00577D62">
        <w:rPr>
          <w:lang w:val="en-GB" w:eastAsia="en-AU"/>
        </w:rPr>
        <w:t>)</w:t>
      </w:r>
      <w:r w:rsidR="63F75D8E" w:rsidRPr="00577D62">
        <w:rPr>
          <w:lang w:val="en-GB" w:eastAsia="en-AU"/>
        </w:rPr>
        <w:t xml:space="preserve"> being the </w:t>
      </w:r>
      <w:r w:rsidR="38532B14" w:rsidRPr="00577D62">
        <w:rPr>
          <w:lang w:val="en-GB" w:eastAsia="en-AU"/>
        </w:rPr>
        <w:t xml:space="preserve">biomass </w:t>
      </w:r>
      <w:r w:rsidR="63F75D8E" w:rsidRPr="00577D62">
        <w:rPr>
          <w:lang w:val="en-GB" w:eastAsia="en-AU"/>
        </w:rPr>
        <w:t>level that the harvest strategy aims to avoid</w:t>
      </w:r>
      <w:r w:rsidR="4E35B9B5" w:rsidRPr="00577D62">
        <w:rPr>
          <w:lang w:val="en-GB" w:eastAsia="en-AU"/>
        </w:rPr>
        <w:t xml:space="preserve"> –</w:t>
      </w:r>
      <w:r w:rsidR="2E7527CA" w:rsidRPr="00577D62">
        <w:rPr>
          <w:lang w:val="en-GB" w:eastAsia="en-AU"/>
        </w:rPr>
        <w:t xml:space="preserve"> </w:t>
      </w:r>
      <w:r w:rsidR="5EE7701E" w:rsidRPr="6C914696">
        <w:rPr>
          <w:lang w:eastAsia="en-AU"/>
        </w:rPr>
        <w:t>If there is evidence that a stock is more susceptible to fishery depletion due to conservative life history characteristics, a higher limit reference point (e.g. 30%) may be considered. I</w:t>
      </w:r>
      <w:proofErr w:type="spellStart"/>
      <w:r w:rsidR="38532B14" w:rsidRPr="00577D62">
        <w:rPr>
          <w:lang w:val="en-GB" w:eastAsia="en-AU"/>
        </w:rPr>
        <w:t>f</w:t>
      </w:r>
      <w:proofErr w:type="spellEnd"/>
      <w:r w:rsidR="38532B14" w:rsidRPr="00577D62">
        <w:rPr>
          <w:lang w:val="en-GB" w:eastAsia="en-AU"/>
        </w:rPr>
        <w:t xml:space="preserve"> </w:t>
      </w:r>
      <w:r w:rsidR="63F75D8E" w:rsidRPr="00577D62">
        <w:rPr>
          <w:lang w:val="en-GB" w:eastAsia="en-AU"/>
        </w:rPr>
        <w:t xml:space="preserve">the stock is assessed to be below </w:t>
      </w:r>
      <w:r w:rsidR="03EE80C3" w:rsidRPr="00577D62">
        <w:rPr>
          <w:lang w:val="en-GB" w:eastAsia="en-AU"/>
        </w:rPr>
        <w:t>B</w:t>
      </w:r>
      <w:r w:rsidR="03EE80C3" w:rsidRPr="00577D62">
        <w:rPr>
          <w:i/>
          <w:lang w:val="en-GB" w:eastAsia="en-AU"/>
        </w:rPr>
        <w:t>lim</w:t>
      </w:r>
      <w:r w:rsidRPr="00577D62">
        <w:rPr>
          <w:i/>
          <w:lang w:val="en-GB" w:eastAsia="en-AU"/>
        </w:rPr>
        <w:t>,</w:t>
      </w:r>
      <w:r w:rsidR="63F75D8E" w:rsidRPr="00577D62">
        <w:rPr>
          <w:lang w:val="en-GB" w:eastAsia="en-AU"/>
        </w:rPr>
        <w:t xml:space="preserve"> the risk to the stock is unacceptably high and the stock is defined as </w:t>
      </w:r>
      <w:r w:rsidRPr="00577D62">
        <w:rPr>
          <w:lang w:val="en-GB" w:eastAsia="en-AU"/>
        </w:rPr>
        <w:t>‘</w:t>
      </w:r>
      <w:r w:rsidR="38532B14" w:rsidRPr="00577D62">
        <w:rPr>
          <w:lang w:val="en-GB" w:eastAsia="en-AU"/>
        </w:rPr>
        <w:t>overfished</w:t>
      </w:r>
      <w:r w:rsidRPr="00577D62">
        <w:rPr>
          <w:lang w:val="en-GB" w:eastAsia="en-AU"/>
        </w:rPr>
        <w:t>’</w:t>
      </w:r>
      <w:r w:rsidR="63F75D8E" w:rsidRPr="00577D62">
        <w:rPr>
          <w:lang w:val="en-GB" w:eastAsia="en-AU"/>
        </w:rPr>
        <w:t>.</w:t>
      </w:r>
    </w:p>
    <w:p w14:paraId="3FB3228A" w14:textId="161E353E" w:rsidR="00DE79AA" w:rsidRPr="00FF6832" w:rsidRDefault="2E7527CA" w:rsidP="00577D62">
      <w:pPr>
        <w:rPr>
          <w:b/>
        </w:rPr>
      </w:pPr>
      <w:r w:rsidRPr="6C914696">
        <w:t>If</w:t>
      </w:r>
      <w:r w:rsidR="351E4BC1" w:rsidRPr="6C914696">
        <w:t xml:space="preserve"> a stock assessment provides a</w:t>
      </w:r>
      <w:r w:rsidR="6BC45EFB" w:rsidRPr="6C914696">
        <w:t xml:space="preserve"> </w:t>
      </w:r>
      <w:r w:rsidR="5D455060" w:rsidRPr="6C914696">
        <w:t>direct</w:t>
      </w:r>
      <w:r w:rsidR="351E4BC1" w:rsidRPr="6C914696">
        <w:t xml:space="preserve"> estimate of </w:t>
      </w:r>
      <w:proofErr w:type="spellStart"/>
      <w:r w:rsidR="1B2034C5" w:rsidRPr="6C914696">
        <w:t>B</w:t>
      </w:r>
      <w:r w:rsidR="1B2034C5" w:rsidRPr="6C914696">
        <w:rPr>
          <w:i/>
        </w:rPr>
        <w:t>msy</w:t>
      </w:r>
      <w:proofErr w:type="spellEnd"/>
      <w:r w:rsidR="1B2034C5" w:rsidRPr="6C914696">
        <w:t xml:space="preserve">, </w:t>
      </w:r>
      <w:proofErr w:type="spellStart"/>
      <w:r w:rsidR="1B2034C5" w:rsidRPr="6C914696">
        <w:rPr>
          <w:lang w:val="en-GB" w:eastAsia="en-AU"/>
        </w:rPr>
        <w:t>B</w:t>
      </w:r>
      <w:r w:rsidR="1B2034C5" w:rsidRPr="6C914696">
        <w:rPr>
          <w:i/>
          <w:lang w:val="en-GB" w:eastAsia="en-AU"/>
        </w:rPr>
        <w:t>mey</w:t>
      </w:r>
      <w:proofErr w:type="spellEnd"/>
      <w:r w:rsidR="1B2034C5" w:rsidRPr="6C914696">
        <w:rPr>
          <w:i/>
          <w:lang w:val="en-GB" w:eastAsia="en-AU"/>
        </w:rPr>
        <w:t xml:space="preserve"> </w:t>
      </w:r>
      <w:r w:rsidR="1B2034C5" w:rsidRPr="6C914696">
        <w:rPr>
          <w:lang w:val="en-GB" w:eastAsia="en-AU"/>
        </w:rPr>
        <w:t>or B</w:t>
      </w:r>
      <w:r w:rsidR="1B2034C5" w:rsidRPr="6C914696">
        <w:rPr>
          <w:i/>
          <w:lang w:val="en-GB" w:eastAsia="en-AU"/>
        </w:rPr>
        <w:t>lim</w:t>
      </w:r>
      <w:r w:rsidR="5D455060" w:rsidRPr="6C914696">
        <w:rPr>
          <w:lang w:val="en-GB" w:eastAsia="en-AU"/>
        </w:rPr>
        <w:t xml:space="preserve">, these may be used to </w:t>
      </w:r>
      <w:r w:rsidR="0A3CCF57" w:rsidRPr="6C914696">
        <w:rPr>
          <w:lang w:val="en-GB" w:eastAsia="en-AU"/>
        </w:rPr>
        <w:t>re</w:t>
      </w:r>
      <w:r w:rsidR="5D455060" w:rsidRPr="6C914696">
        <w:rPr>
          <w:lang w:val="en-GB" w:eastAsia="en-AU"/>
        </w:rPr>
        <w:t xml:space="preserve">place </w:t>
      </w:r>
      <w:r w:rsidR="6BC45EFB" w:rsidRPr="6C914696">
        <w:rPr>
          <w:lang w:val="en-GB" w:eastAsia="en-AU"/>
        </w:rPr>
        <w:t xml:space="preserve">the </w:t>
      </w:r>
      <w:r w:rsidR="053CBC8B" w:rsidRPr="6C914696">
        <w:rPr>
          <w:lang w:val="en-GB" w:eastAsia="en-AU"/>
        </w:rPr>
        <w:t>respective</w:t>
      </w:r>
      <w:r w:rsidR="1B2034C5" w:rsidRPr="6C914696">
        <w:rPr>
          <w:lang w:val="en-GB" w:eastAsia="en-AU"/>
        </w:rPr>
        <w:t xml:space="preserve"> prox</w:t>
      </w:r>
      <w:r w:rsidR="6BC45EFB" w:rsidRPr="6C914696">
        <w:rPr>
          <w:lang w:val="en-GB" w:eastAsia="en-AU"/>
        </w:rPr>
        <w:t>y values</w:t>
      </w:r>
      <w:r w:rsidR="1B2034C5" w:rsidRPr="6C914696">
        <w:rPr>
          <w:lang w:val="en-GB" w:eastAsia="en-AU"/>
        </w:rPr>
        <w:t xml:space="preserve"> of B</w:t>
      </w:r>
      <w:r w:rsidR="1B2034C5" w:rsidRPr="6C914696">
        <w:rPr>
          <w:vertAlign w:val="subscript"/>
          <w:lang w:val="en-GB" w:eastAsia="en-AU"/>
        </w:rPr>
        <w:t>40</w:t>
      </w:r>
      <w:r w:rsidR="1B2034C5" w:rsidRPr="6C914696">
        <w:rPr>
          <w:lang w:val="en-GB" w:eastAsia="en-AU"/>
        </w:rPr>
        <w:t>, B</w:t>
      </w:r>
      <w:r w:rsidR="1B2034C5" w:rsidRPr="6C914696">
        <w:rPr>
          <w:vertAlign w:val="subscript"/>
          <w:lang w:val="en-GB" w:eastAsia="en-AU"/>
        </w:rPr>
        <w:t>60</w:t>
      </w:r>
      <w:r w:rsidR="1B2034C5" w:rsidRPr="6C914696">
        <w:rPr>
          <w:lang w:val="en-GB" w:eastAsia="en-AU"/>
        </w:rPr>
        <w:t xml:space="preserve"> and B</w:t>
      </w:r>
      <w:r w:rsidR="1B2034C5" w:rsidRPr="6C914696">
        <w:rPr>
          <w:vertAlign w:val="subscript"/>
          <w:lang w:val="en-GB" w:eastAsia="en-AU"/>
        </w:rPr>
        <w:t>20</w:t>
      </w:r>
      <w:r w:rsidR="053CBC8B" w:rsidRPr="6C914696">
        <w:rPr>
          <w:lang w:val="en-GB" w:eastAsia="en-AU"/>
        </w:rPr>
        <w:t xml:space="preserve">. </w:t>
      </w:r>
    </w:p>
    <w:p w14:paraId="2AF6CF92" w14:textId="32F57056" w:rsidR="4AA9A211" w:rsidRPr="0064474B" w:rsidRDefault="4AA9A211" w:rsidP="00577D62">
      <w:pPr>
        <w:rPr>
          <w:lang w:eastAsia="en-AU"/>
        </w:rPr>
      </w:pPr>
      <w:r w:rsidRPr="00EE6B4C">
        <w:rPr>
          <w:lang w:val="en-GB" w:eastAsia="en-AU"/>
        </w:rPr>
        <w:t xml:space="preserve">As individual fish stocks in a multi-species fishery are likely to be different in their biological and economic characteristics, the biomass levels that support MEY may vary by species. The </w:t>
      </w:r>
      <w:r w:rsidR="7D5BCE19" w:rsidRPr="00EE6B4C">
        <w:rPr>
          <w:lang w:val="en-GB" w:eastAsia="en-AU"/>
        </w:rPr>
        <w:t>GO</w:t>
      </w:r>
      <w:r w:rsidRPr="00EE6B4C">
        <w:rPr>
          <w:lang w:val="en-GB" w:eastAsia="en-AU"/>
        </w:rPr>
        <w:t xml:space="preserve">CIF is a multi-species fishery with high species co-catch and there are multiple species for which the distribution of stocks overlaps with adjacent management jurisdictions (i.e. Northern Territory). </w:t>
      </w:r>
      <w:r w:rsidR="00EE6B4C" w:rsidRPr="00EE6B4C">
        <w:rPr>
          <w:lang w:eastAsia="en-AU"/>
        </w:rPr>
        <w:t xml:space="preserve">Due to these complexities, setting targets may be dependent on a variety of factors that will need to be </w:t>
      </w:r>
      <w:r w:rsidR="00EE6B4C" w:rsidRPr="0064474B">
        <w:rPr>
          <w:lang w:eastAsia="en-AU"/>
        </w:rPr>
        <w:t>prioritised to achieve the fishery objectives.</w:t>
      </w:r>
    </w:p>
    <w:p w14:paraId="22F9611B" w14:textId="38B6F0D6" w:rsidR="00E436C5" w:rsidRDefault="4AA9A211" w:rsidP="00577D62">
      <w:pPr>
        <w:rPr>
          <w:lang w:val="en-GB" w:eastAsia="en-AU"/>
        </w:rPr>
      </w:pPr>
      <w:r w:rsidRPr="0064474B">
        <w:rPr>
          <w:lang w:val="en-GB" w:eastAsia="en-AU"/>
        </w:rPr>
        <w:t>To avoid this, the strategy provides for a B</w:t>
      </w:r>
      <w:r w:rsidRPr="0064474B">
        <w:rPr>
          <w:i/>
          <w:lang w:val="en-GB" w:eastAsia="en-AU"/>
        </w:rPr>
        <w:t>targ</w:t>
      </w:r>
      <w:r w:rsidRPr="0064474B">
        <w:rPr>
          <w:lang w:val="en-GB" w:eastAsia="en-AU"/>
        </w:rPr>
        <w:t xml:space="preserve"> level for tier 2 species of between 50% and 60% of unfished spawning biomass</w:t>
      </w:r>
      <w:r w:rsidR="004B6D1A" w:rsidRPr="0064474B">
        <w:rPr>
          <w:lang w:val="en-GB" w:eastAsia="en-AU"/>
        </w:rPr>
        <w:t>,</w:t>
      </w:r>
      <w:r w:rsidRPr="0064474B">
        <w:rPr>
          <w:lang w:val="en-GB" w:eastAsia="en-AU"/>
        </w:rPr>
        <w:t xml:space="preserve"> where 60% may be impracticable. This approach is consistent with the Queensland harvest strategy policy, and the proposed biomass level of 50–60% (as a relative abundance proxy for MEY) is defined by Punt et al.</w:t>
      </w:r>
      <w:r w:rsidRPr="0064474B">
        <w:rPr>
          <w:rStyle w:val="FootnoteReference"/>
          <w:rFonts w:asciiTheme="minorHAnsi" w:eastAsia="Times New Roman" w:hAnsiTheme="minorHAnsi"/>
          <w:sz w:val="22"/>
          <w:szCs w:val="22"/>
          <w:lang w:val="en-GB" w:eastAsia="en-AU"/>
        </w:rPr>
        <w:footnoteReference w:id="2"/>
      </w:r>
      <w:r w:rsidRPr="0064474B">
        <w:rPr>
          <w:lang w:val="en-GB" w:eastAsia="en-AU"/>
        </w:rPr>
        <w:t xml:space="preserve"> </w:t>
      </w:r>
      <w:r w:rsidR="00564E71" w:rsidRPr="0064474B">
        <w:rPr>
          <w:lang w:val="en-GB" w:eastAsia="en-AU"/>
        </w:rPr>
        <w:t xml:space="preserve">Where the lower biomass target is </w:t>
      </w:r>
      <w:r w:rsidR="00564E71" w:rsidRPr="0064474B">
        <w:rPr>
          <w:lang w:val="en-GB" w:eastAsia="en-AU"/>
        </w:rPr>
        <w:lastRenderedPageBreak/>
        <w:t xml:space="preserve">used, </w:t>
      </w:r>
      <w:r w:rsidR="003566CB" w:rsidRPr="0064474B">
        <w:rPr>
          <w:lang w:val="en-GB" w:eastAsia="en-AU"/>
        </w:rPr>
        <w:t>consideration to the risk of stock biomass falling below B</w:t>
      </w:r>
      <w:r w:rsidR="003566CB" w:rsidRPr="0064474B">
        <w:rPr>
          <w:i/>
          <w:lang w:val="en-GB" w:eastAsia="en-AU"/>
        </w:rPr>
        <w:t>lim</w:t>
      </w:r>
      <w:r w:rsidR="003566CB" w:rsidRPr="0064474B">
        <w:rPr>
          <w:lang w:val="en-GB" w:eastAsia="en-AU"/>
        </w:rPr>
        <w:t>, as well as any impacts to fishing satisfaction of other sectors, must be considered.</w:t>
      </w:r>
    </w:p>
    <w:p w14:paraId="4271DA15" w14:textId="213991A4" w:rsidR="4AA9A211" w:rsidRDefault="00EA444E" w:rsidP="00577D62">
      <w:pPr>
        <w:rPr>
          <w:lang w:val="en-GB" w:eastAsia="en-AU"/>
        </w:rPr>
      </w:pPr>
      <w:r w:rsidRPr="00C55F58">
        <w:rPr>
          <w:lang w:val="en-GB" w:eastAsia="en-AU"/>
        </w:rPr>
        <w:t xml:space="preserve">In some circumstances, </w:t>
      </w:r>
      <w:r w:rsidR="5270A8FF" w:rsidRPr="00C55F58">
        <w:rPr>
          <w:lang w:val="en-GB" w:eastAsia="en-AU"/>
        </w:rPr>
        <w:t>B</w:t>
      </w:r>
      <w:r w:rsidR="5270A8FF" w:rsidRPr="00C55F58">
        <w:rPr>
          <w:i/>
          <w:lang w:val="en-GB" w:eastAsia="en-AU"/>
        </w:rPr>
        <w:t>targ</w:t>
      </w:r>
      <w:r w:rsidR="437122A5" w:rsidRPr="00C55F58">
        <w:rPr>
          <w:i/>
          <w:lang w:val="en-GB" w:eastAsia="en-AU"/>
        </w:rPr>
        <w:t xml:space="preserve"> </w:t>
      </w:r>
      <w:r w:rsidR="00B21D46" w:rsidRPr="00C55F58">
        <w:rPr>
          <w:lang w:val="en-GB" w:eastAsia="en-AU"/>
        </w:rPr>
        <w:t xml:space="preserve">may need to be </w:t>
      </w:r>
      <w:r w:rsidR="004F1035" w:rsidRPr="00C55F58">
        <w:rPr>
          <w:lang w:val="en-GB" w:eastAsia="en-AU"/>
        </w:rPr>
        <w:t xml:space="preserve">set lower </w:t>
      </w:r>
      <w:r w:rsidR="00AF5850" w:rsidRPr="00C55F58">
        <w:rPr>
          <w:lang w:val="en-GB" w:eastAsia="en-AU"/>
        </w:rPr>
        <w:t>then 50–60%</w:t>
      </w:r>
      <w:r w:rsidR="00BF44F5" w:rsidRPr="00C55F58">
        <w:rPr>
          <w:lang w:val="en-GB" w:eastAsia="en-AU"/>
        </w:rPr>
        <w:t xml:space="preserve"> </w:t>
      </w:r>
      <w:r w:rsidR="5270A8FF" w:rsidRPr="00C55F58">
        <w:rPr>
          <w:lang w:val="en-GB" w:eastAsia="en-AU"/>
        </w:rPr>
        <w:t xml:space="preserve">to </w:t>
      </w:r>
      <w:r w:rsidR="004D1A12" w:rsidRPr="00C55F58">
        <w:rPr>
          <w:lang w:val="en-GB" w:eastAsia="en-AU"/>
        </w:rPr>
        <w:t>account for</w:t>
      </w:r>
      <w:r w:rsidR="72001D71" w:rsidRPr="00C55F58">
        <w:rPr>
          <w:lang w:val="en-GB" w:eastAsia="en-AU"/>
        </w:rPr>
        <w:t xml:space="preserve"> cross jurisdictional management</w:t>
      </w:r>
      <w:r w:rsidR="00AE6C10" w:rsidRPr="00C55F58">
        <w:rPr>
          <w:lang w:val="en-GB" w:eastAsia="en-AU"/>
        </w:rPr>
        <w:t xml:space="preserve"> of a stock</w:t>
      </w:r>
      <w:r w:rsidR="00B21D46" w:rsidRPr="00C55F58">
        <w:rPr>
          <w:lang w:val="en-GB" w:eastAsia="en-AU"/>
        </w:rPr>
        <w:t xml:space="preserve">. </w:t>
      </w:r>
      <w:r w:rsidR="005E6858" w:rsidRPr="00C55F58">
        <w:rPr>
          <w:lang w:val="en-GB" w:eastAsia="en-AU"/>
        </w:rPr>
        <w:t>If a</w:t>
      </w:r>
      <w:r w:rsidR="008D4AA9" w:rsidRPr="00C55F58">
        <w:rPr>
          <w:lang w:val="en-GB" w:eastAsia="en-AU"/>
        </w:rPr>
        <w:t xml:space="preserve"> further reduction in B</w:t>
      </w:r>
      <w:r w:rsidR="008D4AA9" w:rsidRPr="00C55F58">
        <w:rPr>
          <w:i/>
          <w:lang w:val="en-GB" w:eastAsia="en-AU"/>
        </w:rPr>
        <w:t xml:space="preserve">targ </w:t>
      </w:r>
      <w:r w:rsidR="008D4AA9" w:rsidRPr="00C55F58">
        <w:rPr>
          <w:lang w:val="en-GB" w:eastAsia="en-AU"/>
        </w:rPr>
        <w:t xml:space="preserve">is considered, </w:t>
      </w:r>
      <w:r w:rsidR="009420D7" w:rsidRPr="00C55F58">
        <w:rPr>
          <w:lang w:val="en-GB" w:eastAsia="en-AU"/>
        </w:rPr>
        <w:t xml:space="preserve">all jurisdictions should agree to the appropriate </w:t>
      </w:r>
      <w:r w:rsidR="00F36C59" w:rsidRPr="00C55F58">
        <w:rPr>
          <w:lang w:val="en-GB" w:eastAsia="en-AU"/>
        </w:rPr>
        <w:t xml:space="preserve">biomass levels and ensure consistent management </w:t>
      </w:r>
      <w:r w:rsidR="00AA4F56" w:rsidRPr="00C55F58">
        <w:rPr>
          <w:lang w:val="en-GB" w:eastAsia="en-AU"/>
        </w:rPr>
        <w:t>arrangements</w:t>
      </w:r>
      <w:r w:rsidR="00F36C59" w:rsidRPr="00C55F58">
        <w:rPr>
          <w:lang w:val="en-GB" w:eastAsia="en-AU"/>
        </w:rPr>
        <w:t xml:space="preserve"> will be </w:t>
      </w:r>
      <w:r w:rsidR="00AA4F56" w:rsidRPr="00C55F58">
        <w:rPr>
          <w:lang w:val="en-GB" w:eastAsia="en-AU"/>
        </w:rPr>
        <w:t>in place</w:t>
      </w:r>
      <w:r w:rsidR="00F36C59" w:rsidRPr="00C55F58">
        <w:rPr>
          <w:lang w:val="en-GB" w:eastAsia="en-AU"/>
        </w:rPr>
        <w:t xml:space="preserve"> to </w:t>
      </w:r>
      <w:r w:rsidR="00AA4F56" w:rsidRPr="00C55F58">
        <w:rPr>
          <w:lang w:val="en-GB" w:eastAsia="en-AU"/>
        </w:rPr>
        <w:t>achieve the set</w:t>
      </w:r>
      <w:r w:rsidR="00C55F58" w:rsidRPr="00C55F58">
        <w:rPr>
          <w:lang w:val="en-GB" w:eastAsia="en-AU"/>
        </w:rPr>
        <w:t xml:space="preserve"> biomass</w:t>
      </w:r>
      <w:r w:rsidR="00AA4F56" w:rsidRPr="00C55F58">
        <w:rPr>
          <w:lang w:val="en-GB" w:eastAsia="en-AU"/>
        </w:rPr>
        <w:t xml:space="preserve"> target.</w:t>
      </w:r>
      <w:r w:rsidR="009420D7" w:rsidRPr="00C55F58">
        <w:rPr>
          <w:lang w:val="en-GB" w:eastAsia="en-AU"/>
        </w:rPr>
        <w:t xml:space="preserve"> </w:t>
      </w:r>
      <w:r w:rsidR="004F1035" w:rsidRPr="00C55F58">
        <w:rPr>
          <w:lang w:val="en-GB" w:eastAsia="en-AU"/>
        </w:rPr>
        <w:t xml:space="preserve"> In these circumstances, B</w:t>
      </w:r>
      <w:r w:rsidR="004F1035" w:rsidRPr="00C55F58">
        <w:rPr>
          <w:i/>
          <w:lang w:val="en-GB" w:eastAsia="en-AU"/>
        </w:rPr>
        <w:t>targ</w:t>
      </w:r>
      <w:r w:rsidR="004F1035" w:rsidRPr="00C55F58">
        <w:rPr>
          <w:lang w:val="en-GB" w:eastAsia="en-AU"/>
        </w:rPr>
        <w:t xml:space="preserve"> must never be lower than </w:t>
      </w:r>
      <w:proofErr w:type="spellStart"/>
      <w:r w:rsidR="004F1035" w:rsidRPr="00C55F58">
        <w:rPr>
          <w:lang w:val="en-GB" w:eastAsia="en-AU"/>
        </w:rPr>
        <w:t>B</w:t>
      </w:r>
      <w:r w:rsidR="004F1035" w:rsidRPr="00C55F58">
        <w:rPr>
          <w:i/>
          <w:lang w:val="en-GB" w:eastAsia="en-AU"/>
        </w:rPr>
        <w:t>msy</w:t>
      </w:r>
      <w:proofErr w:type="spellEnd"/>
      <w:r w:rsidR="004F1035" w:rsidRPr="00C55F58">
        <w:rPr>
          <w:lang w:val="en-GB" w:eastAsia="en-AU"/>
        </w:rPr>
        <w:t xml:space="preserve"> and detailed consideration to the risk of stock biomass falling below B</w:t>
      </w:r>
      <w:r w:rsidR="004F1035" w:rsidRPr="00C55F58">
        <w:rPr>
          <w:i/>
          <w:lang w:val="en-GB" w:eastAsia="en-AU"/>
        </w:rPr>
        <w:t>lim</w:t>
      </w:r>
      <w:r w:rsidR="004F1035" w:rsidRPr="00C55F58">
        <w:rPr>
          <w:lang w:val="en-GB" w:eastAsia="en-AU"/>
        </w:rPr>
        <w:t>, as well as any impacts to fishing satisfaction of other sectors, must be considered.</w:t>
      </w:r>
    </w:p>
    <w:p w14:paraId="7C447719" w14:textId="131F13BA" w:rsidR="00E50D0C" w:rsidRDefault="4AA9A211" w:rsidP="00577D62">
      <w:pPr>
        <w:rPr>
          <w:lang w:val="en-GB" w:eastAsia="en-AU"/>
        </w:rPr>
      </w:pPr>
      <w:r w:rsidRPr="6C914696">
        <w:rPr>
          <w:lang w:val="en-GB" w:eastAsia="en-AU"/>
        </w:rPr>
        <w:t>For tier 2 species with TACC</w:t>
      </w:r>
      <w:r w:rsidR="58A55F46" w:rsidRPr="6C914696">
        <w:rPr>
          <w:lang w:val="en-GB" w:eastAsia="en-AU"/>
        </w:rPr>
        <w:t>s</w:t>
      </w:r>
      <w:r w:rsidR="26AA5E00" w:rsidRPr="6C914696">
        <w:rPr>
          <w:lang w:val="en-GB" w:eastAsia="en-AU"/>
        </w:rPr>
        <w:t xml:space="preserve"> </w:t>
      </w:r>
      <w:r w:rsidR="00A7589F">
        <w:rPr>
          <w:lang w:val="en-GB" w:eastAsia="en-AU"/>
        </w:rPr>
        <w:t>not based on biomass estimates from a stock assessment,</w:t>
      </w:r>
      <w:r w:rsidR="26AA5E00" w:rsidRPr="6C914696">
        <w:rPr>
          <w:lang w:val="en-GB" w:eastAsia="en-AU"/>
        </w:rPr>
        <w:t xml:space="preserve"> </w:t>
      </w:r>
      <w:r w:rsidR="00B91C34">
        <w:rPr>
          <w:lang w:val="en-GB" w:eastAsia="en-AU"/>
        </w:rPr>
        <w:t>trigger</w:t>
      </w:r>
      <w:r w:rsidR="26AA5E00" w:rsidRPr="6C914696">
        <w:rPr>
          <w:lang w:val="en-GB" w:eastAsia="en-AU"/>
        </w:rPr>
        <w:t xml:space="preserve"> reference point</w:t>
      </w:r>
      <w:r w:rsidR="00B91C34">
        <w:rPr>
          <w:lang w:val="en-GB" w:eastAsia="en-AU"/>
        </w:rPr>
        <w:t>s</w:t>
      </w:r>
      <w:r w:rsidR="00AD789E">
        <w:rPr>
          <w:lang w:val="en-GB" w:eastAsia="en-AU"/>
        </w:rPr>
        <w:t xml:space="preserve"> are required </w:t>
      </w:r>
      <w:r w:rsidR="00303424">
        <w:rPr>
          <w:lang w:val="en-GB" w:eastAsia="en-AU"/>
        </w:rPr>
        <w:t xml:space="preserve">to monitor and </w:t>
      </w:r>
      <w:r w:rsidR="00E50D0C">
        <w:rPr>
          <w:lang w:val="en-GB" w:eastAsia="en-AU"/>
        </w:rPr>
        <w:t xml:space="preserve">respond to changes </w:t>
      </w:r>
      <w:r w:rsidR="00A12EC6">
        <w:rPr>
          <w:lang w:val="en-GB" w:eastAsia="en-AU"/>
        </w:rPr>
        <w:t>in</w:t>
      </w:r>
      <w:r w:rsidR="00E50D0C">
        <w:rPr>
          <w:lang w:val="en-GB" w:eastAsia="en-AU"/>
        </w:rPr>
        <w:t xml:space="preserve"> stock performance. </w:t>
      </w:r>
    </w:p>
    <w:p w14:paraId="5467B4BB" w14:textId="4EC4413F" w:rsidR="60F08A2F" w:rsidRDefault="60F08A2F" w:rsidP="00BB2046">
      <w:pPr>
        <w:rPr>
          <w:lang w:val="en-GB" w:eastAsia="en-AU"/>
        </w:rPr>
      </w:pPr>
      <w:r w:rsidRPr="6C914696">
        <w:rPr>
          <w:lang w:val="en-GB" w:eastAsia="en-AU"/>
        </w:rPr>
        <w:t>For</w:t>
      </w:r>
      <w:r w:rsidR="00C4564D">
        <w:rPr>
          <w:lang w:val="en-GB" w:eastAsia="en-AU"/>
        </w:rPr>
        <w:t xml:space="preserve"> </w:t>
      </w:r>
      <w:r w:rsidRPr="6C914696">
        <w:rPr>
          <w:lang w:val="en-GB" w:eastAsia="en-AU"/>
        </w:rPr>
        <w:t>tier 3 species, trigger reference points are used to monitor annual fishing mortality</w:t>
      </w:r>
      <w:r w:rsidR="00F00457">
        <w:rPr>
          <w:lang w:val="en-GB" w:eastAsia="en-AU"/>
        </w:rPr>
        <w:t xml:space="preserve"> in relation to </w:t>
      </w:r>
      <w:r w:rsidR="00DE2244">
        <w:rPr>
          <w:lang w:val="en-GB" w:eastAsia="en-AU"/>
        </w:rPr>
        <w:t xml:space="preserve">a historic reference period of </w:t>
      </w:r>
      <w:r w:rsidR="0064474B">
        <w:rPr>
          <w:lang w:val="en-GB" w:eastAsia="en-AU"/>
        </w:rPr>
        <w:t>2012-2021</w:t>
      </w:r>
      <w:r w:rsidRPr="6C914696">
        <w:rPr>
          <w:lang w:val="en-GB" w:eastAsia="en-AU"/>
        </w:rPr>
        <w:t xml:space="preserve">. </w:t>
      </w:r>
    </w:p>
    <w:p w14:paraId="405DB2F9" w14:textId="3CCB5B19" w:rsidR="00074590" w:rsidRDefault="5FD09778" w:rsidP="00BB2046">
      <w:pPr>
        <w:rPr>
          <w:b/>
          <w:szCs w:val="18"/>
        </w:rPr>
      </w:pPr>
      <w:r w:rsidRPr="6C914696">
        <w:rPr>
          <w:lang w:val="en-GB" w:eastAsia="en-AU"/>
        </w:rPr>
        <w:t>A summary of the GOCIF’s performance indicators and reference points</w:t>
      </w:r>
      <w:r w:rsidR="00D06331">
        <w:rPr>
          <w:lang w:val="en-GB" w:eastAsia="en-AU"/>
        </w:rPr>
        <w:t xml:space="preserve"> </w:t>
      </w:r>
      <w:r w:rsidR="0E991A2E" w:rsidRPr="6C914696">
        <w:rPr>
          <w:lang w:val="en-GB" w:eastAsia="en-AU"/>
        </w:rPr>
        <w:t xml:space="preserve">are </w:t>
      </w:r>
      <w:r w:rsidRPr="6C914696">
        <w:rPr>
          <w:lang w:val="en-GB" w:eastAsia="en-AU"/>
        </w:rPr>
        <w:t>provided in Table 4.</w:t>
      </w:r>
    </w:p>
    <w:p w14:paraId="51AF9F3E" w14:textId="6429E512" w:rsidR="00B53E69" w:rsidRPr="0010104B" w:rsidRDefault="63F75D8E" w:rsidP="0010104B">
      <w:pPr>
        <w:pStyle w:val="Caption"/>
      </w:pPr>
      <w:r>
        <w:t xml:space="preserve">Table 4: Performance indicators and reference points for the </w:t>
      </w:r>
      <w:r w:rsidR="002D6BB3">
        <w:t>Gulf of Carpentaria Inshore Fishery.</w:t>
      </w:r>
    </w:p>
    <w:tbl>
      <w:tblPr>
        <w:tblStyle w:val="TableGrid"/>
        <w:tblW w:w="9735" w:type="dxa"/>
        <w:tblBorders>
          <w:top w:val="single" w:sz="4" w:space="0" w:color="005672"/>
          <w:left w:val="none" w:sz="0" w:space="0" w:color="auto"/>
          <w:bottom w:val="single" w:sz="4" w:space="0" w:color="005672"/>
          <w:right w:val="none" w:sz="0" w:space="0" w:color="auto"/>
          <w:insideH w:val="single" w:sz="4" w:space="0" w:color="005672"/>
          <w:insideV w:val="none" w:sz="0" w:space="0" w:color="auto"/>
        </w:tblBorders>
        <w:tblLayout w:type="fixed"/>
        <w:tblLook w:val="04A0" w:firstRow="1" w:lastRow="0" w:firstColumn="1" w:lastColumn="0" w:noHBand="0" w:noVBand="1"/>
      </w:tblPr>
      <w:tblGrid>
        <w:gridCol w:w="1965"/>
        <w:gridCol w:w="2640"/>
        <w:gridCol w:w="1635"/>
        <w:gridCol w:w="2151"/>
        <w:gridCol w:w="1344"/>
      </w:tblGrid>
      <w:tr w:rsidR="6C914696" w14:paraId="4AAA0182" w14:textId="77777777" w:rsidTr="00037B47">
        <w:tc>
          <w:tcPr>
            <w:tcW w:w="1965" w:type="dxa"/>
            <w:vMerge w:val="restart"/>
            <w:shd w:val="clear" w:color="auto" w:fill="005672"/>
          </w:tcPr>
          <w:p w14:paraId="425E070B" w14:textId="27DCA275" w:rsidR="6C914696" w:rsidRPr="002034CF" w:rsidRDefault="6C914696" w:rsidP="00037B47">
            <w:pPr>
              <w:spacing w:before="60" w:after="60"/>
              <w:rPr>
                <w:rFonts w:cs="Noto Sans"/>
                <w:b/>
                <w:color w:val="FFFFFF" w:themeColor="background1"/>
                <w:sz w:val="18"/>
                <w:szCs w:val="18"/>
              </w:rPr>
            </w:pPr>
            <w:r w:rsidRPr="002034CF">
              <w:rPr>
                <w:rFonts w:cs="Noto Sans"/>
                <w:b/>
                <w:color w:val="FFFFFF" w:themeColor="background1"/>
                <w:sz w:val="18"/>
                <w:szCs w:val="18"/>
              </w:rPr>
              <w:t>Species</w:t>
            </w:r>
            <w:r w:rsidR="33EDC040" w:rsidRPr="002034CF">
              <w:rPr>
                <w:rFonts w:cs="Noto Sans"/>
                <w:b/>
                <w:color w:val="FFFFFF" w:themeColor="background1"/>
                <w:sz w:val="18"/>
                <w:szCs w:val="18"/>
              </w:rPr>
              <w:t>/</w:t>
            </w:r>
            <w:r w:rsidR="0ABAC4D5" w:rsidRPr="002034CF">
              <w:rPr>
                <w:rFonts w:cs="Noto Sans"/>
                <w:b/>
                <w:color w:val="FFFFFF" w:themeColor="background1"/>
                <w:sz w:val="18"/>
                <w:szCs w:val="18"/>
              </w:rPr>
              <w:t>T</w:t>
            </w:r>
            <w:r w:rsidRPr="002034CF">
              <w:rPr>
                <w:rFonts w:cs="Noto Sans"/>
                <w:b/>
                <w:color w:val="FFFFFF" w:themeColor="background1"/>
                <w:sz w:val="18"/>
                <w:szCs w:val="18"/>
              </w:rPr>
              <w:t>ier</w:t>
            </w:r>
          </w:p>
        </w:tc>
        <w:tc>
          <w:tcPr>
            <w:tcW w:w="2640" w:type="dxa"/>
            <w:vMerge w:val="restart"/>
            <w:tcBorders>
              <w:bottom w:val="single" w:sz="4" w:space="0" w:color="005672"/>
            </w:tcBorders>
            <w:shd w:val="clear" w:color="auto" w:fill="005672"/>
          </w:tcPr>
          <w:p w14:paraId="47A6810E" w14:textId="2520CC91" w:rsidR="6C914696" w:rsidRPr="002034CF" w:rsidRDefault="6C914696" w:rsidP="00037B47">
            <w:pPr>
              <w:spacing w:before="60" w:after="60"/>
              <w:rPr>
                <w:rFonts w:cs="Noto Sans"/>
                <w:b/>
                <w:color w:val="FFFFFF" w:themeColor="background1"/>
                <w:sz w:val="18"/>
                <w:szCs w:val="18"/>
              </w:rPr>
            </w:pPr>
            <w:r w:rsidRPr="002034CF">
              <w:rPr>
                <w:rFonts w:cs="Noto Sans"/>
                <w:b/>
                <w:color w:val="FFFFFF" w:themeColor="background1"/>
                <w:sz w:val="18"/>
                <w:szCs w:val="18"/>
              </w:rPr>
              <w:t>Performance indicator</w:t>
            </w:r>
          </w:p>
        </w:tc>
        <w:tc>
          <w:tcPr>
            <w:tcW w:w="5130" w:type="dxa"/>
            <w:gridSpan w:val="3"/>
            <w:tcBorders>
              <w:bottom w:val="single" w:sz="4" w:space="0" w:color="005672"/>
            </w:tcBorders>
            <w:shd w:val="clear" w:color="auto" w:fill="005672"/>
          </w:tcPr>
          <w:p w14:paraId="44C9D593" w14:textId="59420B44" w:rsidR="0D5DCE97" w:rsidRPr="002034CF" w:rsidRDefault="0D5DCE97" w:rsidP="00037B47">
            <w:pPr>
              <w:spacing w:before="60" w:after="60"/>
              <w:jc w:val="center"/>
              <w:rPr>
                <w:rFonts w:cs="Noto Sans"/>
                <w:b/>
                <w:color w:val="FFFFFF" w:themeColor="background1"/>
                <w:sz w:val="18"/>
                <w:szCs w:val="18"/>
              </w:rPr>
            </w:pPr>
            <w:r w:rsidRPr="002034CF">
              <w:rPr>
                <w:rFonts w:cs="Noto Sans"/>
                <w:b/>
                <w:color w:val="FFFFFF" w:themeColor="background1"/>
                <w:sz w:val="18"/>
                <w:szCs w:val="18"/>
              </w:rPr>
              <w:t xml:space="preserve">Type of </w:t>
            </w:r>
            <w:r w:rsidR="6C914696" w:rsidRPr="002034CF">
              <w:rPr>
                <w:rFonts w:cs="Noto Sans"/>
                <w:b/>
                <w:color w:val="FFFFFF" w:themeColor="background1"/>
                <w:sz w:val="18"/>
                <w:szCs w:val="18"/>
              </w:rPr>
              <w:t>reference point</w:t>
            </w:r>
          </w:p>
        </w:tc>
      </w:tr>
      <w:tr w:rsidR="6C914696" w14:paraId="3C47E5CF" w14:textId="77777777" w:rsidTr="00037B47">
        <w:tc>
          <w:tcPr>
            <w:tcW w:w="1965" w:type="dxa"/>
            <w:vMerge/>
            <w:tcBorders>
              <w:bottom w:val="nil"/>
            </w:tcBorders>
            <w:shd w:val="clear" w:color="auto" w:fill="005672"/>
          </w:tcPr>
          <w:p w14:paraId="76AD3B55" w14:textId="77777777" w:rsidR="00A822EF" w:rsidRPr="002034CF" w:rsidRDefault="00A822EF" w:rsidP="00037B47">
            <w:pPr>
              <w:spacing w:before="60" w:after="60"/>
              <w:rPr>
                <w:rFonts w:cs="Noto Sans"/>
                <w:color w:val="FFFFFF" w:themeColor="background1"/>
                <w:sz w:val="18"/>
                <w:szCs w:val="18"/>
              </w:rPr>
            </w:pPr>
          </w:p>
        </w:tc>
        <w:tc>
          <w:tcPr>
            <w:tcW w:w="2640" w:type="dxa"/>
            <w:vMerge/>
            <w:tcBorders>
              <w:bottom w:val="nil"/>
            </w:tcBorders>
            <w:shd w:val="clear" w:color="auto" w:fill="005672"/>
          </w:tcPr>
          <w:p w14:paraId="21339AE9" w14:textId="77777777" w:rsidR="00A822EF" w:rsidRPr="002034CF" w:rsidRDefault="00A822EF" w:rsidP="00037B47">
            <w:pPr>
              <w:spacing w:before="60" w:after="60"/>
              <w:rPr>
                <w:rFonts w:cs="Noto Sans"/>
                <w:color w:val="FFFFFF" w:themeColor="background1"/>
                <w:sz w:val="18"/>
                <w:szCs w:val="18"/>
              </w:rPr>
            </w:pPr>
          </w:p>
        </w:tc>
        <w:tc>
          <w:tcPr>
            <w:tcW w:w="1635" w:type="dxa"/>
            <w:tcBorders>
              <w:bottom w:val="nil"/>
            </w:tcBorders>
            <w:shd w:val="clear" w:color="auto" w:fill="005672"/>
          </w:tcPr>
          <w:p w14:paraId="24A0A387" w14:textId="62093FFD" w:rsidR="6C914696" w:rsidRPr="002034CF" w:rsidRDefault="6C914696" w:rsidP="006D27FD">
            <w:pPr>
              <w:spacing w:before="60" w:after="60"/>
              <w:jc w:val="center"/>
              <w:rPr>
                <w:rFonts w:cs="Noto Sans"/>
                <w:b/>
                <w:color w:val="FFFFFF" w:themeColor="background1"/>
                <w:sz w:val="18"/>
                <w:szCs w:val="18"/>
              </w:rPr>
            </w:pPr>
            <w:r w:rsidRPr="002034CF">
              <w:rPr>
                <w:rFonts w:cs="Noto Sans"/>
                <w:b/>
                <w:color w:val="FFFFFF" w:themeColor="background1"/>
                <w:sz w:val="18"/>
                <w:szCs w:val="18"/>
              </w:rPr>
              <w:t>Target</w:t>
            </w:r>
            <w:r w:rsidR="6F580EBF" w:rsidRPr="002034CF">
              <w:rPr>
                <w:rFonts w:cs="Noto Sans"/>
                <w:b/>
                <w:color w:val="FFFFFF" w:themeColor="background1"/>
                <w:sz w:val="18"/>
                <w:szCs w:val="18"/>
              </w:rPr>
              <w:t xml:space="preserve"> (B</w:t>
            </w:r>
            <w:r w:rsidR="6F580EBF" w:rsidRPr="002034CF">
              <w:rPr>
                <w:rFonts w:cs="Noto Sans"/>
                <w:b/>
                <w:i/>
                <w:color w:val="FFFFFF" w:themeColor="background1"/>
                <w:sz w:val="18"/>
                <w:szCs w:val="18"/>
              </w:rPr>
              <w:t>targ</w:t>
            </w:r>
            <w:r w:rsidR="6F580EBF" w:rsidRPr="002034CF">
              <w:rPr>
                <w:rFonts w:cs="Noto Sans"/>
                <w:b/>
                <w:color w:val="FFFFFF" w:themeColor="background1"/>
                <w:sz w:val="18"/>
                <w:szCs w:val="18"/>
              </w:rPr>
              <w:t>)</w:t>
            </w:r>
          </w:p>
        </w:tc>
        <w:tc>
          <w:tcPr>
            <w:tcW w:w="2151" w:type="dxa"/>
            <w:tcBorders>
              <w:bottom w:val="nil"/>
            </w:tcBorders>
            <w:shd w:val="clear" w:color="auto" w:fill="005672"/>
          </w:tcPr>
          <w:p w14:paraId="36583F0B" w14:textId="2AA37D88" w:rsidR="6C914696" w:rsidRPr="002034CF" w:rsidRDefault="6C914696" w:rsidP="006D27FD">
            <w:pPr>
              <w:spacing w:before="60" w:after="60"/>
              <w:jc w:val="center"/>
              <w:rPr>
                <w:rFonts w:cs="Noto Sans"/>
                <w:color w:val="FFFFFF" w:themeColor="background1"/>
                <w:sz w:val="18"/>
                <w:szCs w:val="18"/>
              </w:rPr>
            </w:pPr>
            <w:r w:rsidRPr="002034CF">
              <w:rPr>
                <w:rFonts w:cs="Noto Sans"/>
                <w:b/>
                <w:color w:val="FFFFFF" w:themeColor="background1"/>
                <w:sz w:val="18"/>
                <w:szCs w:val="18"/>
              </w:rPr>
              <w:t>Trigger</w:t>
            </w:r>
          </w:p>
        </w:tc>
        <w:tc>
          <w:tcPr>
            <w:tcW w:w="1344" w:type="dxa"/>
            <w:tcBorders>
              <w:bottom w:val="nil"/>
            </w:tcBorders>
            <w:shd w:val="clear" w:color="auto" w:fill="005672"/>
          </w:tcPr>
          <w:p w14:paraId="07D0BB3B" w14:textId="54804F11" w:rsidR="6C914696" w:rsidRPr="002034CF" w:rsidRDefault="6C914696" w:rsidP="006D27FD">
            <w:pPr>
              <w:spacing w:before="60" w:after="60"/>
              <w:jc w:val="center"/>
              <w:rPr>
                <w:rFonts w:cs="Noto Sans"/>
                <w:b/>
                <w:color w:val="FFFFFF" w:themeColor="background1"/>
                <w:sz w:val="18"/>
                <w:szCs w:val="18"/>
              </w:rPr>
            </w:pPr>
            <w:r w:rsidRPr="002034CF">
              <w:rPr>
                <w:rFonts w:cs="Noto Sans"/>
                <w:b/>
                <w:color w:val="FFFFFF" w:themeColor="background1"/>
                <w:sz w:val="18"/>
                <w:szCs w:val="18"/>
              </w:rPr>
              <w:t>Limit</w:t>
            </w:r>
            <w:r w:rsidR="42C0F506" w:rsidRPr="002034CF">
              <w:rPr>
                <w:rFonts w:cs="Noto Sans"/>
                <w:b/>
                <w:color w:val="FFFFFF" w:themeColor="background1"/>
                <w:sz w:val="18"/>
                <w:szCs w:val="18"/>
              </w:rPr>
              <w:t xml:space="preserve"> (B</w:t>
            </w:r>
            <w:r w:rsidR="42C0F506" w:rsidRPr="002034CF">
              <w:rPr>
                <w:rFonts w:cs="Noto Sans"/>
                <w:b/>
                <w:i/>
                <w:color w:val="FFFFFF" w:themeColor="background1"/>
                <w:sz w:val="18"/>
                <w:szCs w:val="18"/>
              </w:rPr>
              <w:t>lim</w:t>
            </w:r>
            <w:r w:rsidR="42C0F506" w:rsidRPr="002034CF">
              <w:rPr>
                <w:rFonts w:cs="Noto Sans"/>
                <w:b/>
                <w:color w:val="FFFFFF" w:themeColor="background1"/>
                <w:sz w:val="18"/>
                <w:szCs w:val="18"/>
              </w:rPr>
              <w:t>)</w:t>
            </w:r>
          </w:p>
        </w:tc>
      </w:tr>
      <w:tr w:rsidR="6C914696" w14:paraId="582D2A5D" w14:textId="77777777" w:rsidTr="00037B47">
        <w:trPr>
          <w:trHeight w:val="405"/>
        </w:trPr>
        <w:tc>
          <w:tcPr>
            <w:tcW w:w="1965" w:type="dxa"/>
            <w:tcBorders>
              <w:top w:val="nil"/>
            </w:tcBorders>
          </w:tcPr>
          <w:p w14:paraId="3CB8B48B" w14:textId="4745AEB5" w:rsidR="6C914696" w:rsidRPr="002034CF" w:rsidRDefault="6C914696" w:rsidP="00037B47">
            <w:pPr>
              <w:spacing w:before="60" w:after="60"/>
              <w:rPr>
                <w:rFonts w:cs="Noto Sans"/>
                <w:color w:val="000000" w:themeColor="text1"/>
                <w:sz w:val="18"/>
                <w:szCs w:val="18"/>
              </w:rPr>
            </w:pPr>
            <w:r w:rsidRPr="002034CF">
              <w:rPr>
                <w:rFonts w:cs="Noto Sans"/>
                <w:color w:val="000000" w:themeColor="text1"/>
                <w:sz w:val="18"/>
                <w:szCs w:val="18"/>
              </w:rPr>
              <w:t>Tier 1</w:t>
            </w:r>
          </w:p>
        </w:tc>
        <w:tc>
          <w:tcPr>
            <w:tcW w:w="2640" w:type="dxa"/>
            <w:tcBorders>
              <w:top w:val="nil"/>
            </w:tcBorders>
          </w:tcPr>
          <w:p w14:paraId="4173CFF8" w14:textId="1F3BFC23" w:rsidR="3498ECCE" w:rsidRPr="002034CF" w:rsidRDefault="3498ECCE" w:rsidP="00037B47">
            <w:pPr>
              <w:spacing w:before="60" w:after="60"/>
              <w:rPr>
                <w:rFonts w:cs="Noto Sans"/>
                <w:color w:val="000000" w:themeColor="text1"/>
                <w:sz w:val="18"/>
                <w:szCs w:val="18"/>
              </w:rPr>
            </w:pPr>
            <w:r w:rsidRPr="002034CF">
              <w:rPr>
                <w:rFonts w:cs="Noto Sans"/>
                <w:color w:val="000000" w:themeColor="text1"/>
                <w:sz w:val="18"/>
                <w:szCs w:val="18"/>
              </w:rPr>
              <w:t>Spawning stock biomass</w:t>
            </w:r>
          </w:p>
        </w:tc>
        <w:tc>
          <w:tcPr>
            <w:tcW w:w="1635" w:type="dxa"/>
            <w:tcBorders>
              <w:top w:val="nil"/>
            </w:tcBorders>
          </w:tcPr>
          <w:p w14:paraId="154D9698" w14:textId="7B42D7EF" w:rsidR="6C914696" w:rsidRPr="002034CF" w:rsidRDefault="6C914696" w:rsidP="006D27FD">
            <w:pPr>
              <w:spacing w:before="60" w:after="60"/>
              <w:jc w:val="center"/>
              <w:rPr>
                <w:rFonts w:cs="Noto Sans"/>
                <w:sz w:val="18"/>
                <w:szCs w:val="18"/>
              </w:rPr>
            </w:pPr>
            <w:r w:rsidRPr="002034CF">
              <w:rPr>
                <w:rFonts w:cs="Noto Sans"/>
                <w:color w:val="000000" w:themeColor="text1"/>
                <w:sz w:val="18"/>
                <w:szCs w:val="18"/>
              </w:rPr>
              <w:t xml:space="preserve">60% </w:t>
            </w:r>
            <w:r w:rsidR="0DB99426" w:rsidRPr="002034CF">
              <w:rPr>
                <w:rFonts w:cs="Noto Sans"/>
                <w:sz w:val="18"/>
                <w:szCs w:val="18"/>
              </w:rPr>
              <w:t>(</w:t>
            </w:r>
            <w:proofErr w:type="spellStart"/>
            <w:r w:rsidR="0DB99426" w:rsidRPr="002034CF">
              <w:rPr>
                <w:rFonts w:cs="Noto Sans"/>
                <w:sz w:val="18"/>
                <w:szCs w:val="18"/>
              </w:rPr>
              <w:t>B</w:t>
            </w:r>
            <w:r w:rsidR="0DB99426" w:rsidRPr="002034CF">
              <w:rPr>
                <w:rFonts w:cs="Noto Sans"/>
                <w:i/>
                <w:sz w:val="18"/>
                <w:szCs w:val="18"/>
              </w:rPr>
              <w:t>mey</w:t>
            </w:r>
            <w:proofErr w:type="spellEnd"/>
            <w:r w:rsidR="0DB99426" w:rsidRPr="002034CF">
              <w:rPr>
                <w:rFonts w:cs="Noto Sans"/>
                <w:sz w:val="18"/>
                <w:szCs w:val="18"/>
              </w:rPr>
              <w:t>)</w:t>
            </w:r>
          </w:p>
        </w:tc>
        <w:tc>
          <w:tcPr>
            <w:tcW w:w="2151" w:type="dxa"/>
            <w:tcBorders>
              <w:top w:val="nil"/>
            </w:tcBorders>
          </w:tcPr>
          <w:p w14:paraId="1EA95385" w14:textId="1C1F0E71" w:rsidR="6C914696" w:rsidRPr="002034CF" w:rsidRDefault="6C914696" w:rsidP="006D27FD">
            <w:pPr>
              <w:spacing w:before="60" w:after="60"/>
              <w:jc w:val="center"/>
              <w:rPr>
                <w:rFonts w:cs="Noto Sans"/>
                <w:color w:val="000000" w:themeColor="text1"/>
                <w:sz w:val="18"/>
                <w:szCs w:val="18"/>
              </w:rPr>
            </w:pPr>
            <w:r w:rsidRPr="002034CF">
              <w:rPr>
                <w:rFonts w:cs="Noto Sans"/>
                <w:color w:val="000000" w:themeColor="text1"/>
                <w:sz w:val="18"/>
                <w:szCs w:val="18"/>
              </w:rPr>
              <w:t>-</w:t>
            </w:r>
          </w:p>
        </w:tc>
        <w:tc>
          <w:tcPr>
            <w:tcW w:w="1344" w:type="dxa"/>
            <w:tcBorders>
              <w:top w:val="nil"/>
            </w:tcBorders>
          </w:tcPr>
          <w:p w14:paraId="27F5A17A" w14:textId="2759460D" w:rsidR="6C914696" w:rsidRPr="002034CF" w:rsidRDefault="6C914696" w:rsidP="006D27FD">
            <w:pPr>
              <w:spacing w:before="60" w:after="60"/>
              <w:jc w:val="center"/>
              <w:rPr>
                <w:rFonts w:cs="Noto Sans"/>
                <w:sz w:val="18"/>
                <w:szCs w:val="18"/>
              </w:rPr>
            </w:pPr>
            <w:r w:rsidRPr="002034CF">
              <w:rPr>
                <w:rFonts w:cs="Noto Sans"/>
                <w:color w:val="000000" w:themeColor="text1"/>
                <w:sz w:val="18"/>
                <w:szCs w:val="18"/>
              </w:rPr>
              <w:t>20%</w:t>
            </w:r>
          </w:p>
        </w:tc>
      </w:tr>
      <w:tr w:rsidR="6C914696" w14:paraId="3FA3C8B8" w14:textId="77777777" w:rsidTr="002034CF">
        <w:trPr>
          <w:trHeight w:val="405"/>
        </w:trPr>
        <w:tc>
          <w:tcPr>
            <w:tcW w:w="1965" w:type="dxa"/>
          </w:tcPr>
          <w:p w14:paraId="54550CB5" w14:textId="2BE93F2C" w:rsidR="6C914696" w:rsidRPr="002034CF" w:rsidRDefault="6C914696" w:rsidP="00037B47">
            <w:pPr>
              <w:spacing w:before="60" w:after="60"/>
              <w:rPr>
                <w:rFonts w:cs="Noto Sans"/>
                <w:color w:val="000000" w:themeColor="text1"/>
                <w:sz w:val="18"/>
                <w:szCs w:val="18"/>
              </w:rPr>
            </w:pPr>
            <w:r w:rsidRPr="002034CF">
              <w:rPr>
                <w:rFonts w:cs="Noto Sans"/>
                <w:color w:val="000000" w:themeColor="text1"/>
                <w:sz w:val="18"/>
                <w:szCs w:val="18"/>
              </w:rPr>
              <w:t xml:space="preserve">Tier 2 </w:t>
            </w:r>
          </w:p>
        </w:tc>
        <w:tc>
          <w:tcPr>
            <w:tcW w:w="2640" w:type="dxa"/>
          </w:tcPr>
          <w:p w14:paraId="224612DD" w14:textId="0B462F6C" w:rsidR="2CBEBBD2" w:rsidRPr="002034CF" w:rsidRDefault="2CBEBBD2" w:rsidP="00037B47">
            <w:pPr>
              <w:spacing w:before="60" w:after="60"/>
              <w:rPr>
                <w:rFonts w:cs="Noto Sans"/>
                <w:color w:val="000000" w:themeColor="text1"/>
                <w:sz w:val="18"/>
                <w:szCs w:val="18"/>
              </w:rPr>
            </w:pPr>
            <w:r w:rsidRPr="002034CF">
              <w:rPr>
                <w:rFonts w:cs="Noto Sans"/>
                <w:color w:val="000000" w:themeColor="text1"/>
                <w:sz w:val="18"/>
                <w:szCs w:val="18"/>
              </w:rPr>
              <w:t>Spawning stock biomass</w:t>
            </w:r>
          </w:p>
        </w:tc>
        <w:tc>
          <w:tcPr>
            <w:tcW w:w="1635" w:type="dxa"/>
          </w:tcPr>
          <w:p w14:paraId="60989D06" w14:textId="19E6E8E6" w:rsidR="6C914696" w:rsidRPr="002034CF" w:rsidRDefault="6C914696" w:rsidP="006D27FD">
            <w:pPr>
              <w:spacing w:before="60" w:after="60"/>
              <w:jc w:val="center"/>
              <w:rPr>
                <w:rFonts w:cs="Noto Sans"/>
                <w:color w:val="000000" w:themeColor="text1"/>
                <w:sz w:val="18"/>
                <w:szCs w:val="18"/>
              </w:rPr>
            </w:pPr>
            <w:r w:rsidRPr="002034CF">
              <w:rPr>
                <w:rFonts w:cs="Noto Sans"/>
                <w:color w:val="000000" w:themeColor="text1"/>
                <w:sz w:val="18"/>
                <w:szCs w:val="18"/>
              </w:rPr>
              <w:t>50% - 60%</w:t>
            </w:r>
          </w:p>
        </w:tc>
        <w:tc>
          <w:tcPr>
            <w:tcW w:w="2151" w:type="dxa"/>
          </w:tcPr>
          <w:p w14:paraId="38253CDE" w14:textId="02A70A5C" w:rsidR="6C914696" w:rsidRPr="002034CF" w:rsidRDefault="6C914696" w:rsidP="006D27FD">
            <w:pPr>
              <w:spacing w:before="60" w:after="60"/>
              <w:jc w:val="center"/>
              <w:rPr>
                <w:rFonts w:cs="Noto Sans"/>
                <w:color w:val="000000" w:themeColor="text1"/>
                <w:sz w:val="18"/>
                <w:szCs w:val="18"/>
              </w:rPr>
            </w:pPr>
            <w:r w:rsidRPr="002034CF">
              <w:rPr>
                <w:rFonts w:cs="Noto Sans"/>
                <w:color w:val="000000" w:themeColor="text1"/>
                <w:sz w:val="18"/>
                <w:szCs w:val="18"/>
              </w:rPr>
              <w:t>-</w:t>
            </w:r>
          </w:p>
        </w:tc>
        <w:tc>
          <w:tcPr>
            <w:tcW w:w="1344" w:type="dxa"/>
          </w:tcPr>
          <w:p w14:paraId="03DF51C8" w14:textId="1FE834BF" w:rsidR="6C914696" w:rsidRPr="002034CF" w:rsidRDefault="6C914696" w:rsidP="006D27FD">
            <w:pPr>
              <w:spacing w:before="60" w:after="60"/>
              <w:jc w:val="center"/>
              <w:rPr>
                <w:rFonts w:cs="Noto Sans"/>
                <w:color w:val="000000" w:themeColor="text1"/>
                <w:sz w:val="18"/>
                <w:szCs w:val="18"/>
              </w:rPr>
            </w:pPr>
            <w:r w:rsidRPr="002034CF">
              <w:rPr>
                <w:rFonts w:cs="Noto Sans"/>
                <w:color w:val="000000" w:themeColor="text1"/>
                <w:sz w:val="18"/>
                <w:szCs w:val="18"/>
              </w:rPr>
              <w:t>20%</w:t>
            </w:r>
          </w:p>
        </w:tc>
      </w:tr>
      <w:tr w:rsidR="005C0F3A" w14:paraId="29C83F79" w14:textId="77777777" w:rsidTr="002034CF">
        <w:trPr>
          <w:trHeight w:val="405"/>
        </w:trPr>
        <w:tc>
          <w:tcPr>
            <w:tcW w:w="1965" w:type="dxa"/>
          </w:tcPr>
          <w:p w14:paraId="41159B43" w14:textId="1C632B9E" w:rsidR="005C0F3A" w:rsidRPr="002034CF" w:rsidRDefault="001F41B9" w:rsidP="00037B47">
            <w:pPr>
              <w:spacing w:before="60" w:after="60"/>
              <w:rPr>
                <w:rFonts w:cs="Noto Sans"/>
                <w:color w:val="000000" w:themeColor="text1"/>
                <w:sz w:val="18"/>
                <w:szCs w:val="18"/>
              </w:rPr>
            </w:pPr>
            <w:commentRangeStart w:id="28"/>
            <w:r>
              <w:rPr>
                <w:rFonts w:cs="Noto Sans"/>
                <w:color w:val="000000" w:themeColor="text1"/>
                <w:sz w:val="18"/>
                <w:szCs w:val="18"/>
              </w:rPr>
              <w:t>K</w:t>
            </w:r>
            <w:r w:rsidR="005C2CA1">
              <w:rPr>
                <w:rFonts w:cs="Noto Sans"/>
                <w:color w:val="000000" w:themeColor="text1"/>
                <w:sz w:val="18"/>
                <w:szCs w:val="18"/>
              </w:rPr>
              <w:t>ing threadfin</w:t>
            </w:r>
          </w:p>
        </w:tc>
        <w:tc>
          <w:tcPr>
            <w:tcW w:w="2640" w:type="dxa"/>
          </w:tcPr>
          <w:p w14:paraId="74F22743" w14:textId="789C870F" w:rsidR="005C0F3A" w:rsidRPr="002034CF" w:rsidRDefault="005C2CA1" w:rsidP="00037B47">
            <w:pPr>
              <w:spacing w:before="60" w:after="60"/>
              <w:rPr>
                <w:rFonts w:cs="Noto Sans"/>
                <w:color w:val="000000" w:themeColor="text1"/>
                <w:sz w:val="18"/>
                <w:szCs w:val="18"/>
              </w:rPr>
            </w:pPr>
            <w:r>
              <w:rPr>
                <w:rFonts w:cs="Noto Sans"/>
                <w:color w:val="000000" w:themeColor="text1"/>
                <w:sz w:val="18"/>
                <w:szCs w:val="18"/>
              </w:rPr>
              <w:t>Spawning stock biomass</w:t>
            </w:r>
          </w:p>
        </w:tc>
        <w:tc>
          <w:tcPr>
            <w:tcW w:w="1635" w:type="dxa"/>
          </w:tcPr>
          <w:p w14:paraId="08D931F3" w14:textId="3A07FC6E" w:rsidR="005C0F3A" w:rsidRPr="002034CF" w:rsidRDefault="005C2CA1" w:rsidP="006D27FD">
            <w:pPr>
              <w:spacing w:before="60" w:after="60"/>
              <w:jc w:val="center"/>
              <w:rPr>
                <w:rFonts w:cs="Noto Sans"/>
                <w:color w:val="000000" w:themeColor="text1"/>
                <w:sz w:val="18"/>
                <w:szCs w:val="18"/>
              </w:rPr>
            </w:pPr>
            <w:r>
              <w:rPr>
                <w:rFonts w:cs="Noto Sans"/>
                <w:color w:val="000000" w:themeColor="text1"/>
                <w:sz w:val="18"/>
                <w:szCs w:val="18"/>
              </w:rPr>
              <w:t>40%</w:t>
            </w:r>
          </w:p>
        </w:tc>
        <w:tc>
          <w:tcPr>
            <w:tcW w:w="2151" w:type="dxa"/>
          </w:tcPr>
          <w:p w14:paraId="0F5DED74" w14:textId="5F6BD390" w:rsidR="005C0F3A" w:rsidRPr="002034CF" w:rsidRDefault="005C2CA1" w:rsidP="006D27FD">
            <w:pPr>
              <w:spacing w:before="60" w:after="60"/>
              <w:jc w:val="center"/>
              <w:rPr>
                <w:rFonts w:cs="Noto Sans"/>
                <w:color w:val="000000" w:themeColor="text1"/>
                <w:sz w:val="18"/>
                <w:szCs w:val="18"/>
              </w:rPr>
            </w:pPr>
            <w:r>
              <w:rPr>
                <w:rFonts w:cs="Noto Sans"/>
                <w:color w:val="000000" w:themeColor="text1"/>
                <w:sz w:val="18"/>
                <w:szCs w:val="18"/>
              </w:rPr>
              <w:t>-</w:t>
            </w:r>
          </w:p>
        </w:tc>
        <w:tc>
          <w:tcPr>
            <w:tcW w:w="1344" w:type="dxa"/>
          </w:tcPr>
          <w:p w14:paraId="216B3B22" w14:textId="41044614" w:rsidR="005C0F3A" w:rsidRPr="002034CF" w:rsidRDefault="005C2CA1" w:rsidP="006D27FD">
            <w:pPr>
              <w:spacing w:before="60" w:after="60"/>
              <w:jc w:val="center"/>
              <w:rPr>
                <w:rFonts w:cs="Noto Sans"/>
                <w:color w:val="000000" w:themeColor="text1"/>
                <w:sz w:val="18"/>
                <w:szCs w:val="18"/>
              </w:rPr>
            </w:pPr>
            <w:r>
              <w:rPr>
                <w:rFonts w:cs="Noto Sans"/>
                <w:color w:val="000000" w:themeColor="text1"/>
                <w:sz w:val="18"/>
                <w:szCs w:val="18"/>
              </w:rPr>
              <w:t>20%</w:t>
            </w:r>
            <w:commentRangeEnd w:id="28"/>
            <w:r w:rsidR="0005407C">
              <w:rPr>
                <w:rStyle w:val="CommentReference"/>
              </w:rPr>
              <w:commentReference w:id="28"/>
            </w:r>
          </w:p>
        </w:tc>
      </w:tr>
      <w:tr w:rsidR="6C914696" w14:paraId="1855A100" w14:textId="77777777" w:rsidTr="002034CF">
        <w:tc>
          <w:tcPr>
            <w:tcW w:w="1965" w:type="dxa"/>
          </w:tcPr>
          <w:p w14:paraId="13630BE7" w14:textId="0F290B30" w:rsidR="6C914696" w:rsidRPr="002034CF" w:rsidRDefault="6C914696" w:rsidP="00037B47">
            <w:pPr>
              <w:spacing w:before="60" w:after="60"/>
              <w:rPr>
                <w:rFonts w:cs="Noto Sans"/>
                <w:color w:val="000000" w:themeColor="text1"/>
                <w:sz w:val="18"/>
                <w:szCs w:val="18"/>
              </w:rPr>
            </w:pPr>
            <w:r w:rsidRPr="002034CF">
              <w:rPr>
                <w:rFonts w:cs="Noto Sans"/>
                <w:color w:val="000000" w:themeColor="text1"/>
                <w:sz w:val="18"/>
                <w:szCs w:val="18"/>
              </w:rPr>
              <w:t xml:space="preserve">Tier 2 </w:t>
            </w:r>
            <w:r w:rsidR="00046185" w:rsidRPr="002034CF">
              <w:rPr>
                <w:rFonts w:cs="Noto Sans"/>
                <w:color w:val="000000" w:themeColor="text1"/>
                <w:sz w:val="18"/>
                <w:szCs w:val="18"/>
              </w:rPr>
              <w:t>(without stock assessment)</w:t>
            </w:r>
          </w:p>
        </w:tc>
        <w:tc>
          <w:tcPr>
            <w:tcW w:w="2640" w:type="dxa"/>
          </w:tcPr>
          <w:p w14:paraId="63999AC3" w14:textId="48CCF34C" w:rsidR="58AF907B" w:rsidRPr="002034CF" w:rsidRDefault="00D56FCA" w:rsidP="00037B47">
            <w:pPr>
              <w:spacing w:before="60" w:after="60"/>
              <w:rPr>
                <w:rFonts w:cs="Noto Sans"/>
                <w:color w:val="000000" w:themeColor="text1"/>
                <w:sz w:val="18"/>
                <w:szCs w:val="18"/>
              </w:rPr>
            </w:pPr>
            <w:r w:rsidRPr="002034CF">
              <w:rPr>
                <w:rFonts w:cs="Noto Sans"/>
                <w:color w:val="000000" w:themeColor="text1"/>
                <w:sz w:val="18"/>
                <w:szCs w:val="18"/>
              </w:rPr>
              <w:t>Ca</w:t>
            </w:r>
            <w:r w:rsidR="6C914696" w:rsidRPr="002034CF">
              <w:rPr>
                <w:rFonts w:cs="Noto Sans"/>
                <w:color w:val="000000" w:themeColor="text1"/>
                <w:sz w:val="18"/>
                <w:szCs w:val="18"/>
              </w:rPr>
              <w:t>tch rate</w:t>
            </w:r>
          </w:p>
        </w:tc>
        <w:tc>
          <w:tcPr>
            <w:tcW w:w="1635" w:type="dxa"/>
          </w:tcPr>
          <w:p w14:paraId="4D2567C9" w14:textId="2C2B5491" w:rsidR="6C914696" w:rsidRPr="002034CF" w:rsidRDefault="6C914696" w:rsidP="00037B47">
            <w:pPr>
              <w:spacing w:before="60" w:after="60"/>
              <w:jc w:val="center"/>
              <w:rPr>
                <w:rFonts w:cs="Noto Sans"/>
                <w:color w:val="000000" w:themeColor="text1"/>
                <w:sz w:val="18"/>
                <w:szCs w:val="18"/>
              </w:rPr>
            </w:pPr>
            <w:r w:rsidRPr="002034CF">
              <w:rPr>
                <w:rFonts w:cs="Noto Sans"/>
                <w:color w:val="000000" w:themeColor="text1"/>
                <w:sz w:val="18"/>
                <w:szCs w:val="18"/>
              </w:rPr>
              <w:t>-</w:t>
            </w:r>
          </w:p>
        </w:tc>
        <w:tc>
          <w:tcPr>
            <w:tcW w:w="2151" w:type="dxa"/>
          </w:tcPr>
          <w:p w14:paraId="6336E420" w14:textId="799E90E2" w:rsidR="6C914696" w:rsidRPr="002034CF" w:rsidRDefault="6C914696" w:rsidP="006D27FD">
            <w:pPr>
              <w:spacing w:before="60" w:after="60"/>
              <w:jc w:val="center"/>
              <w:rPr>
                <w:rFonts w:cs="Noto Sans"/>
                <w:color w:val="000000" w:themeColor="text1"/>
                <w:sz w:val="18"/>
                <w:szCs w:val="18"/>
              </w:rPr>
            </w:pPr>
            <w:r w:rsidRPr="002034CF">
              <w:rPr>
                <w:rFonts w:cs="Noto Sans"/>
                <w:color w:val="000000" w:themeColor="text1"/>
                <w:sz w:val="18"/>
                <w:szCs w:val="18"/>
              </w:rPr>
              <w:t>Increase/</w:t>
            </w:r>
            <w:r w:rsidR="10059C27" w:rsidRPr="002034CF">
              <w:rPr>
                <w:rFonts w:cs="Noto Sans"/>
                <w:color w:val="000000" w:themeColor="text1"/>
                <w:sz w:val="18"/>
                <w:szCs w:val="18"/>
              </w:rPr>
              <w:t>d</w:t>
            </w:r>
            <w:r w:rsidRPr="002034CF">
              <w:rPr>
                <w:rFonts w:cs="Noto Sans"/>
                <w:color w:val="000000" w:themeColor="text1"/>
                <w:sz w:val="18"/>
                <w:szCs w:val="18"/>
              </w:rPr>
              <w:t xml:space="preserve">ecrease in annual </w:t>
            </w:r>
            <w:r w:rsidR="099F05C3" w:rsidRPr="002034CF">
              <w:rPr>
                <w:rFonts w:cs="Noto Sans"/>
                <w:color w:val="000000" w:themeColor="text1"/>
                <w:sz w:val="18"/>
                <w:szCs w:val="18"/>
              </w:rPr>
              <w:t xml:space="preserve">commercial </w:t>
            </w:r>
            <w:r w:rsidRPr="002034CF">
              <w:rPr>
                <w:rFonts w:cs="Noto Sans"/>
                <w:color w:val="000000" w:themeColor="text1"/>
                <w:sz w:val="18"/>
                <w:szCs w:val="18"/>
              </w:rPr>
              <w:t>catch rate</w:t>
            </w:r>
          </w:p>
        </w:tc>
        <w:tc>
          <w:tcPr>
            <w:tcW w:w="1344" w:type="dxa"/>
          </w:tcPr>
          <w:p w14:paraId="549EFBFD" w14:textId="70288E49" w:rsidR="6C914696" w:rsidRPr="002034CF" w:rsidRDefault="6C914696" w:rsidP="006D27FD">
            <w:pPr>
              <w:spacing w:before="60" w:after="60"/>
              <w:jc w:val="center"/>
              <w:rPr>
                <w:rFonts w:cs="Noto Sans"/>
                <w:color w:val="000000" w:themeColor="text1"/>
                <w:sz w:val="18"/>
                <w:szCs w:val="18"/>
              </w:rPr>
            </w:pPr>
            <w:r w:rsidRPr="002034CF">
              <w:rPr>
                <w:rFonts w:cs="Noto Sans"/>
                <w:color w:val="000000" w:themeColor="text1"/>
                <w:sz w:val="18"/>
                <w:szCs w:val="18"/>
              </w:rPr>
              <w:t>-</w:t>
            </w:r>
          </w:p>
        </w:tc>
      </w:tr>
      <w:tr w:rsidR="00F837F6" w14:paraId="5AAD7402" w14:textId="77777777" w:rsidTr="002034CF">
        <w:tc>
          <w:tcPr>
            <w:tcW w:w="1965" w:type="dxa"/>
          </w:tcPr>
          <w:p w14:paraId="557648D2" w14:textId="68E0337B" w:rsidR="00F837F6" w:rsidRPr="002034CF" w:rsidRDefault="00F837F6" w:rsidP="00037B47">
            <w:pPr>
              <w:spacing w:before="60" w:after="60"/>
              <w:rPr>
                <w:rFonts w:cs="Noto Sans"/>
                <w:color w:val="000000" w:themeColor="text1"/>
                <w:sz w:val="18"/>
                <w:szCs w:val="18"/>
              </w:rPr>
            </w:pPr>
            <w:r w:rsidRPr="002034CF">
              <w:rPr>
                <w:rFonts w:cs="Noto Sans"/>
                <w:color w:val="000000" w:themeColor="text1"/>
                <w:sz w:val="18"/>
                <w:szCs w:val="18"/>
              </w:rPr>
              <w:t>Tier 3</w:t>
            </w:r>
          </w:p>
        </w:tc>
        <w:tc>
          <w:tcPr>
            <w:tcW w:w="2640" w:type="dxa"/>
          </w:tcPr>
          <w:p w14:paraId="35D48837" w14:textId="077E1E40" w:rsidR="00F837F6" w:rsidRPr="002034CF" w:rsidRDefault="00E81732" w:rsidP="00037B47">
            <w:pPr>
              <w:spacing w:before="60" w:after="60"/>
              <w:rPr>
                <w:rFonts w:cs="Noto Sans"/>
                <w:color w:val="000000" w:themeColor="text1"/>
                <w:sz w:val="18"/>
                <w:szCs w:val="18"/>
              </w:rPr>
            </w:pPr>
            <w:r w:rsidRPr="002034CF">
              <w:rPr>
                <w:rFonts w:cs="Noto Sans"/>
                <w:color w:val="000000" w:themeColor="text1"/>
                <w:sz w:val="18"/>
                <w:szCs w:val="18"/>
              </w:rPr>
              <w:t>10</w:t>
            </w:r>
            <w:r w:rsidR="00F837F6" w:rsidRPr="002034CF">
              <w:rPr>
                <w:rFonts w:cs="Noto Sans"/>
                <w:color w:val="000000" w:themeColor="text1"/>
                <w:sz w:val="18"/>
                <w:szCs w:val="18"/>
              </w:rPr>
              <w:t xml:space="preserve">-year reference period </w:t>
            </w:r>
          </w:p>
        </w:tc>
        <w:tc>
          <w:tcPr>
            <w:tcW w:w="1635" w:type="dxa"/>
          </w:tcPr>
          <w:p w14:paraId="357A7D59" w14:textId="162E9667" w:rsidR="00F837F6" w:rsidRPr="002034CF" w:rsidRDefault="00F837F6" w:rsidP="00037B47">
            <w:pPr>
              <w:spacing w:before="60" w:after="60"/>
              <w:jc w:val="center"/>
              <w:rPr>
                <w:rFonts w:cs="Noto Sans"/>
                <w:color w:val="000000" w:themeColor="text1"/>
                <w:sz w:val="18"/>
                <w:szCs w:val="18"/>
              </w:rPr>
            </w:pPr>
            <w:r w:rsidRPr="002034CF">
              <w:rPr>
                <w:rFonts w:cs="Noto Sans"/>
                <w:color w:val="000000" w:themeColor="text1"/>
                <w:sz w:val="18"/>
                <w:szCs w:val="18"/>
              </w:rPr>
              <w:t>-</w:t>
            </w:r>
          </w:p>
        </w:tc>
        <w:tc>
          <w:tcPr>
            <w:tcW w:w="2151" w:type="dxa"/>
          </w:tcPr>
          <w:p w14:paraId="3727913B" w14:textId="44C6308B" w:rsidR="00F837F6" w:rsidRPr="002034CF" w:rsidRDefault="009A79DC" w:rsidP="006D27FD">
            <w:pPr>
              <w:spacing w:before="60" w:after="60"/>
              <w:jc w:val="center"/>
              <w:rPr>
                <w:rFonts w:cs="Noto Sans"/>
                <w:color w:val="000000" w:themeColor="text1"/>
                <w:sz w:val="18"/>
                <w:szCs w:val="18"/>
              </w:rPr>
            </w:pPr>
            <w:r w:rsidRPr="002034CF">
              <w:rPr>
                <w:rFonts w:cs="Noto Sans"/>
                <w:color w:val="000000" w:themeColor="text1"/>
                <w:sz w:val="18"/>
                <w:szCs w:val="18"/>
              </w:rPr>
              <w:t>30</w:t>
            </w:r>
            <w:r w:rsidR="00F837F6" w:rsidRPr="002034CF">
              <w:rPr>
                <w:rFonts w:cs="Noto Sans"/>
                <w:color w:val="000000" w:themeColor="text1"/>
                <w:sz w:val="18"/>
                <w:szCs w:val="18"/>
              </w:rPr>
              <w:t>t catch level</w:t>
            </w:r>
          </w:p>
        </w:tc>
        <w:tc>
          <w:tcPr>
            <w:tcW w:w="1344" w:type="dxa"/>
          </w:tcPr>
          <w:p w14:paraId="03FB4C5E" w14:textId="28F653C0" w:rsidR="00F837F6" w:rsidRPr="002034CF" w:rsidRDefault="00F837F6" w:rsidP="006D27FD">
            <w:pPr>
              <w:spacing w:before="60" w:after="60"/>
              <w:jc w:val="center"/>
              <w:rPr>
                <w:rFonts w:cs="Noto Sans"/>
                <w:color w:val="000000" w:themeColor="text1"/>
                <w:sz w:val="18"/>
                <w:szCs w:val="18"/>
              </w:rPr>
            </w:pPr>
            <w:r w:rsidRPr="002034CF">
              <w:rPr>
                <w:rFonts w:cs="Noto Sans"/>
                <w:color w:val="000000" w:themeColor="text1"/>
                <w:sz w:val="18"/>
                <w:szCs w:val="18"/>
              </w:rPr>
              <w:t>-</w:t>
            </w:r>
          </w:p>
        </w:tc>
      </w:tr>
    </w:tbl>
    <w:p w14:paraId="521A97F4" w14:textId="0B82540A" w:rsidR="372DB6BE" w:rsidRDefault="372DB6BE" w:rsidP="006D27FD">
      <w:pPr>
        <w:pStyle w:val="Heading2"/>
        <w:spacing w:before="240"/>
        <w:rPr>
          <w:rFonts w:eastAsia="Times New Roman"/>
        </w:rPr>
      </w:pPr>
      <w:bookmarkStart w:id="29" w:name="_Toc205215632"/>
      <w:r w:rsidRPr="6C914696">
        <w:t>Application of decision rules</w:t>
      </w:r>
      <w:bookmarkEnd w:id="29"/>
      <w:r w:rsidRPr="6C914696">
        <w:t xml:space="preserve"> </w:t>
      </w:r>
    </w:p>
    <w:p w14:paraId="6D4BF16D" w14:textId="4C35A2A8" w:rsidR="7A6D826F" w:rsidRDefault="0015799D" w:rsidP="006D27FD">
      <w:r>
        <w:t xml:space="preserve">For </w:t>
      </w:r>
      <w:r w:rsidR="0072790B">
        <w:t xml:space="preserve">tier 1 and tier 2 </w:t>
      </w:r>
      <w:r>
        <w:t xml:space="preserve">species with biomass </w:t>
      </w:r>
      <w:r w:rsidR="00845AEC">
        <w:t>estimates from stock assessments, t</w:t>
      </w:r>
      <w:r w:rsidR="7A6D826F" w:rsidRPr="6C914696">
        <w:t>he decision rules for setting TAC limits are based on a ‘hockey stick’ approach. This is where the TAC is set based on a linear relationship between B</w:t>
      </w:r>
      <w:r w:rsidR="7A6D826F" w:rsidRPr="00845AEC">
        <w:rPr>
          <w:i/>
        </w:rPr>
        <w:t>lim</w:t>
      </w:r>
      <w:r w:rsidR="7A6D826F" w:rsidRPr="6C914696">
        <w:t>, where the level of fishing mortality (F) is equal to zero, and B</w:t>
      </w:r>
      <w:r w:rsidR="7A6D826F" w:rsidRPr="00845AEC">
        <w:rPr>
          <w:i/>
        </w:rPr>
        <w:t>targ</w:t>
      </w:r>
      <w:r w:rsidR="7A6D826F" w:rsidRPr="6C914696">
        <w:t>, where the exploitation rate and TAC is set at the level to achieve MEY (Figure 1). The decision rule considers the current biomass level of the stock for determining the TAC to achieve the B</w:t>
      </w:r>
      <w:r w:rsidR="7A6D826F" w:rsidRPr="00845AEC">
        <w:rPr>
          <w:i/>
        </w:rPr>
        <w:t>targ</w:t>
      </w:r>
      <w:r w:rsidR="7A6D826F" w:rsidRPr="6C914696">
        <w:t xml:space="preserve">. </w:t>
      </w:r>
    </w:p>
    <w:p w14:paraId="2A926C93" w14:textId="5E74CBA3" w:rsidR="00A61636" w:rsidRDefault="00A61636" w:rsidP="6C914696">
      <w:pPr>
        <w:spacing w:after="120" w:line="300" w:lineRule="atLeast"/>
        <w:rPr>
          <w:rFonts w:asciiTheme="minorHAnsi" w:eastAsia="Times New Roman" w:hAnsiTheme="minorHAnsi"/>
          <w:sz w:val="22"/>
          <w:szCs w:val="22"/>
        </w:rPr>
      </w:pPr>
      <w:r w:rsidRPr="00B605E7">
        <w:rPr>
          <w:rFonts w:ascii="Times New Roman" w:hAnsi="Times New Roman" w:cs="Times New Roman"/>
          <w:noProof/>
          <w:lang w:eastAsia="en-AU"/>
        </w:rPr>
        <w:lastRenderedPageBreak/>
        <w:drawing>
          <wp:inline distT="0" distB="0" distL="0" distR="0" wp14:anchorId="780F083F" wp14:editId="3726CC4F">
            <wp:extent cx="5220000" cy="2669963"/>
            <wp:effectExtent l="0" t="0" r="0" b="0"/>
            <wp:docPr id="12" name="Picture 12" descr="Figure 1: showing the “hockey stick” rule, Blim is limit reference point, Bmey is the biomass at MEY, B0 is the unfished biomass at 100%, F is fishing mortality and Ftarg is the level of fishing mortality for Bm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78472" name="Picture 12" descr="Figure 1: showing the “hockey stick” rule, Blim is limit reference point, Bmey is the biomass at MEY, B0 is the unfished biomass at 100%, F is fishing mortality and Ftarg is the level of fishing mortality for Bmey"/>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220000" cy="2669963"/>
                    </a:xfrm>
                    <a:prstGeom prst="rect">
                      <a:avLst/>
                    </a:prstGeom>
                    <a:noFill/>
                  </pic:spPr>
                </pic:pic>
              </a:graphicData>
            </a:graphic>
          </wp:inline>
        </w:drawing>
      </w:r>
    </w:p>
    <w:p w14:paraId="5CE64885" w14:textId="77777777" w:rsidR="005E1CC4" w:rsidRDefault="005E1CC4" w:rsidP="006D27FD">
      <w:pPr>
        <w:pStyle w:val="Caption"/>
        <w:spacing w:before="0"/>
      </w:pPr>
      <w:r>
        <w:t>Figure 1</w:t>
      </w:r>
      <w:r w:rsidRPr="00826B4C">
        <w:t>: Showing the ‘hockey stick’ rule – B</w:t>
      </w:r>
      <w:r w:rsidRPr="004E23AF">
        <w:rPr>
          <w:i/>
          <w:iCs w:val="0"/>
        </w:rPr>
        <w:t>lim</w:t>
      </w:r>
      <w:r w:rsidRPr="00826B4C">
        <w:t xml:space="preserve"> is </w:t>
      </w:r>
      <w:proofErr w:type="gramStart"/>
      <w:r w:rsidRPr="00826B4C">
        <w:t>limit</w:t>
      </w:r>
      <w:proofErr w:type="gramEnd"/>
      <w:r w:rsidRPr="00826B4C">
        <w:t xml:space="preserve"> reference point, </w:t>
      </w:r>
      <w:proofErr w:type="spellStart"/>
      <w:r w:rsidRPr="00826B4C">
        <w:t>B</w:t>
      </w:r>
      <w:r>
        <w:rPr>
          <w:i/>
          <w:iCs w:val="0"/>
        </w:rPr>
        <w:t>mey</w:t>
      </w:r>
      <w:proofErr w:type="spellEnd"/>
      <w:r w:rsidRPr="00826B4C">
        <w:t xml:space="preserve"> is the biomass at MEY, B0 is the unfished biomass at 100%, F is fishing mortality and </w:t>
      </w:r>
      <w:proofErr w:type="spellStart"/>
      <w:r w:rsidRPr="00826B4C">
        <w:t>F</w:t>
      </w:r>
      <w:r w:rsidRPr="00900CB9">
        <w:rPr>
          <w:i/>
          <w:iCs w:val="0"/>
        </w:rPr>
        <w:t>targ</w:t>
      </w:r>
      <w:proofErr w:type="spellEnd"/>
      <w:r w:rsidRPr="00826B4C">
        <w:t xml:space="preserve"> is the level of fishing mortality for </w:t>
      </w:r>
      <w:proofErr w:type="spellStart"/>
      <w:r w:rsidRPr="00826B4C">
        <w:t>B</w:t>
      </w:r>
      <w:r w:rsidRPr="00900CB9">
        <w:rPr>
          <w:i/>
          <w:iCs w:val="0"/>
        </w:rPr>
        <w:t>mey</w:t>
      </w:r>
      <w:proofErr w:type="spellEnd"/>
    </w:p>
    <w:p w14:paraId="05B463C1" w14:textId="5690480E" w:rsidR="7A6D826F" w:rsidRDefault="7A6D826F" w:rsidP="006D27FD">
      <w:r w:rsidRPr="6C914696">
        <w:t>The TAC is calculated by applying the rate of fishing mortality to achieve Btarg to the current spawning biomass level. As a result, the TAC represents the total catch from all sectors (including discards) that can be harvested over the following two years to move the biomass level towards the target level.</w:t>
      </w:r>
    </w:p>
    <w:p w14:paraId="7829997B" w14:textId="33FC2C09" w:rsidR="155C128A" w:rsidRDefault="155C128A" w:rsidP="006D27FD">
      <w:r w:rsidRPr="3138BD0A">
        <w:t xml:space="preserve">If the spawning biomass of a stock falls below Blim, targeted fishing of the stock must </w:t>
      </w:r>
      <w:proofErr w:type="gramStart"/>
      <w:r w:rsidRPr="3138BD0A">
        <w:t>cease</w:t>
      </w:r>
      <w:proofErr w:type="gramEnd"/>
      <w:r w:rsidRPr="3138BD0A">
        <w:t xml:space="preserve"> and a rebuilding strategy be developed with an objective to rebuild the spawning biomass above Blim within a biologically reasonable timeframe (e.g. based on mean generation time</w:t>
      </w:r>
      <w:r w:rsidR="1A2BC7BE" w:rsidRPr="3138BD0A">
        <w:t>s</w:t>
      </w:r>
      <w:r w:rsidRPr="3138BD0A">
        <w:t xml:space="preserve">) and as informed by the </w:t>
      </w:r>
      <w:r w:rsidRPr="00DB3194">
        <w:rPr>
          <w:i/>
        </w:rPr>
        <w:t>Queensland Harvest Strategy Policy</w:t>
      </w:r>
      <w:r w:rsidRPr="3138BD0A">
        <w:t xml:space="preserve">. If the fishery is unable to avoid catching the species while targeting other species, a low level of fishing mortality may be accepted through a nominal incidental catch limit, and additional management measures should be considered to support rebuilding. </w:t>
      </w:r>
    </w:p>
    <w:p w14:paraId="0EB607B2" w14:textId="66E4DA33" w:rsidR="00E038BB" w:rsidRDefault="00185AA5" w:rsidP="006D27FD">
      <w:pPr>
        <w:rPr>
          <w:lang w:val="en-GB" w:eastAsia="en-AU"/>
        </w:rPr>
      </w:pPr>
      <w:r w:rsidRPr="6C914696">
        <w:rPr>
          <w:lang w:val="en-GB" w:eastAsia="en-AU"/>
        </w:rPr>
        <w:t xml:space="preserve">For tier 2 species with TACCs </w:t>
      </w:r>
      <w:r>
        <w:rPr>
          <w:lang w:val="en-GB" w:eastAsia="en-AU"/>
        </w:rPr>
        <w:t>not based on biomass estimates from a stock assessment</w:t>
      </w:r>
      <w:r w:rsidR="00F13435">
        <w:rPr>
          <w:lang w:val="en-GB" w:eastAsia="en-AU"/>
        </w:rPr>
        <w:t xml:space="preserve">, trigger reference points are required so annual stock performance is </w:t>
      </w:r>
      <w:proofErr w:type="gramStart"/>
      <w:r w:rsidR="00F13435">
        <w:rPr>
          <w:lang w:val="en-GB" w:eastAsia="en-AU"/>
        </w:rPr>
        <w:t>monitored</w:t>
      </w:r>
      <w:proofErr w:type="gramEnd"/>
      <w:r w:rsidR="00F13435">
        <w:rPr>
          <w:lang w:val="en-GB" w:eastAsia="en-AU"/>
        </w:rPr>
        <w:t xml:space="preserve"> and commercial harvest can be adjusted to pursue the harvest strategy objectives.</w:t>
      </w:r>
      <w:r w:rsidR="00713817">
        <w:rPr>
          <w:lang w:val="en-GB" w:eastAsia="en-AU"/>
        </w:rPr>
        <w:t xml:space="preserve"> A</w:t>
      </w:r>
      <w:r w:rsidR="0072270F">
        <w:rPr>
          <w:lang w:val="en-GB" w:eastAsia="en-AU"/>
        </w:rPr>
        <w:t xml:space="preserve">n annual </w:t>
      </w:r>
      <w:r w:rsidR="00713817">
        <w:rPr>
          <w:lang w:val="en-GB" w:eastAsia="en-AU"/>
        </w:rPr>
        <w:t xml:space="preserve">review </w:t>
      </w:r>
      <w:r w:rsidR="00870286">
        <w:rPr>
          <w:lang w:val="en-GB" w:eastAsia="en-AU"/>
        </w:rPr>
        <w:t xml:space="preserve">of </w:t>
      </w:r>
      <w:r w:rsidR="0072270F">
        <w:rPr>
          <w:lang w:val="en-GB" w:eastAsia="en-AU"/>
        </w:rPr>
        <w:t>commercial harvest and catch rates</w:t>
      </w:r>
      <w:r w:rsidR="00F67E56">
        <w:rPr>
          <w:lang w:val="en-GB" w:eastAsia="en-AU"/>
        </w:rPr>
        <w:t xml:space="preserve"> </w:t>
      </w:r>
      <w:r w:rsidR="005E2258">
        <w:rPr>
          <w:lang w:val="en-GB" w:eastAsia="en-AU"/>
        </w:rPr>
        <w:t>over</w:t>
      </w:r>
      <w:r w:rsidR="00661898">
        <w:rPr>
          <w:lang w:val="en-GB" w:eastAsia="en-AU"/>
        </w:rPr>
        <w:t xml:space="preserve"> a </w:t>
      </w:r>
      <w:r w:rsidR="00FE52CB">
        <w:rPr>
          <w:lang w:val="en-GB" w:eastAsia="en-AU"/>
        </w:rPr>
        <w:t>two-year</w:t>
      </w:r>
      <w:r w:rsidR="00661898">
        <w:rPr>
          <w:lang w:val="en-GB" w:eastAsia="en-AU"/>
        </w:rPr>
        <w:t xml:space="preserve"> period will be</w:t>
      </w:r>
      <w:r w:rsidR="00205784">
        <w:rPr>
          <w:lang w:val="en-GB" w:eastAsia="en-AU"/>
        </w:rPr>
        <w:t xml:space="preserve"> used to </w:t>
      </w:r>
      <w:r w:rsidR="003D386C">
        <w:rPr>
          <w:lang w:val="en-GB" w:eastAsia="en-AU"/>
        </w:rPr>
        <w:t xml:space="preserve">ensure </w:t>
      </w:r>
      <w:r w:rsidR="00754F06">
        <w:rPr>
          <w:lang w:val="en-GB" w:eastAsia="en-AU"/>
        </w:rPr>
        <w:t>species may be subject to assessment and/or management need</w:t>
      </w:r>
      <w:r w:rsidR="007B3F5F">
        <w:rPr>
          <w:lang w:val="en-GB" w:eastAsia="en-AU"/>
        </w:rPr>
        <w:t>s if the current TACC’s are not meeting the objectives of the harvest strategy.</w:t>
      </w:r>
      <w:r w:rsidR="003D386C">
        <w:rPr>
          <w:lang w:val="en-GB" w:eastAsia="en-AU"/>
        </w:rPr>
        <w:t xml:space="preserve"> </w:t>
      </w:r>
    </w:p>
    <w:p w14:paraId="4D174550" w14:textId="72AA3093" w:rsidR="00323BB5" w:rsidRPr="003D79AD" w:rsidRDefault="00E038BB" w:rsidP="006D27FD">
      <w:pPr>
        <w:rPr>
          <w:highlight w:val="cyan"/>
          <w:lang w:val="en-GB" w:eastAsia="en-AU"/>
        </w:rPr>
      </w:pPr>
      <w:r w:rsidRPr="3138BD0A">
        <w:rPr>
          <w:lang w:val="en-GB" w:eastAsia="en-AU"/>
        </w:rPr>
        <w:t xml:space="preserve">For tier 3 species, trigger reference points are used to monitor annual fishing mortality. </w:t>
      </w:r>
      <w:r w:rsidR="00437E2C">
        <w:rPr>
          <w:lang w:val="en-GB" w:eastAsia="en-AU"/>
        </w:rPr>
        <w:t>A</w:t>
      </w:r>
      <w:r w:rsidR="00012228" w:rsidRPr="3138BD0A">
        <w:rPr>
          <w:lang w:val="en-GB" w:eastAsia="en-AU"/>
        </w:rPr>
        <w:t xml:space="preserve">n annual catch level of </w:t>
      </w:r>
      <w:r w:rsidR="00012228">
        <w:rPr>
          <w:lang w:val="en-GB" w:eastAsia="en-AU"/>
        </w:rPr>
        <w:t>30</w:t>
      </w:r>
      <w:r w:rsidR="00012228" w:rsidRPr="3138BD0A">
        <w:rPr>
          <w:lang w:val="en-GB" w:eastAsia="en-AU"/>
        </w:rPr>
        <w:t xml:space="preserve"> tonnes per species has been determined as a default point at which increasing catches may present an increased risk to the sustainability of </w:t>
      </w:r>
      <w:r w:rsidR="00012228">
        <w:rPr>
          <w:lang w:val="en-GB" w:eastAsia="en-AU"/>
        </w:rPr>
        <w:t>the</w:t>
      </w:r>
      <w:r w:rsidR="00012228" w:rsidRPr="3138BD0A">
        <w:rPr>
          <w:lang w:val="en-GB" w:eastAsia="en-AU"/>
        </w:rPr>
        <w:t xml:space="preserve"> species</w:t>
      </w:r>
      <w:r w:rsidR="00012228">
        <w:rPr>
          <w:lang w:val="en-GB" w:eastAsia="en-AU"/>
        </w:rPr>
        <w:t>.</w:t>
      </w:r>
      <w:r w:rsidR="00012228" w:rsidRPr="3138BD0A">
        <w:rPr>
          <w:lang w:val="en-GB" w:eastAsia="en-AU"/>
        </w:rPr>
        <w:t xml:space="preserve"> </w:t>
      </w:r>
      <w:r w:rsidRPr="3138BD0A">
        <w:rPr>
          <w:lang w:val="en-GB" w:eastAsia="en-AU"/>
        </w:rPr>
        <w:t xml:space="preserve">Given this, catch triggers have been developed where species may be subject to assessment and/or management action if increases in fishing mortality are detected above the triggers. </w:t>
      </w:r>
      <w:r w:rsidRPr="003D1367">
        <w:rPr>
          <w:lang w:val="en-GB" w:eastAsia="en-AU"/>
        </w:rPr>
        <w:t xml:space="preserve">The triggers will be used to detect shifts in fishing effort by comparing annual catches against the average catch level from the reference period of </w:t>
      </w:r>
      <w:r w:rsidR="00B74550" w:rsidRPr="003D1367">
        <w:rPr>
          <w:lang w:val="en-GB" w:eastAsia="en-AU"/>
        </w:rPr>
        <w:t>2012-2021</w:t>
      </w:r>
      <w:r w:rsidRPr="003D1367">
        <w:rPr>
          <w:lang w:val="en-GB" w:eastAsia="en-AU"/>
        </w:rPr>
        <w:t>. This reference period represents a stable period in the fishery, which includes weather events (such as cyclones, droughts and floods), fishing effort and number of licences</w:t>
      </w:r>
      <w:r w:rsidR="002528BD" w:rsidRPr="003D1367">
        <w:rPr>
          <w:lang w:val="en-GB" w:eastAsia="en-AU"/>
        </w:rPr>
        <w:t xml:space="preserve">, and has been evaluated for its use as a reference period using retrospective analysis. </w:t>
      </w:r>
      <w:r w:rsidR="009F1D5E" w:rsidRPr="003D1367">
        <w:rPr>
          <w:lang w:val="en-GB" w:eastAsia="en-AU"/>
        </w:rPr>
        <w:t xml:space="preserve">Due to the structural adjustment process undertaken in </w:t>
      </w:r>
      <w:r w:rsidR="009F1D5E" w:rsidRPr="003D1367">
        <w:rPr>
          <w:lang w:val="en-GB" w:eastAsia="en-AU"/>
        </w:rPr>
        <w:lastRenderedPageBreak/>
        <w:t>2024</w:t>
      </w:r>
      <w:r w:rsidR="004869D7" w:rsidRPr="003D1367">
        <w:rPr>
          <w:lang w:val="en-GB" w:eastAsia="en-AU"/>
        </w:rPr>
        <w:t>,</w:t>
      </w:r>
      <w:r w:rsidR="006204EE" w:rsidRPr="003D1367">
        <w:rPr>
          <w:lang w:val="en-GB" w:eastAsia="en-AU"/>
        </w:rPr>
        <w:t xml:space="preserve"> which resulted in the </w:t>
      </w:r>
      <w:r w:rsidR="004869D7" w:rsidRPr="003D1367">
        <w:rPr>
          <w:lang w:val="en-GB" w:eastAsia="en-AU"/>
        </w:rPr>
        <w:t>implementation</w:t>
      </w:r>
      <w:r w:rsidR="006204EE" w:rsidRPr="003D1367">
        <w:rPr>
          <w:lang w:val="en-GB" w:eastAsia="en-AU"/>
        </w:rPr>
        <w:t xml:space="preserve"> of </w:t>
      </w:r>
      <w:r w:rsidR="004869D7" w:rsidRPr="003D1367">
        <w:rPr>
          <w:lang w:val="en-GB" w:eastAsia="en-AU"/>
        </w:rPr>
        <w:t xml:space="preserve">additional </w:t>
      </w:r>
      <w:r w:rsidR="006204EE" w:rsidRPr="003D1367">
        <w:rPr>
          <w:lang w:val="en-GB" w:eastAsia="en-AU"/>
        </w:rPr>
        <w:t xml:space="preserve">gillnet-free areas and a significant buyout of N3 symbols, </w:t>
      </w:r>
      <w:r w:rsidR="004869D7" w:rsidRPr="003D1367">
        <w:rPr>
          <w:lang w:val="en-GB" w:eastAsia="en-AU"/>
        </w:rPr>
        <w:t>further analysis will be used to determine appropriate</w:t>
      </w:r>
      <w:r w:rsidR="002528BD" w:rsidRPr="003D1367">
        <w:rPr>
          <w:lang w:val="en-GB" w:eastAsia="en-AU"/>
        </w:rPr>
        <w:t xml:space="preserve"> catch levels for affected species. </w:t>
      </w:r>
    </w:p>
    <w:p w14:paraId="3EB2A11D" w14:textId="73F318F9" w:rsidR="155C128A" w:rsidRDefault="00853174" w:rsidP="006D27FD">
      <w:r w:rsidRPr="3138BD0A">
        <w:t>The decision rules will</w:t>
      </w:r>
      <w:r w:rsidR="155C128A" w:rsidRPr="3138BD0A">
        <w:t xml:space="preserve"> also </w:t>
      </w:r>
      <w:r w:rsidR="00AD652D" w:rsidRPr="3138BD0A">
        <w:t>constrain</w:t>
      </w:r>
      <w:r w:rsidR="155C128A" w:rsidRPr="3138BD0A">
        <w:t xml:space="preserve"> all sectors to their allocated catch share. If new information on recreational or charter harvest indicate that the sectors harvest has increased outside of their allocated catch share for any TAC species, decision rules are triggered to constrain harvest to within this share. Adjustments to the recreational fishing limits may also be undertaken if changes are made to the TAC for a species.</w:t>
      </w:r>
    </w:p>
    <w:p w14:paraId="00C7BEE4" w14:textId="77777777" w:rsidR="006D27FD" w:rsidRPr="006D27FD" w:rsidRDefault="006D27FD" w:rsidP="006D27FD">
      <w:bookmarkStart w:id="30" w:name="_Toc121747120"/>
      <w:r w:rsidRPr="006D27FD">
        <w:br w:type="page"/>
      </w:r>
    </w:p>
    <w:p w14:paraId="240E2BFF" w14:textId="28F2AC46" w:rsidR="0064682C" w:rsidRPr="00687C9E" w:rsidRDefault="0064682C" w:rsidP="006D27FD">
      <w:pPr>
        <w:pStyle w:val="Heading1"/>
      </w:pPr>
      <w:bookmarkStart w:id="31" w:name="_Toc204270754"/>
      <w:bookmarkStart w:id="32" w:name="_Toc205215633"/>
      <w:r>
        <w:lastRenderedPageBreak/>
        <w:t>Management of t</w:t>
      </w:r>
      <w:r w:rsidRPr="00687C9E">
        <w:t xml:space="preserve">arget </w:t>
      </w:r>
      <w:r w:rsidRPr="006D27FD">
        <w:t>species</w:t>
      </w:r>
      <w:bookmarkEnd w:id="30"/>
      <w:bookmarkEnd w:id="31"/>
      <w:bookmarkEnd w:id="32"/>
    </w:p>
    <w:p w14:paraId="23559CD9" w14:textId="6E962D3D" w:rsidR="00A2635E" w:rsidRPr="002C600D" w:rsidRDefault="00570D30" w:rsidP="00906018">
      <w:pPr>
        <w:pStyle w:val="ListParagraph"/>
        <w:keepNext/>
        <w:keepLines/>
        <w:numPr>
          <w:ilvl w:val="0"/>
          <w:numId w:val="17"/>
        </w:numPr>
        <w:spacing w:before="240" w:after="120"/>
        <w:ind w:left="561" w:hanging="561"/>
        <w:rPr>
          <w:rStyle w:val="BodyTextbold"/>
          <w:rFonts w:ascii="Noto Sans" w:eastAsiaTheme="majorEastAsia" w:hAnsi="Noto Sans" w:cs="Noto Sans"/>
          <w:color w:val="2E74B5" w:themeColor="accent1" w:themeShade="BF"/>
          <w:szCs w:val="20"/>
        </w:rPr>
      </w:pPr>
      <w:r w:rsidRPr="002C600D">
        <w:rPr>
          <w:rStyle w:val="BodyTextbold"/>
          <w:rFonts w:ascii="Noto Sans" w:hAnsi="Noto Sans" w:cs="Noto Sans"/>
          <w:szCs w:val="20"/>
        </w:rPr>
        <w:t xml:space="preserve">Decision rules for the commercial sector </w:t>
      </w:r>
      <w:r w:rsidR="00ED18D6" w:rsidRPr="002C600D">
        <w:rPr>
          <w:rStyle w:val="BodyTextbold"/>
          <w:rFonts w:ascii="Noto Sans" w:hAnsi="Noto Sans" w:cs="Noto Sans"/>
          <w:szCs w:val="20"/>
        </w:rPr>
        <w:t xml:space="preserve">for </w:t>
      </w:r>
      <w:r w:rsidRPr="002C600D">
        <w:rPr>
          <w:rStyle w:val="BodyTextbold"/>
          <w:rFonts w:ascii="Noto Sans" w:hAnsi="Noto Sans" w:cs="Noto Sans"/>
          <w:szCs w:val="20"/>
        </w:rPr>
        <w:t>tier 1 and tier 2 species with spawning biomass estimates</w:t>
      </w:r>
    </w:p>
    <w:p w14:paraId="00227756" w14:textId="46C48832" w:rsidR="00F91091" w:rsidRDefault="003F583B" w:rsidP="00F91091">
      <w:pPr>
        <w:spacing w:after="0"/>
      </w:pPr>
      <w:r w:rsidRPr="002C600D">
        <w:t xml:space="preserve">The </w:t>
      </w:r>
      <w:r w:rsidR="0045251F" w:rsidRPr="002C600D">
        <w:t xml:space="preserve">below </w:t>
      </w:r>
      <w:r w:rsidRPr="002C600D">
        <w:t>decision rules provide guidance to set the TACC for tier 1 and 2 species. The decision rules use the outputs of stock assessments and aim to achieve B</w:t>
      </w:r>
      <w:r w:rsidRPr="00733281">
        <w:rPr>
          <w:i/>
          <w:iCs/>
        </w:rPr>
        <w:t>targ</w:t>
      </w:r>
      <w:r w:rsidRPr="002C600D">
        <w:t xml:space="preserve"> at 60% of unfished spawning biomass as a proxy for MEY for tier 1 species, between 50% and 60% </w:t>
      </w:r>
      <w:r w:rsidR="00A411D0">
        <w:t xml:space="preserve">of unfished biomass as a proxy </w:t>
      </w:r>
      <w:r w:rsidRPr="002C600D">
        <w:t xml:space="preserve">for </w:t>
      </w:r>
      <w:r w:rsidR="00A411D0">
        <w:t xml:space="preserve">MEY for </w:t>
      </w:r>
      <w:r w:rsidRPr="002C600D">
        <w:t>tier 2 species</w:t>
      </w:r>
      <w:r w:rsidR="00AD2FCB">
        <w:t xml:space="preserve"> and 40% of unfished biomass as a proxy for MEY for king threadfin</w:t>
      </w:r>
      <w:r w:rsidRPr="002C600D">
        <w:t>.</w:t>
      </w:r>
    </w:p>
    <w:p w14:paraId="3E07EEA1" w14:textId="0F21C36C" w:rsidR="00203B15" w:rsidRPr="007061D6" w:rsidRDefault="00203B15" w:rsidP="00980DE7">
      <w:pPr>
        <w:pBdr>
          <w:bottom w:val="single" w:sz="4" w:space="1" w:color="005672"/>
        </w:pBdr>
        <w:spacing w:after="120"/>
        <w:rPr>
          <w:rFonts w:cs="Noto Sans"/>
          <w:sz w:val="8"/>
          <w:szCs w:val="8"/>
        </w:rPr>
      </w:pPr>
    </w:p>
    <w:p w14:paraId="2B50C922" w14:textId="15D2B837" w:rsidR="00724AA6" w:rsidRPr="00940F6C" w:rsidRDefault="50934BB5" w:rsidP="000916A7">
      <w:pPr>
        <w:pStyle w:val="ListParagraph"/>
        <w:numPr>
          <w:ilvl w:val="1"/>
          <w:numId w:val="13"/>
        </w:numPr>
        <w:spacing w:after="120"/>
        <w:ind w:left="567" w:hanging="567"/>
        <w:contextualSpacing w:val="0"/>
        <w:rPr>
          <w:rFonts w:eastAsia="Calibri" w:cs="Noto Sans"/>
          <w:szCs w:val="20"/>
        </w:rPr>
      </w:pPr>
      <w:r w:rsidRPr="00940F6C">
        <w:rPr>
          <w:rFonts w:eastAsia="Calibri" w:cs="Noto Sans"/>
          <w:szCs w:val="20"/>
        </w:rPr>
        <w:t xml:space="preserve">If </w:t>
      </w:r>
      <w:r w:rsidR="00D15001" w:rsidRPr="00940F6C">
        <w:rPr>
          <w:rFonts w:eastAsia="Calibri" w:cs="Noto Sans"/>
          <w:szCs w:val="20"/>
        </w:rPr>
        <w:t>the biomass is at or above B</w:t>
      </w:r>
      <w:r w:rsidR="00D15001" w:rsidRPr="00940F6C">
        <w:rPr>
          <w:rFonts w:eastAsia="Calibri" w:cs="Noto Sans"/>
          <w:i/>
          <w:szCs w:val="20"/>
        </w:rPr>
        <w:t>targ</w:t>
      </w:r>
      <w:r w:rsidR="00D15001" w:rsidRPr="00940F6C">
        <w:rPr>
          <w:rFonts w:eastAsia="Calibri" w:cs="Noto Sans"/>
          <w:szCs w:val="20"/>
        </w:rPr>
        <w:t>, set the TACC</w:t>
      </w:r>
      <w:r w:rsidR="00724AA6" w:rsidRPr="00940F6C">
        <w:rPr>
          <w:rFonts w:eastAsia="Calibri" w:cs="Noto Sans"/>
          <w:szCs w:val="20"/>
        </w:rPr>
        <w:t xml:space="preserve"> at a level that maintains biomass at B</w:t>
      </w:r>
      <w:r w:rsidR="00724AA6" w:rsidRPr="00940F6C">
        <w:rPr>
          <w:rFonts w:eastAsia="Calibri" w:cs="Noto Sans"/>
          <w:i/>
          <w:szCs w:val="20"/>
        </w:rPr>
        <w:t>targ</w:t>
      </w:r>
      <w:r w:rsidR="00724AA6" w:rsidRPr="00940F6C">
        <w:rPr>
          <w:rFonts w:eastAsia="Calibri" w:cs="Noto Sans"/>
          <w:szCs w:val="20"/>
        </w:rPr>
        <w:t>.</w:t>
      </w:r>
    </w:p>
    <w:p w14:paraId="78682632" w14:textId="06F94E62" w:rsidR="00746197" w:rsidRPr="00940F6C" w:rsidRDefault="00724AA6" w:rsidP="000916A7">
      <w:pPr>
        <w:numPr>
          <w:ilvl w:val="1"/>
          <w:numId w:val="13"/>
        </w:numPr>
        <w:spacing w:after="120"/>
        <w:ind w:left="567" w:hanging="567"/>
        <w:rPr>
          <w:rFonts w:eastAsia="Calibri" w:cs="Noto Sans"/>
          <w:szCs w:val="20"/>
        </w:rPr>
      </w:pPr>
      <w:r w:rsidRPr="00940F6C">
        <w:rPr>
          <w:rFonts w:eastAsia="Calibri" w:cs="Noto Sans"/>
          <w:szCs w:val="20"/>
        </w:rPr>
        <w:t xml:space="preserve">If biomass is below </w:t>
      </w:r>
      <w:r w:rsidR="00802182" w:rsidRPr="00940F6C">
        <w:rPr>
          <w:rFonts w:eastAsia="Calibri" w:cs="Noto Sans"/>
          <w:szCs w:val="20"/>
        </w:rPr>
        <w:t>B</w:t>
      </w:r>
      <w:r w:rsidR="00802182" w:rsidRPr="00940F6C">
        <w:rPr>
          <w:rFonts w:eastAsia="Calibri" w:cs="Noto Sans"/>
          <w:i/>
          <w:szCs w:val="20"/>
        </w:rPr>
        <w:t>targ</w:t>
      </w:r>
      <w:r w:rsidRPr="00940F6C">
        <w:rPr>
          <w:rFonts w:eastAsia="Calibri" w:cs="Noto Sans"/>
          <w:szCs w:val="20"/>
        </w:rPr>
        <w:t xml:space="preserve"> and</w:t>
      </w:r>
      <w:r w:rsidR="00423D23" w:rsidRPr="00940F6C">
        <w:rPr>
          <w:rFonts w:eastAsia="Calibri" w:cs="Noto Sans"/>
          <w:szCs w:val="20"/>
        </w:rPr>
        <w:t xml:space="preserve"> above B</w:t>
      </w:r>
      <w:r w:rsidR="00423D23" w:rsidRPr="00940F6C">
        <w:rPr>
          <w:rFonts w:eastAsia="Calibri" w:cs="Noto Sans"/>
          <w:i/>
          <w:szCs w:val="20"/>
        </w:rPr>
        <w:t>lim</w:t>
      </w:r>
      <w:r w:rsidR="00423D23" w:rsidRPr="00940F6C">
        <w:rPr>
          <w:rFonts w:eastAsia="Calibri" w:cs="Noto Sans"/>
          <w:szCs w:val="20"/>
        </w:rPr>
        <w:t>, the TACC should be set as inferred by the hockey stick approach, where fishing mortality</w:t>
      </w:r>
      <w:r w:rsidR="00703EC2" w:rsidRPr="00940F6C">
        <w:rPr>
          <w:rFonts w:eastAsia="Calibri" w:cs="Noto Sans"/>
          <w:szCs w:val="20"/>
        </w:rPr>
        <w:t xml:space="preserve"> is reduced to the rate that allows the biomass to increase effectively back to </w:t>
      </w:r>
      <w:r w:rsidR="00802182" w:rsidRPr="00940F6C">
        <w:rPr>
          <w:rFonts w:eastAsia="Calibri" w:cs="Noto Sans"/>
          <w:szCs w:val="20"/>
        </w:rPr>
        <w:t>B</w:t>
      </w:r>
      <w:r w:rsidR="00802182" w:rsidRPr="00940F6C">
        <w:rPr>
          <w:rFonts w:eastAsia="Calibri" w:cs="Noto Sans"/>
          <w:i/>
          <w:szCs w:val="20"/>
        </w:rPr>
        <w:t>targ</w:t>
      </w:r>
      <w:r w:rsidR="00703EC2" w:rsidRPr="00940F6C">
        <w:rPr>
          <w:rFonts w:eastAsia="Calibri" w:cs="Noto Sans"/>
          <w:szCs w:val="20"/>
        </w:rPr>
        <w:t xml:space="preserve">. </w:t>
      </w:r>
      <w:r w:rsidR="70A740CA" w:rsidRPr="00940F6C">
        <w:rPr>
          <w:rFonts w:eastAsia="Calibri" w:cs="Noto Sans"/>
          <w:szCs w:val="20"/>
        </w:rPr>
        <w:t xml:space="preserve"> </w:t>
      </w:r>
    </w:p>
    <w:p w14:paraId="662B86E9" w14:textId="4337FD5C" w:rsidR="007B3E2E" w:rsidRPr="00940F6C" w:rsidRDefault="63F75D8E" w:rsidP="000916A7">
      <w:pPr>
        <w:numPr>
          <w:ilvl w:val="1"/>
          <w:numId w:val="13"/>
        </w:numPr>
        <w:spacing w:after="120"/>
        <w:ind w:left="567" w:hanging="567"/>
        <w:rPr>
          <w:rFonts w:eastAsia="Calibri" w:cs="Noto Sans"/>
          <w:szCs w:val="20"/>
        </w:rPr>
      </w:pPr>
      <w:r w:rsidRPr="00940F6C">
        <w:rPr>
          <w:rFonts w:eastAsia="Calibri" w:cs="Noto Sans"/>
          <w:szCs w:val="20"/>
        </w:rPr>
        <w:t xml:space="preserve">If </w:t>
      </w:r>
      <w:r w:rsidR="5D137079" w:rsidRPr="00940F6C">
        <w:rPr>
          <w:rFonts w:eastAsia="Calibri" w:cs="Noto Sans"/>
          <w:szCs w:val="20"/>
        </w:rPr>
        <w:t>the</w:t>
      </w:r>
      <w:r w:rsidRPr="00940F6C">
        <w:rPr>
          <w:rFonts w:eastAsia="Calibri" w:cs="Noto Sans"/>
          <w:szCs w:val="20"/>
        </w:rPr>
        <w:t xml:space="preserve"> biomass is </w:t>
      </w:r>
      <w:r w:rsidR="000C51B4" w:rsidRPr="00940F6C">
        <w:rPr>
          <w:rFonts w:eastAsia="Calibri" w:cs="Noto Sans"/>
          <w:szCs w:val="20"/>
        </w:rPr>
        <w:t>at or below B</w:t>
      </w:r>
      <w:r w:rsidR="000C51B4" w:rsidRPr="00940F6C">
        <w:rPr>
          <w:rFonts w:eastAsia="Calibri" w:cs="Noto Sans"/>
          <w:i/>
          <w:szCs w:val="20"/>
        </w:rPr>
        <w:t>lim</w:t>
      </w:r>
      <w:r w:rsidR="000C51B4" w:rsidRPr="00940F6C">
        <w:rPr>
          <w:rFonts w:eastAsia="Calibri" w:cs="Noto Sans"/>
          <w:szCs w:val="20"/>
        </w:rPr>
        <w:t>, there will be no target</w:t>
      </w:r>
      <w:r w:rsidR="00B21E36" w:rsidRPr="00940F6C">
        <w:rPr>
          <w:rFonts w:eastAsia="Calibri" w:cs="Noto Sans"/>
          <w:szCs w:val="20"/>
        </w:rPr>
        <w:t xml:space="preserve">ed </w:t>
      </w:r>
      <w:r w:rsidR="000C51B4" w:rsidRPr="00940F6C">
        <w:rPr>
          <w:rFonts w:eastAsia="Calibri" w:cs="Noto Sans"/>
          <w:szCs w:val="20"/>
        </w:rPr>
        <w:t>fishing permitted for that species, and a rebuilding strategy will be developed to increase the stock biomass to above B</w:t>
      </w:r>
      <w:r w:rsidR="000C51B4" w:rsidRPr="00940F6C">
        <w:rPr>
          <w:rFonts w:eastAsia="Calibri" w:cs="Noto Sans"/>
          <w:i/>
          <w:szCs w:val="20"/>
        </w:rPr>
        <w:t>lim</w:t>
      </w:r>
      <w:r w:rsidR="000C51B4" w:rsidRPr="00940F6C">
        <w:rPr>
          <w:rFonts w:eastAsia="Calibri" w:cs="Noto Sans"/>
          <w:szCs w:val="20"/>
        </w:rPr>
        <w:t xml:space="preserve"> within a biologically reasonable timeframe and as informed by the </w:t>
      </w:r>
      <w:r w:rsidR="000C51B4" w:rsidRPr="00940F6C">
        <w:rPr>
          <w:rFonts w:eastAsia="Calibri" w:cs="Noto Sans"/>
          <w:i/>
          <w:szCs w:val="20"/>
        </w:rPr>
        <w:t>Queensland Harvest Strategy Policy</w:t>
      </w:r>
      <w:r w:rsidR="000C51B4" w:rsidRPr="00940F6C">
        <w:rPr>
          <w:rFonts w:eastAsia="Calibri" w:cs="Noto Sans"/>
          <w:szCs w:val="20"/>
        </w:rPr>
        <w:t xml:space="preserve">. </w:t>
      </w:r>
    </w:p>
    <w:p w14:paraId="1E01B670" w14:textId="515640AD" w:rsidR="000C51B4" w:rsidRPr="00940F6C" w:rsidRDefault="000C51B4" w:rsidP="000916A7">
      <w:pPr>
        <w:numPr>
          <w:ilvl w:val="1"/>
          <w:numId w:val="13"/>
        </w:numPr>
        <w:spacing w:after="120"/>
        <w:ind w:left="567" w:hanging="567"/>
        <w:rPr>
          <w:rFonts w:eastAsia="Calibri" w:cs="Noto Sans"/>
          <w:szCs w:val="20"/>
        </w:rPr>
      </w:pPr>
      <w:r w:rsidRPr="00940F6C">
        <w:rPr>
          <w:rFonts w:eastAsia="Calibri" w:cs="Noto Sans"/>
          <w:szCs w:val="20"/>
        </w:rPr>
        <w:t xml:space="preserve">If </w:t>
      </w:r>
      <w:r w:rsidR="00E9752A" w:rsidRPr="00940F6C">
        <w:rPr>
          <w:rFonts w:eastAsia="Calibri" w:cs="Noto Sans"/>
          <w:szCs w:val="20"/>
        </w:rPr>
        <w:t xml:space="preserve">any </w:t>
      </w:r>
      <w:r w:rsidRPr="00940F6C">
        <w:rPr>
          <w:rFonts w:eastAsia="Calibri" w:cs="Noto Sans"/>
          <w:szCs w:val="20"/>
        </w:rPr>
        <w:t xml:space="preserve">new information becomes available indicating that the assessment and TACC-setting </w:t>
      </w:r>
      <w:r w:rsidR="00E9752A" w:rsidRPr="00940F6C">
        <w:rPr>
          <w:rFonts w:eastAsia="Calibri" w:cs="Noto Sans"/>
          <w:szCs w:val="20"/>
        </w:rPr>
        <w:t>arrangements</w:t>
      </w:r>
      <w:r w:rsidRPr="00940F6C">
        <w:rPr>
          <w:rFonts w:eastAsia="Calibri" w:cs="Noto Sans"/>
          <w:szCs w:val="20"/>
        </w:rPr>
        <w:t xml:space="preserve"> </w:t>
      </w:r>
      <w:r w:rsidR="00E9752A" w:rsidRPr="00940F6C">
        <w:rPr>
          <w:rFonts w:eastAsia="Calibri" w:cs="Noto Sans"/>
          <w:szCs w:val="20"/>
        </w:rPr>
        <w:t>are not consistent with the sustainable management o</w:t>
      </w:r>
      <w:r w:rsidR="002C658F" w:rsidRPr="00940F6C">
        <w:rPr>
          <w:rFonts w:eastAsia="Calibri" w:cs="Noto Sans"/>
          <w:szCs w:val="20"/>
        </w:rPr>
        <w:t xml:space="preserve">f the fishery, the decision rules must be reviewed and, if appropriate, the reference points or timeframes should be adjusted. </w:t>
      </w:r>
    </w:p>
    <w:p w14:paraId="74FC0AF4" w14:textId="4482DDD2" w:rsidR="00EF3802" w:rsidRPr="00940F6C" w:rsidRDefault="00EF3802" w:rsidP="000916A7">
      <w:pPr>
        <w:spacing w:after="120"/>
        <w:rPr>
          <w:rFonts w:eastAsia="Calibri" w:cs="Noto Sans"/>
          <w:b/>
          <w:szCs w:val="20"/>
        </w:rPr>
      </w:pPr>
      <w:r w:rsidRPr="00940F6C">
        <w:rPr>
          <w:rFonts w:eastAsia="Calibri" w:cs="Noto Sans"/>
          <w:b/>
          <w:szCs w:val="20"/>
        </w:rPr>
        <w:t>Notwithstanding that:</w:t>
      </w:r>
    </w:p>
    <w:p w14:paraId="53E82225" w14:textId="2F766369" w:rsidR="00EF3802" w:rsidRPr="00940F6C" w:rsidRDefault="00EF3802" w:rsidP="000916A7">
      <w:pPr>
        <w:numPr>
          <w:ilvl w:val="1"/>
          <w:numId w:val="13"/>
        </w:numPr>
        <w:spacing w:after="120"/>
        <w:ind w:left="567" w:hanging="567"/>
        <w:rPr>
          <w:rFonts w:eastAsia="Calibri" w:cs="Noto Sans"/>
          <w:szCs w:val="20"/>
        </w:rPr>
      </w:pPr>
      <w:r w:rsidRPr="00940F6C">
        <w:rPr>
          <w:rFonts w:eastAsia="Calibri" w:cs="Noto Sans"/>
          <w:szCs w:val="20"/>
        </w:rPr>
        <w:t>T</w:t>
      </w:r>
      <w:r w:rsidR="00F26C92" w:rsidRPr="00940F6C">
        <w:rPr>
          <w:rFonts w:eastAsia="Calibri" w:cs="Noto Sans"/>
          <w:szCs w:val="20"/>
        </w:rPr>
        <w:t xml:space="preserve">he rate of fishing mortality should not exceed that required to </w:t>
      </w:r>
      <w:r w:rsidR="007462B0" w:rsidRPr="00940F6C">
        <w:rPr>
          <w:rFonts w:eastAsia="Calibri" w:cs="Noto Sans"/>
          <w:szCs w:val="20"/>
        </w:rPr>
        <w:t>achieve</w:t>
      </w:r>
      <w:r w:rsidR="002D2D6E" w:rsidRPr="00940F6C">
        <w:rPr>
          <w:rFonts w:eastAsia="Calibri" w:cs="Noto Sans"/>
          <w:szCs w:val="20"/>
        </w:rPr>
        <w:t xml:space="preserve"> B</w:t>
      </w:r>
      <w:r w:rsidR="002D2D6E" w:rsidRPr="00940F6C">
        <w:rPr>
          <w:rFonts w:eastAsia="Calibri" w:cs="Noto Sans"/>
          <w:i/>
          <w:szCs w:val="20"/>
        </w:rPr>
        <w:t>targ</w:t>
      </w:r>
      <w:r w:rsidR="002D2D6E" w:rsidRPr="00940F6C">
        <w:rPr>
          <w:rFonts w:eastAsia="Calibri" w:cs="Noto Sans"/>
          <w:szCs w:val="20"/>
        </w:rPr>
        <w:t>.</w:t>
      </w:r>
    </w:p>
    <w:p w14:paraId="6BD07CDF" w14:textId="503C0ED1" w:rsidR="00D954B7" w:rsidRPr="00940F6C" w:rsidRDefault="00D954B7" w:rsidP="000916A7">
      <w:pPr>
        <w:numPr>
          <w:ilvl w:val="1"/>
          <w:numId w:val="13"/>
        </w:numPr>
        <w:spacing w:after="120"/>
        <w:ind w:left="567" w:hanging="567"/>
        <w:rPr>
          <w:rFonts w:eastAsia="Calibri" w:cs="Noto Sans"/>
          <w:szCs w:val="20"/>
        </w:rPr>
      </w:pPr>
      <w:r w:rsidRPr="00940F6C">
        <w:rPr>
          <w:rFonts w:eastAsia="Calibri" w:cs="Noto Sans"/>
          <w:szCs w:val="20"/>
        </w:rPr>
        <w:t xml:space="preserve">The </w:t>
      </w:r>
      <w:r w:rsidR="00471A6A" w:rsidRPr="00940F6C">
        <w:rPr>
          <w:rFonts w:eastAsia="Calibri" w:cs="Noto Sans"/>
          <w:szCs w:val="20"/>
        </w:rPr>
        <w:t>TAC should not exceed the level of fishing mortality required to maintain a stock at maximum susta</w:t>
      </w:r>
      <w:r w:rsidR="00B21E36" w:rsidRPr="00940F6C">
        <w:rPr>
          <w:rFonts w:eastAsia="Calibri" w:cs="Noto Sans"/>
          <w:szCs w:val="20"/>
        </w:rPr>
        <w:t>inable yield (MSY) at equilibrium.</w:t>
      </w:r>
    </w:p>
    <w:p w14:paraId="5BC88D1A" w14:textId="3B9C0976" w:rsidR="00BC32CB" w:rsidRPr="00940F6C" w:rsidRDefault="008679DC" w:rsidP="000916A7">
      <w:pPr>
        <w:numPr>
          <w:ilvl w:val="1"/>
          <w:numId w:val="13"/>
        </w:numPr>
        <w:spacing w:after="120"/>
        <w:ind w:left="567" w:hanging="567"/>
        <w:rPr>
          <w:rFonts w:eastAsia="Calibri" w:cs="Noto Sans"/>
          <w:szCs w:val="20"/>
        </w:rPr>
      </w:pPr>
      <w:r w:rsidRPr="00940F6C">
        <w:rPr>
          <w:rFonts w:eastAsia="Calibri" w:cs="Noto Sans"/>
          <w:szCs w:val="20"/>
        </w:rPr>
        <w:t xml:space="preserve">While the </w:t>
      </w:r>
      <w:r w:rsidR="004667E1" w:rsidRPr="00940F6C">
        <w:rPr>
          <w:rFonts w:eastAsia="Calibri" w:cs="Noto Sans"/>
          <w:szCs w:val="20"/>
        </w:rPr>
        <w:t>hockey stick</w:t>
      </w:r>
      <w:r w:rsidRPr="00940F6C">
        <w:rPr>
          <w:rFonts w:eastAsia="Calibri" w:cs="Noto Sans"/>
          <w:szCs w:val="20"/>
        </w:rPr>
        <w:t xml:space="preserve"> approach is the default harvest control rule, alternatives may be considered to better pursue the objectives of this harvest strategy</w:t>
      </w:r>
      <w:r w:rsidR="004667E1" w:rsidRPr="00940F6C">
        <w:rPr>
          <w:rFonts w:eastAsia="Calibri" w:cs="Noto Sans"/>
          <w:szCs w:val="20"/>
        </w:rPr>
        <w:t>.</w:t>
      </w:r>
    </w:p>
    <w:p w14:paraId="6C23BC8C" w14:textId="11F341EA" w:rsidR="00D73804" w:rsidRPr="00940F6C" w:rsidRDefault="00D73804" w:rsidP="000916A7">
      <w:pPr>
        <w:spacing w:after="120"/>
        <w:ind w:firstLine="567"/>
        <w:rPr>
          <w:rFonts w:eastAsia="Calibri" w:cs="Noto Sans"/>
          <w:szCs w:val="20"/>
        </w:rPr>
      </w:pPr>
      <w:r w:rsidRPr="00940F6C">
        <w:rPr>
          <w:rFonts w:eastAsia="Calibri" w:cs="Noto Sans"/>
          <w:szCs w:val="20"/>
        </w:rPr>
        <w:t>AND</w:t>
      </w:r>
    </w:p>
    <w:p w14:paraId="054F0586" w14:textId="0016992A" w:rsidR="00DF2064" w:rsidRPr="00940F6C" w:rsidRDefault="00812971" w:rsidP="00C05CB1">
      <w:pPr>
        <w:numPr>
          <w:ilvl w:val="1"/>
          <w:numId w:val="13"/>
        </w:numPr>
        <w:spacing w:after="0"/>
        <w:ind w:left="567" w:hanging="567"/>
        <w:rPr>
          <w:rFonts w:eastAsia="Calibri" w:cs="Noto Sans"/>
          <w:szCs w:val="20"/>
        </w:rPr>
      </w:pPr>
      <w:r w:rsidRPr="00940F6C">
        <w:rPr>
          <w:rFonts w:eastAsia="Calibri" w:cs="Noto Sans"/>
          <w:szCs w:val="20"/>
        </w:rPr>
        <w:t xml:space="preserve">If </w:t>
      </w:r>
      <w:r w:rsidR="000D4B3F" w:rsidRPr="00940F6C">
        <w:rPr>
          <w:rFonts w:eastAsia="Calibri" w:cs="Noto Sans"/>
          <w:szCs w:val="20"/>
        </w:rPr>
        <w:t>a stock is shared with</w:t>
      </w:r>
      <w:r w:rsidR="008929FD" w:rsidRPr="00940F6C">
        <w:rPr>
          <w:rFonts w:eastAsia="Calibri" w:cs="Noto Sans"/>
          <w:szCs w:val="20"/>
        </w:rPr>
        <w:t xml:space="preserve"> another jurisdiction (</w:t>
      </w:r>
      <w:r w:rsidR="007D08D3" w:rsidRPr="00940F6C">
        <w:rPr>
          <w:rFonts w:eastAsia="Calibri" w:cs="Noto Sans"/>
          <w:szCs w:val="20"/>
        </w:rPr>
        <w:t>e.g</w:t>
      </w:r>
      <w:r w:rsidR="000E10A7" w:rsidRPr="00940F6C">
        <w:rPr>
          <w:rFonts w:eastAsia="Calibri" w:cs="Noto Sans"/>
          <w:szCs w:val="20"/>
        </w:rPr>
        <w:t>.</w:t>
      </w:r>
      <w:r w:rsidR="008929FD" w:rsidRPr="00940F6C">
        <w:rPr>
          <w:rFonts w:eastAsia="Calibri" w:cs="Noto Sans"/>
          <w:szCs w:val="20"/>
        </w:rPr>
        <w:t xml:space="preserve"> Norther</w:t>
      </w:r>
      <w:r w:rsidR="000E10A7" w:rsidRPr="00940F6C">
        <w:rPr>
          <w:rFonts w:eastAsia="Calibri" w:cs="Noto Sans"/>
          <w:szCs w:val="20"/>
        </w:rPr>
        <w:t>n</w:t>
      </w:r>
      <w:r w:rsidR="008929FD" w:rsidRPr="00940F6C">
        <w:rPr>
          <w:rFonts w:eastAsia="Calibri" w:cs="Noto Sans"/>
          <w:szCs w:val="20"/>
        </w:rPr>
        <w:t xml:space="preserve"> Territory) and the current</w:t>
      </w:r>
      <w:r w:rsidR="00E37459" w:rsidRPr="00940F6C">
        <w:rPr>
          <w:rFonts w:eastAsia="Calibri" w:cs="Noto Sans"/>
          <w:szCs w:val="20"/>
        </w:rPr>
        <w:t xml:space="preserve"> management arrangements in </w:t>
      </w:r>
      <w:r w:rsidR="009B1610" w:rsidRPr="00940F6C">
        <w:rPr>
          <w:rFonts w:eastAsia="Calibri" w:cs="Noto Sans"/>
          <w:szCs w:val="20"/>
        </w:rPr>
        <w:t>the other</w:t>
      </w:r>
      <w:r w:rsidR="00E37459" w:rsidRPr="00940F6C">
        <w:rPr>
          <w:rFonts w:eastAsia="Calibri" w:cs="Noto Sans"/>
          <w:szCs w:val="20"/>
        </w:rPr>
        <w:t xml:space="preserve"> jurisdiction</w:t>
      </w:r>
      <w:r w:rsidR="00A542F7" w:rsidRPr="00940F6C">
        <w:rPr>
          <w:rFonts w:eastAsia="Calibri" w:cs="Noto Sans"/>
          <w:szCs w:val="20"/>
        </w:rPr>
        <w:t xml:space="preserve"> will</w:t>
      </w:r>
      <w:r w:rsidR="00E37459" w:rsidRPr="00940F6C">
        <w:rPr>
          <w:rFonts w:eastAsia="Calibri" w:cs="Noto Sans"/>
          <w:szCs w:val="20"/>
        </w:rPr>
        <w:t xml:space="preserve"> </w:t>
      </w:r>
      <w:r w:rsidR="00202EBF" w:rsidRPr="00940F6C">
        <w:rPr>
          <w:rFonts w:eastAsia="Calibri" w:cs="Noto Sans"/>
          <w:szCs w:val="20"/>
        </w:rPr>
        <w:t>limit the stock achieving</w:t>
      </w:r>
      <w:r w:rsidR="007C491E" w:rsidRPr="00940F6C">
        <w:rPr>
          <w:rFonts w:eastAsia="Calibri" w:cs="Noto Sans"/>
          <w:szCs w:val="20"/>
        </w:rPr>
        <w:t xml:space="preserve"> B</w:t>
      </w:r>
      <w:r w:rsidR="007C491E" w:rsidRPr="00940F6C">
        <w:rPr>
          <w:rFonts w:eastAsia="Calibri" w:cs="Noto Sans"/>
          <w:i/>
          <w:szCs w:val="20"/>
        </w:rPr>
        <w:t>targ</w:t>
      </w:r>
      <w:r w:rsidR="007C491E" w:rsidRPr="00940F6C">
        <w:rPr>
          <w:rFonts w:eastAsia="Calibri" w:cs="Noto Sans"/>
          <w:szCs w:val="20"/>
        </w:rPr>
        <w:t>, a lower biomass target may be considered</w:t>
      </w:r>
      <w:r w:rsidR="00B428F0" w:rsidRPr="00940F6C">
        <w:rPr>
          <w:rFonts w:eastAsia="Calibri" w:cs="Noto Sans"/>
          <w:szCs w:val="20"/>
        </w:rPr>
        <w:t xml:space="preserve"> if</w:t>
      </w:r>
      <w:r w:rsidR="00A542F7" w:rsidRPr="00940F6C">
        <w:rPr>
          <w:rFonts w:eastAsia="Calibri" w:cs="Noto Sans"/>
          <w:szCs w:val="20"/>
        </w:rPr>
        <w:t xml:space="preserve"> a</w:t>
      </w:r>
      <w:r w:rsidR="00B428F0" w:rsidRPr="00940F6C">
        <w:rPr>
          <w:rFonts w:eastAsia="Calibri" w:cs="Noto Sans"/>
          <w:szCs w:val="20"/>
        </w:rPr>
        <w:t xml:space="preserve">ll management </w:t>
      </w:r>
      <w:r w:rsidR="00B93466" w:rsidRPr="00940F6C">
        <w:rPr>
          <w:rFonts w:eastAsia="Calibri" w:cs="Noto Sans"/>
          <w:szCs w:val="20"/>
        </w:rPr>
        <w:t>jurisdictions</w:t>
      </w:r>
      <w:r w:rsidR="00B428F0" w:rsidRPr="00940F6C">
        <w:rPr>
          <w:rFonts w:eastAsia="Calibri" w:cs="Noto Sans"/>
          <w:szCs w:val="20"/>
        </w:rPr>
        <w:t xml:space="preserve"> agree on </w:t>
      </w:r>
      <w:r w:rsidR="00B93466" w:rsidRPr="00940F6C">
        <w:rPr>
          <w:rFonts w:eastAsia="Calibri" w:cs="Noto Sans"/>
          <w:szCs w:val="20"/>
        </w:rPr>
        <w:t xml:space="preserve">an appropriate </w:t>
      </w:r>
      <w:r w:rsidR="00DF2064" w:rsidRPr="00940F6C">
        <w:rPr>
          <w:rFonts w:eastAsia="Calibri" w:cs="Noto Sans"/>
          <w:szCs w:val="20"/>
        </w:rPr>
        <w:t>biomass target</w:t>
      </w:r>
      <w:r w:rsidR="006C389E" w:rsidRPr="00940F6C">
        <w:rPr>
          <w:rFonts w:eastAsia="Calibri" w:cs="Noto Sans"/>
          <w:szCs w:val="20"/>
        </w:rPr>
        <w:t xml:space="preserve"> that aims to achieve long-term sustainability of the stock</w:t>
      </w:r>
      <w:r w:rsidR="00A542F7" w:rsidRPr="00940F6C">
        <w:rPr>
          <w:rFonts w:eastAsia="Calibri" w:cs="Noto Sans"/>
          <w:szCs w:val="20"/>
        </w:rPr>
        <w:t>,</w:t>
      </w:r>
      <w:r w:rsidR="00757052" w:rsidRPr="00940F6C">
        <w:rPr>
          <w:rFonts w:eastAsia="Calibri" w:cs="Noto Sans"/>
          <w:szCs w:val="20"/>
        </w:rPr>
        <w:t xml:space="preserve"> and</w:t>
      </w:r>
      <w:r w:rsidR="00A542F7" w:rsidRPr="00940F6C">
        <w:rPr>
          <w:rFonts w:eastAsia="Calibri" w:cs="Noto Sans"/>
          <w:szCs w:val="20"/>
        </w:rPr>
        <w:t xml:space="preserve"> t</w:t>
      </w:r>
      <w:r w:rsidR="00757052" w:rsidRPr="00940F6C">
        <w:rPr>
          <w:rFonts w:eastAsia="Calibri" w:cs="Noto Sans"/>
          <w:szCs w:val="20"/>
        </w:rPr>
        <w:t>he biomass target is above BMS</w:t>
      </w:r>
      <w:r w:rsidR="000F66EC" w:rsidRPr="00940F6C">
        <w:rPr>
          <w:rFonts w:eastAsia="Calibri" w:cs="Noto Sans"/>
          <w:szCs w:val="20"/>
        </w:rPr>
        <w:t>Y</w:t>
      </w:r>
    </w:p>
    <w:p w14:paraId="759BC4FF" w14:textId="77777777" w:rsidR="00C05CB1" w:rsidRPr="007061D6" w:rsidRDefault="00C05CB1" w:rsidP="00980DE7">
      <w:pPr>
        <w:pBdr>
          <w:bottom w:val="single" w:sz="4" w:space="1" w:color="005672"/>
        </w:pBdr>
        <w:spacing w:after="120"/>
        <w:rPr>
          <w:rFonts w:cs="Noto Sans"/>
          <w:sz w:val="8"/>
          <w:szCs w:val="8"/>
        </w:rPr>
      </w:pPr>
    </w:p>
    <w:p w14:paraId="3823B490" w14:textId="77777777" w:rsidR="000916A7" w:rsidRDefault="000916A7">
      <w:pPr>
        <w:rPr>
          <w:rStyle w:val="BodyTextbold"/>
          <w:rFonts w:ascii="Noto Sans" w:hAnsi="Noto Sans" w:cs="Noto Sans"/>
          <w:bCs/>
          <w:szCs w:val="20"/>
        </w:rPr>
      </w:pPr>
      <w:r>
        <w:rPr>
          <w:rStyle w:val="BodyTextbold"/>
          <w:rFonts w:ascii="Noto Sans" w:hAnsi="Noto Sans" w:cs="Noto Sans"/>
          <w:bCs/>
          <w:szCs w:val="20"/>
        </w:rPr>
        <w:br w:type="page"/>
      </w:r>
    </w:p>
    <w:p w14:paraId="3FBADE55" w14:textId="49BE12CF" w:rsidR="00BC32CB" w:rsidRPr="00C05CB1" w:rsidRDefault="00BC32CB" w:rsidP="00BC32CB">
      <w:pPr>
        <w:pStyle w:val="ListParagraph"/>
        <w:keepNext/>
        <w:keepLines/>
        <w:numPr>
          <w:ilvl w:val="0"/>
          <w:numId w:val="17"/>
        </w:numPr>
        <w:spacing w:after="120" w:line="300" w:lineRule="atLeast"/>
        <w:rPr>
          <w:rFonts w:eastAsia="Times New Roman" w:cs="Noto Sans"/>
          <w:b/>
          <w:szCs w:val="20"/>
          <w:lang w:eastAsia="en-AU"/>
        </w:rPr>
      </w:pPr>
      <w:r w:rsidRPr="00C05CB1">
        <w:rPr>
          <w:rStyle w:val="BodyTextbold"/>
          <w:rFonts w:ascii="Noto Sans" w:hAnsi="Noto Sans" w:cs="Noto Sans"/>
          <w:szCs w:val="20"/>
        </w:rPr>
        <w:lastRenderedPageBreak/>
        <w:t>Decision</w:t>
      </w:r>
      <w:r w:rsidRPr="00C05CB1">
        <w:rPr>
          <w:rFonts w:eastAsia="Times New Roman" w:cs="Noto Sans"/>
          <w:szCs w:val="20"/>
          <w:lang w:eastAsia="en-AU"/>
        </w:rPr>
        <w:t xml:space="preserve"> </w:t>
      </w:r>
      <w:r w:rsidRPr="00C05CB1">
        <w:rPr>
          <w:rFonts w:eastAsia="Times New Roman" w:cs="Noto Sans"/>
          <w:b/>
          <w:szCs w:val="20"/>
          <w:lang w:eastAsia="en-AU"/>
        </w:rPr>
        <w:t>rules for the commercial sect</w:t>
      </w:r>
      <w:r w:rsidR="007E12E0" w:rsidRPr="00C05CB1">
        <w:rPr>
          <w:rFonts w:eastAsia="Times New Roman" w:cs="Noto Sans"/>
          <w:b/>
          <w:szCs w:val="20"/>
          <w:lang w:eastAsia="en-AU"/>
        </w:rPr>
        <w:t xml:space="preserve">or </w:t>
      </w:r>
      <w:r w:rsidR="004E14B5" w:rsidRPr="00C05CB1">
        <w:rPr>
          <w:rFonts w:eastAsia="Times New Roman" w:cs="Noto Sans"/>
          <w:b/>
          <w:szCs w:val="20"/>
          <w:lang w:eastAsia="en-AU"/>
        </w:rPr>
        <w:t xml:space="preserve">for tier </w:t>
      </w:r>
      <w:r w:rsidR="00303609">
        <w:rPr>
          <w:rFonts w:eastAsia="Times New Roman" w:cs="Noto Sans"/>
          <w:b/>
          <w:szCs w:val="20"/>
          <w:lang w:eastAsia="en-AU"/>
        </w:rPr>
        <w:t xml:space="preserve">1 and </w:t>
      </w:r>
      <w:r w:rsidR="004E14B5" w:rsidRPr="00C05CB1">
        <w:rPr>
          <w:rFonts w:eastAsia="Times New Roman" w:cs="Noto Sans"/>
          <w:b/>
          <w:szCs w:val="20"/>
          <w:lang w:eastAsia="en-AU"/>
        </w:rPr>
        <w:t>2 species with TACC’s based on the historic reference period</w:t>
      </w:r>
    </w:p>
    <w:p w14:paraId="601C4289" w14:textId="7BB573C6" w:rsidR="00A64B0C" w:rsidRPr="00DD6BFA" w:rsidRDefault="00BC32CB" w:rsidP="000916A7">
      <w:pPr>
        <w:pBdr>
          <w:bottom w:val="single" w:sz="4" w:space="1" w:color="005672"/>
        </w:pBdr>
        <w:spacing w:after="120"/>
        <w:rPr>
          <w:rFonts w:cs="Noto Sans"/>
          <w:sz w:val="8"/>
          <w:szCs w:val="8"/>
        </w:rPr>
      </w:pPr>
      <w:r w:rsidRPr="00975198">
        <w:t xml:space="preserve">The below decision rules have been designed </w:t>
      </w:r>
      <w:r w:rsidR="004D755F">
        <w:t>for</w:t>
      </w:r>
      <w:r w:rsidR="006B5F81" w:rsidRPr="006B5F81">
        <w:t xml:space="preserve"> tier </w:t>
      </w:r>
      <w:r w:rsidR="00303609">
        <w:t xml:space="preserve">1 and </w:t>
      </w:r>
      <w:r w:rsidR="006B5F81" w:rsidRPr="006B5F81">
        <w:t xml:space="preserve">2 species with TACC’s </w:t>
      </w:r>
      <w:r w:rsidR="0042685A">
        <w:t>set</w:t>
      </w:r>
      <w:r w:rsidR="00994CE0">
        <w:t xml:space="preserve"> based on the historic reference period. The decision rules use a</w:t>
      </w:r>
      <w:r w:rsidR="006B5F81" w:rsidRPr="006B5F81">
        <w:t xml:space="preserve"> trigger reference point to monitor nominal commercial catch rates and adjust commercial harvest accordingly</w:t>
      </w:r>
      <w:r w:rsidR="004D755F">
        <w:t xml:space="preserve">, to </w:t>
      </w:r>
      <w:r w:rsidR="002B00CC">
        <w:t>ensure sustainable limits are maintained</w:t>
      </w:r>
      <w:r w:rsidR="00E820A6">
        <w:t xml:space="preserve"> and assessment needs can be prioritised if required to pursue the objectives of the harvest strategy</w:t>
      </w:r>
      <w:r w:rsidR="002B00CC">
        <w:t xml:space="preserve">. </w:t>
      </w:r>
      <w:r w:rsidR="00A009C9">
        <w:t xml:space="preserve">These decision rules would not be applicable to a TACC informed by </w:t>
      </w:r>
      <w:r w:rsidR="0068009D">
        <w:t xml:space="preserve">a </w:t>
      </w:r>
      <w:r w:rsidR="00A009C9">
        <w:t>stock assessment</w:t>
      </w:r>
      <w:r w:rsidR="0068009D">
        <w:t>.</w:t>
      </w:r>
      <w:r>
        <w:br/>
      </w:r>
    </w:p>
    <w:p w14:paraId="62520F94" w14:textId="2AB871AA" w:rsidR="00BC32CB" w:rsidRDefault="002C445B" w:rsidP="000916A7">
      <w:pPr>
        <w:pStyle w:val="ListParagraph"/>
        <w:numPr>
          <w:ilvl w:val="1"/>
          <w:numId w:val="17"/>
        </w:numPr>
        <w:spacing w:after="120"/>
        <w:ind w:left="567" w:hanging="561"/>
        <w:contextualSpacing w:val="0"/>
        <w:rPr>
          <w:rFonts w:eastAsia="Times New Roman" w:cs="Noto Sans"/>
          <w:szCs w:val="20"/>
          <w:lang w:eastAsia="en-AU"/>
        </w:rPr>
      </w:pPr>
      <w:r w:rsidRPr="00C05CB1">
        <w:rPr>
          <w:rFonts w:eastAsia="Times New Roman" w:cs="Noto Sans"/>
          <w:szCs w:val="20"/>
          <w:lang w:eastAsia="en-AU"/>
        </w:rPr>
        <w:t>If the TACC is reached for two consecutive years, and the average annual catch rate of the two most recent years (total harvest/days fished) increases from the historic reference period, increase the TACC by 10% for the following season.</w:t>
      </w:r>
    </w:p>
    <w:p w14:paraId="47781E8D" w14:textId="7BEA7644" w:rsidR="002C445B" w:rsidRDefault="002C445B" w:rsidP="000916A7">
      <w:pPr>
        <w:pStyle w:val="ListParagraph"/>
        <w:numPr>
          <w:ilvl w:val="1"/>
          <w:numId w:val="17"/>
        </w:numPr>
        <w:spacing w:after="120"/>
        <w:ind w:left="567" w:hanging="561"/>
        <w:contextualSpacing w:val="0"/>
        <w:rPr>
          <w:rFonts w:eastAsia="Times New Roman" w:cs="Noto Sans"/>
          <w:szCs w:val="20"/>
          <w:lang w:eastAsia="en-AU"/>
        </w:rPr>
      </w:pPr>
      <w:r w:rsidRPr="004212FE">
        <w:rPr>
          <w:rFonts w:eastAsia="Times New Roman" w:cs="Noto Sans"/>
          <w:szCs w:val="20"/>
          <w:lang w:eastAsia="en-AU"/>
        </w:rPr>
        <w:t>If less than 50% of the TACC is reached for two consecutive years and the average annual catch rate of the two most recent years (total harvest/days fished) decreases from the historic reference period, review available information to determine if there is an unacceptable risk to the stock if ongoing catch levels continue.</w:t>
      </w:r>
    </w:p>
    <w:p w14:paraId="6D2F742F" w14:textId="00ED519E" w:rsidR="002C445B" w:rsidRPr="00C05CB1" w:rsidRDefault="002C445B" w:rsidP="000916A7">
      <w:pPr>
        <w:pStyle w:val="ListParagraph"/>
        <w:numPr>
          <w:ilvl w:val="1"/>
          <w:numId w:val="17"/>
        </w:numPr>
        <w:spacing w:after="120"/>
        <w:ind w:left="567" w:hanging="561"/>
        <w:contextualSpacing w:val="0"/>
        <w:rPr>
          <w:rFonts w:eastAsia="Times New Roman" w:cs="Noto Sans"/>
          <w:szCs w:val="20"/>
          <w:lang w:eastAsia="en-AU"/>
        </w:rPr>
      </w:pPr>
      <w:r w:rsidRPr="00C05CB1">
        <w:rPr>
          <w:rFonts w:eastAsia="Times New Roman" w:cs="Noto Sans"/>
          <w:szCs w:val="20"/>
          <w:lang w:eastAsia="en-AU"/>
        </w:rPr>
        <w:t xml:space="preserve">If the TACC is increased </w:t>
      </w:r>
      <w:proofErr w:type="gramStart"/>
      <w:r w:rsidRPr="00C05CB1">
        <w:rPr>
          <w:rFonts w:eastAsia="Times New Roman" w:cs="Noto Sans"/>
          <w:szCs w:val="20"/>
          <w:lang w:eastAsia="en-AU"/>
        </w:rPr>
        <w:t>as a consequence of</w:t>
      </w:r>
      <w:proofErr w:type="gramEnd"/>
      <w:r w:rsidRPr="00C05CB1">
        <w:rPr>
          <w:rFonts w:eastAsia="Times New Roman" w:cs="Noto Sans"/>
          <w:szCs w:val="20"/>
          <w:lang w:eastAsia="en-AU"/>
        </w:rPr>
        <w:t xml:space="preserve"> Decision Rule 2.1, review potential risk to the stock and initiate a monitoring and stock assessment program if appropriate.</w:t>
      </w:r>
    </w:p>
    <w:p w14:paraId="012C9270" w14:textId="77777777" w:rsidR="00BC32CB" w:rsidRPr="00C05CB1" w:rsidRDefault="00BC32CB" w:rsidP="000916A7">
      <w:pPr>
        <w:spacing w:after="120"/>
        <w:ind w:left="6"/>
        <w:rPr>
          <w:rFonts w:eastAsia="Times New Roman" w:cs="Noto Sans"/>
          <w:b/>
          <w:szCs w:val="20"/>
          <w:lang w:eastAsia="en-AU"/>
        </w:rPr>
      </w:pPr>
      <w:r w:rsidRPr="00C05CB1">
        <w:rPr>
          <w:rFonts w:eastAsia="Times New Roman" w:cs="Noto Sans"/>
          <w:b/>
          <w:szCs w:val="20"/>
          <w:lang w:eastAsia="en-AU"/>
        </w:rPr>
        <w:t>Notwithstanding that:</w:t>
      </w:r>
    </w:p>
    <w:p w14:paraId="30AD4C9B" w14:textId="6D530864" w:rsidR="00D54A29" w:rsidRPr="00C05CB1" w:rsidRDefault="00C95215" w:rsidP="00A64B0C">
      <w:pPr>
        <w:pStyle w:val="ListParagraph"/>
        <w:numPr>
          <w:ilvl w:val="1"/>
          <w:numId w:val="17"/>
        </w:numPr>
        <w:spacing w:after="0"/>
        <w:ind w:left="567" w:hanging="561"/>
        <w:contextualSpacing w:val="0"/>
        <w:rPr>
          <w:rFonts w:eastAsia="Times New Roman" w:cs="Noto Sans"/>
          <w:szCs w:val="20"/>
          <w:lang w:eastAsia="en-AU"/>
        </w:rPr>
      </w:pPr>
      <w:r w:rsidRPr="00C05CB1">
        <w:rPr>
          <w:rFonts w:eastAsia="Times New Roman" w:cs="Noto Sans"/>
          <w:szCs w:val="20"/>
          <w:lang w:eastAsia="en-AU"/>
        </w:rPr>
        <w:t xml:space="preserve">The TACC should not increase more than </w:t>
      </w:r>
      <w:r w:rsidR="001D1324" w:rsidRPr="00C05CB1">
        <w:rPr>
          <w:rFonts w:eastAsia="Times New Roman" w:cs="Noto Sans"/>
          <w:szCs w:val="20"/>
          <w:lang w:eastAsia="en-AU"/>
        </w:rPr>
        <w:t>3</w:t>
      </w:r>
      <w:r w:rsidRPr="00C05CB1">
        <w:rPr>
          <w:rFonts w:eastAsia="Times New Roman" w:cs="Noto Sans"/>
          <w:szCs w:val="20"/>
          <w:lang w:eastAsia="en-AU"/>
        </w:rPr>
        <w:t>0% above the historic reference period</w:t>
      </w:r>
      <w:r w:rsidR="00430835" w:rsidRPr="00C05CB1">
        <w:rPr>
          <w:rFonts w:eastAsia="Times New Roman" w:cs="Noto Sans"/>
          <w:szCs w:val="20"/>
          <w:lang w:eastAsia="en-AU"/>
        </w:rPr>
        <w:t xml:space="preserve"> </w:t>
      </w:r>
      <w:r w:rsidR="00290CC2" w:rsidRPr="00C05CB1">
        <w:rPr>
          <w:rFonts w:eastAsia="Times New Roman" w:cs="Noto Sans"/>
          <w:szCs w:val="20"/>
          <w:lang w:eastAsia="en-AU"/>
        </w:rPr>
        <w:t>without supporting biological research.</w:t>
      </w:r>
    </w:p>
    <w:p w14:paraId="3946569F" w14:textId="77777777" w:rsidR="00A64B0C" w:rsidRPr="00DD6BFA" w:rsidRDefault="00A64B0C" w:rsidP="000916A7">
      <w:pPr>
        <w:pBdr>
          <w:bottom w:val="single" w:sz="4" w:space="1" w:color="005672"/>
        </w:pBdr>
        <w:spacing w:after="120"/>
        <w:rPr>
          <w:rFonts w:cs="Noto Sans"/>
          <w:sz w:val="8"/>
          <w:szCs w:val="8"/>
        </w:rPr>
      </w:pPr>
    </w:p>
    <w:p w14:paraId="4383A585" w14:textId="77777777" w:rsidR="000B224A" w:rsidRPr="000B224A" w:rsidRDefault="000B224A" w:rsidP="000B224A">
      <w:pPr>
        <w:keepNext/>
        <w:keepLines/>
        <w:spacing w:after="0"/>
        <w:rPr>
          <w:rFonts w:eastAsia="Times New Roman" w:cs="Noto Sans"/>
          <w:b/>
          <w:bCs/>
          <w:szCs w:val="20"/>
          <w:lang w:eastAsia="en-AU"/>
        </w:rPr>
      </w:pPr>
    </w:p>
    <w:p w14:paraId="57C5C007" w14:textId="4280EF67" w:rsidR="00C95215" w:rsidRPr="00C05CB1" w:rsidRDefault="00C95215" w:rsidP="00C05CB1">
      <w:pPr>
        <w:pStyle w:val="ListParagraph"/>
        <w:keepNext/>
        <w:keepLines/>
        <w:numPr>
          <w:ilvl w:val="0"/>
          <w:numId w:val="17"/>
        </w:numPr>
        <w:spacing w:after="120"/>
        <w:ind w:left="561" w:hanging="561"/>
        <w:contextualSpacing w:val="0"/>
        <w:rPr>
          <w:rFonts w:eastAsia="Times New Roman" w:cs="Noto Sans"/>
          <w:b/>
          <w:szCs w:val="20"/>
          <w:lang w:eastAsia="en-AU"/>
        </w:rPr>
      </w:pPr>
      <w:r w:rsidRPr="00C05CB1">
        <w:rPr>
          <w:rFonts w:eastAsia="Times New Roman" w:cs="Noto Sans"/>
          <w:b/>
          <w:szCs w:val="20"/>
          <w:lang w:eastAsia="en-AU"/>
        </w:rPr>
        <w:t>Break</w:t>
      </w:r>
      <w:r w:rsidR="00665849" w:rsidRPr="00C05CB1">
        <w:rPr>
          <w:rFonts w:eastAsia="Times New Roman" w:cs="Noto Sans"/>
          <w:b/>
          <w:szCs w:val="20"/>
          <w:lang w:eastAsia="en-AU"/>
        </w:rPr>
        <w:t>-</w:t>
      </w:r>
      <w:r w:rsidRPr="00C05CB1">
        <w:rPr>
          <w:rFonts w:eastAsia="Times New Roman" w:cs="Noto Sans"/>
          <w:b/>
          <w:szCs w:val="20"/>
          <w:lang w:eastAsia="en-AU"/>
        </w:rPr>
        <w:t>out</w:t>
      </w:r>
      <w:r w:rsidR="00665849" w:rsidRPr="00C05CB1">
        <w:rPr>
          <w:rFonts w:eastAsia="Times New Roman" w:cs="Noto Sans"/>
          <w:b/>
          <w:szCs w:val="20"/>
          <w:lang w:eastAsia="en-AU"/>
        </w:rPr>
        <w:t xml:space="preserve"> </w:t>
      </w:r>
      <w:r w:rsidRPr="00C05CB1">
        <w:rPr>
          <w:rFonts w:eastAsia="Times New Roman" w:cs="Noto Sans"/>
          <w:b/>
          <w:szCs w:val="20"/>
          <w:lang w:eastAsia="en-AU"/>
        </w:rPr>
        <w:t>rule for tier 2 species with TA</w:t>
      </w:r>
      <w:r w:rsidR="00665849" w:rsidRPr="00C05CB1">
        <w:rPr>
          <w:rFonts w:eastAsia="Times New Roman" w:cs="Noto Sans"/>
          <w:b/>
          <w:szCs w:val="20"/>
          <w:lang w:eastAsia="en-AU"/>
        </w:rPr>
        <w:t>CC’s</w:t>
      </w:r>
      <w:r w:rsidR="00CA7754" w:rsidRPr="00C05CB1">
        <w:rPr>
          <w:rFonts w:eastAsia="Times New Roman" w:cs="Noto Sans"/>
          <w:b/>
          <w:szCs w:val="20"/>
          <w:lang w:eastAsia="en-AU"/>
        </w:rPr>
        <w:t xml:space="preserve"> based on the historic reference period</w:t>
      </w:r>
    </w:p>
    <w:p w14:paraId="28C541CD" w14:textId="378C0841" w:rsidR="00CA7754" w:rsidRPr="00405D72" w:rsidRDefault="00CA7754" w:rsidP="00405D72">
      <w:pPr>
        <w:spacing w:after="0"/>
        <w:rPr>
          <w:rFonts w:eastAsia="Times New Roman" w:cs="Noto Sans"/>
          <w:szCs w:val="20"/>
          <w:lang w:eastAsia="en-AU"/>
        </w:rPr>
      </w:pPr>
      <w:r w:rsidRPr="00405D72">
        <w:rPr>
          <w:rFonts w:eastAsia="Times New Roman" w:cs="Noto Sans"/>
          <w:szCs w:val="20"/>
          <w:lang w:eastAsia="en-AU"/>
        </w:rPr>
        <w:t xml:space="preserve">If a biomass estimate is available </w:t>
      </w:r>
      <w:r w:rsidR="00222F17" w:rsidRPr="00405D72">
        <w:rPr>
          <w:rFonts w:eastAsia="Times New Roman" w:cs="Noto Sans"/>
          <w:szCs w:val="20"/>
          <w:lang w:eastAsia="en-AU"/>
        </w:rPr>
        <w:t xml:space="preserve">through a stock assessment </w:t>
      </w:r>
      <w:r w:rsidR="00FB4071" w:rsidRPr="00405D72">
        <w:rPr>
          <w:rFonts w:eastAsia="Times New Roman" w:cs="Noto Sans"/>
          <w:szCs w:val="20"/>
          <w:lang w:eastAsia="en-AU"/>
        </w:rPr>
        <w:t xml:space="preserve">for a tier 2 species </w:t>
      </w:r>
      <w:r w:rsidR="00222F17" w:rsidRPr="00405D72">
        <w:rPr>
          <w:rFonts w:eastAsia="Times New Roman" w:cs="Noto Sans"/>
          <w:szCs w:val="20"/>
          <w:lang w:eastAsia="en-AU"/>
        </w:rPr>
        <w:t xml:space="preserve">that indicates a </w:t>
      </w:r>
      <w:r w:rsidR="00A6622E" w:rsidRPr="00405D72">
        <w:rPr>
          <w:rFonts w:eastAsia="Times New Roman" w:cs="Noto Sans"/>
          <w:szCs w:val="20"/>
          <w:lang w:eastAsia="en-AU"/>
        </w:rPr>
        <w:t>change</w:t>
      </w:r>
      <w:r w:rsidR="00222F17" w:rsidRPr="00405D72">
        <w:rPr>
          <w:rFonts w:eastAsia="Times New Roman" w:cs="Noto Sans"/>
          <w:szCs w:val="20"/>
          <w:lang w:eastAsia="en-AU"/>
        </w:rPr>
        <w:t xml:space="preserve"> in fishing mortality </w:t>
      </w:r>
      <w:r w:rsidR="009C6ECC" w:rsidRPr="00405D72">
        <w:rPr>
          <w:rFonts w:eastAsia="Times New Roman" w:cs="Noto Sans"/>
          <w:szCs w:val="20"/>
          <w:lang w:eastAsia="en-AU"/>
        </w:rPr>
        <w:t>is required to achieve B</w:t>
      </w:r>
      <w:r w:rsidR="009C6ECC" w:rsidRPr="00405D72">
        <w:rPr>
          <w:rFonts w:eastAsia="Times New Roman" w:cs="Noto Sans"/>
          <w:i/>
          <w:szCs w:val="20"/>
          <w:lang w:eastAsia="en-AU"/>
        </w:rPr>
        <w:t>targ</w:t>
      </w:r>
      <w:r w:rsidR="009C6ECC" w:rsidRPr="00405D72">
        <w:rPr>
          <w:rFonts w:eastAsia="Times New Roman" w:cs="Noto Sans"/>
          <w:szCs w:val="20"/>
          <w:lang w:eastAsia="en-AU"/>
        </w:rPr>
        <w:t xml:space="preserve"> or avoid B</w:t>
      </w:r>
      <w:r w:rsidR="009C6ECC" w:rsidRPr="00405D72">
        <w:rPr>
          <w:rFonts w:eastAsia="Times New Roman" w:cs="Noto Sans"/>
          <w:i/>
          <w:szCs w:val="20"/>
          <w:lang w:eastAsia="en-AU"/>
        </w:rPr>
        <w:t>lim</w:t>
      </w:r>
      <w:r w:rsidR="009C6ECC" w:rsidRPr="00405D72">
        <w:rPr>
          <w:rFonts w:eastAsia="Times New Roman" w:cs="Noto Sans"/>
          <w:szCs w:val="20"/>
          <w:lang w:eastAsia="en-AU"/>
        </w:rPr>
        <w:t xml:space="preserve">, then </w:t>
      </w:r>
      <w:r w:rsidR="002433B9" w:rsidRPr="00405D72">
        <w:rPr>
          <w:rFonts w:eastAsia="Times New Roman" w:cs="Noto Sans"/>
          <w:szCs w:val="20"/>
          <w:lang w:eastAsia="en-AU"/>
        </w:rPr>
        <w:t xml:space="preserve">management action must be taken to </w:t>
      </w:r>
      <w:r w:rsidR="004C7A66" w:rsidRPr="00405D72">
        <w:rPr>
          <w:rFonts w:eastAsia="Times New Roman" w:cs="Noto Sans"/>
          <w:szCs w:val="20"/>
          <w:lang w:eastAsia="en-AU"/>
        </w:rPr>
        <w:t>achieve</w:t>
      </w:r>
      <w:r w:rsidR="002433B9" w:rsidRPr="00405D72">
        <w:rPr>
          <w:rFonts w:eastAsia="Times New Roman" w:cs="Noto Sans"/>
          <w:szCs w:val="20"/>
          <w:lang w:eastAsia="en-AU"/>
        </w:rPr>
        <w:t xml:space="preserve"> the fishery objectives. </w:t>
      </w:r>
      <w:r w:rsidR="006F1021" w:rsidRPr="00405D72">
        <w:rPr>
          <w:rFonts w:eastAsia="Times New Roman" w:cs="Noto Sans"/>
          <w:szCs w:val="20"/>
          <w:lang w:eastAsia="en-AU"/>
        </w:rPr>
        <w:t xml:space="preserve"> </w:t>
      </w:r>
    </w:p>
    <w:p w14:paraId="04787980" w14:textId="77777777" w:rsidR="00A64B0C" w:rsidRPr="00DD6BFA" w:rsidRDefault="00A64B0C" w:rsidP="000916A7">
      <w:pPr>
        <w:pBdr>
          <w:bottom w:val="single" w:sz="4" w:space="1" w:color="005672"/>
        </w:pBdr>
        <w:spacing w:after="120"/>
        <w:rPr>
          <w:rFonts w:cs="Noto Sans"/>
          <w:sz w:val="8"/>
          <w:szCs w:val="8"/>
        </w:rPr>
      </w:pPr>
    </w:p>
    <w:p w14:paraId="7F78A3C6" w14:textId="06C0A96A" w:rsidR="000B224A" w:rsidRPr="000B224A" w:rsidRDefault="000B224A" w:rsidP="000B224A">
      <w:pPr>
        <w:keepNext/>
        <w:keepLines/>
        <w:spacing w:after="0"/>
        <w:rPr>
          <w:rStyle w:val="BodyTextbold"/>
          <w:rFonts w:ascii="Noto Sans" w:eastAsia="Times New Roman" w:hAnsi="Noto Sans" w:cs="Noto Sans"/>
          <w:szCs w:val="20"/>
        </w:rPr>
      </w:pPr>
    </w:p>
    <w:p w14:paraId="50C5608B" w14:textId="77777777" w:rsidR="00F957CF" w:rsidRPr="00C05CB1" w:rsidRDefault="00F957CF" w:rsidP="00C05CB1">
      <w:pPr>
        <w:pStyle w:val="ListParagraph"/>
        <w:keepNext/>
        <w:keepLines/>
        <w:numPr>
          <w:ilvl w:val="0"/>
          <w:numId w:val="17"/>
        </w:numPr>
        <w:spacing w:after="120"/>
        <w:rPr>
          <w:rFonts w:eastAsia="Times New Roman" w:cs="Noto Sans"/>
          <w:b/>
          <w:szCs w:val="20"/>
          <w:lang w:eastAsia="en-AU"/>
        </w:rPr>
      </w:pPr>
      <w:r w:rsidRPr="00C05CB1">
        <w:rPr>
          <w:rStyle w:val="BodyTextbold"/>
          <w:rFonts w:ascii="Noto Sans" w:hAnsi="Noto Sans" w:cs="Noto Sans"/>
          <w:szCs w:val="20"/>
        </w:rPr>
        <w:t>Decision</w:t>
      </w:r>
      <w:r w:rsidRPr="00C05CB1">
        <w:rPr>
          <w:rFonts w:eastAsia="Times New Roman" w:cs="Noto Sans"/>
          <w:szCs w:val="20"/>
          <w:lang w:eastAsia="en-AU"/>
        </w:rPr>
        <w:t xml:space="preserve"> </w:t>
      </w:r>
      <w:r w:rsidRPr="00C05CB1">
        <w:rPr>
          <w:rFonts w:eastAsia="Times New Roman" w:cs="Noto Sans"/>
          <w:b/>
          <w:szCs w:val="20"/>
          <w:lang w:eastAsia="en-AU"/>
        </w:rPr>
        <w:t>rules for the recreational and charter sector for tier 1 and tier 2 species</w:t>
      </w:r>
    </w:p>
    <w:p w14:paraId="06431E1A" w14:textId="77777777" w:rsidR="00A64B0C" w:rsidRPr="00DD6BFA" w:rsidRDefault="00F957CF" w:rsidP="000916A7">
      <w:pPr>
        <w:pBdr>
          <w:bottom w:val="single" w:sz="4" w:space="1" w:color="005672"/>
        </w:pBdr>
        <w:spacing w:after="120"/>
        <w:rPr>
          <w:rFonts w:cs="Noto Sans"/>
          <w:sz w:val="8"/>
          <w:szCs w:val="8"/>
        </w:rPr>
      </w:pPr>
      <w:r w:rsidRPr="00C05CB1">
        <w:rPr>
          <w:rFonts w:cs="Noto Sans"/>
          <w:szCs w:val="20"/>
        </w:rPr>
        <w:t xml:space="preserve">The below decision rules have been designed to maintain catch shares between sectors. If a new estimate of recreational or charter harvest indicate that either sector have increased their catch outside of their allocated catch share for any tier 1 or 2 species, then management action </w:t>
      </w:r>
      <w:r w:rsidR="00B45F29" w:rsidRPr="00C05CB1">
        <w:rPr>
          <w:rFonts w:cs="Noto Sans"/>
          <w:szCs w:val="20"/>
        </w:rPr>
        <w:t>must</w:t>
      </w:r>
      <w:r w:rsidRPr="00C05CB1">
        <w:rPr>
          <w:rFonts w:cs="Noto Sans"/>
          <w:szCs w:val="20"/>
        </w:rPr>
        <w:t xml:space="preserve"> be taken to </w:t>
      </w:r>
      <w:r w:rsidR="00F21957" w:rsidRPr="00C05CB1">
        <w:rPr>
          <w:rFonts w:cs="Noto Sans"/>
          <w:szCs w:val="20"/>
        </w:rPr>
        <w:t>return</w:t>
      </w:r>
      <w:r w:rsidRPr="00C05CB1">
        <w:rPr>
          <w:rFonts w:cs="Noto Sans"/>
          <w:szCs w:val="20"/>
        </w:rPr>
        <w:t xml:space="preserve"> them within this share.</w:t>
      </w:r>
      <w:r w:rsidRPr="00C05CB1">
        <w:rPr>
          <w:rFonts w:cs="Noto Sans"/>
          <w:szCs w:val="20"/>
        </w:rPr>
        <w:br/>
      </w:r>
    </w:p>
    <w:p w14:paraId="3AD6D5D6" w14:textId="36E4B682" w:rsidR="00F957CF" w:rsidRPr="00C05CB1" w:rsidRDefault="00F957CF" w:rsidP="000916A7">
      <w:pPr>
        <w:spacing w:after="120"/>
        <w:rPr>
          <w:rFonts w:cs="Noto Sans"/>
          <w:szCs w:val="20"/>
          <w:lang w:eastAsia="en-AU"/>
        </w:rPr>
      </w:pPr>
      <w:r w:rsidRPr="00C05CB1">
        <w:rPr>
          <w:rFonts w:eastAsia="Times New Roman" w:cs="Noto Sans"/>
          <w:szCs w:val="20"/>
          <w:lang w:eastAsia="en-AU"/>
        </w:rPr>
        <w:t xml:space="preserve">If a recreational harvest estimate is no more than 10% above the allocated recreational catch </w:t>
      </w:r>
      <w:r w:rsidR="000D5A37" w:rsidRPr="00C05CB1">
        <w:rPr>
          <w:rFonts w:eastAsia="Times New Roman" w:cs="Noto Sans"/>
          <w:szCs w:val="20"/>
          <w:lang w:eastAsia="en-AU"/>
        </w:rPr>
        <w:t>share</w:t>
      </w:r>
      <w:r w:rsidRPr="00C05CB1">
        <w:rPr>
          <w:rFonts w:eastAsia="Times New Roman" w:cs="Noto Sans"/>
          <w:szCs w:val="20"/>
          <w:lang w:eastAsia="en-AU"/>
        </w:rPr>
        <w:t>, then no management action is required.</w:t>
      </w:r>
    </w:p>
    <w:p w14:paraId="5ED63893" w14:textId="04CCED9F" w:rsidR="00F957CF" w:rsidRPr="00C05CB1" w:rsidRDefault="00F957CF" w:rsidP="000916A7">
      <w:pPr>
        <w:pStyle w:val="ListParagraph"/>
        <w:numPr>
          <w:ilvl w:val="1"/>
          <w:numId w:val="17"/>
        </w:numPr>
        <w:spacing w:after="120"/>
        <w:ind w:left="567" w:hanging="561"/>
        <w:rPr>
          <w:rFonts w:eastAsia="Times New Roman" w:cs="Noto Sans"/>
          <w:szCs w:val="20"/>
          <w:lang w:eastAsia="en-AU"/>
        </w:rPr>
      </w:pPr>
      <w:r w:rsidRPr="00C05CB1">
        <w:rPr>
          <w:rFonts w:eastAsia="Times New Roman" w:cs="Noto Sans"/>
          <w:szCs w:val="20"/>
          <w:lang w:eastAsia="en-AU"/>
        </w:rPr>
        <w:t xml:space="preserve">If an estimate of recreational harvest exceeds the catch share by greater than 10%, the </w:t>
      </w:r>
      <w:r w:rsidR="00CA4068" w:rsidRPr="00C05CB1">
        <w:rPr>
          <w:rFonts w:eastAsia="Times New Roman" w:cs="Noto Sans"/>
          <w:szCs w:val="20"/>
          <w:lang w:eastAsia="en-AU"/>
        </w:rPr>
        <w:t xml:space="preserve">recreational </w:t>
      </w:r>
      <w:r w:rsidR="00CF2F0B" w:rsidRPr="00C05CB1">
        <w:rPr>
          <w:rFonts w:eastAsia="Times New Roman" w:cs="Noto Sans"/>
          <w:szCs w:val="20"/>
          <w:lang w:eastAsia="en-AU"/>
        </w:rPr>
        <w:t>management controls</w:t>
      </w:r>
      <w:r w:rsidR="00CA4068" w:rsidRPr="00C05CB1">
        <w:rPr>
          <w:rFonts w:eastAsia="Times New Roman" w:cs="Noto Sans"/>
          <w:szCs w:val="20"/>
          <w:lang w:eastAsia="en-AU"/>
        </w:rPr>
        <w:t xml:space="preserve"> </w:t>
      </w:r>
      <w:r w:rsidR="00F97047" w:rsidRPr="00C05CB1">
        <w:rPr>
          <w:rFonts w:eastAsia="Times New Roman" w:cs="Noto Sans"/>
          <w:szCs w:val="20"/>
          <w:lang w:eastAsia="en-AU"/>
        </w:rPr>
        <w:t>will be reviewed</w:t>
      </w:r>
      <w:r w:rsidR="00B26946" w:rsidRPr="00C05CB1">
        <w:rPr>
          <w:rFonts w:eastAsia="Times New Roman" w:cs="Noto Sans"/>
          <w:szCs w:val="20"/>
          <w:lang w:eastAsia="en-AU"/>
        </w:rPr>
        <w:t xml:space="preserve"> to </w:t>
      </w:r>
      <w:r w:rsidRPr="00C05CB1">
        <w:rPr>
          <w:rFonts w:eastAsia="Times New Roman" w:cs="Noto Sans"/>
          <w:szCs w:val="20"/>
          <w:lang w:eastAsia="en-AU"/>
        </w:rPr>
        <w:t xml:space="preserve">achieve the allocated recreational catch </w:t>
      </w:r>
      <w:r w:rsidR="007D723E" w:rsidRPr="00C05CB1">
        <w:rPr>
          <w:rFonts w:eastAsia="Times New Roman" w:cs="Noto Sans"/>
          <w:szCs w:val="20"/>
          <w:lang w:eastAsia="en-AU"/>
        </w:rPr>
        <w:t>share</w:t>
      </w:r>
      <w:r w:rsidRPr="00C05CB1">
        <w:rPr>
          <w:rFonts w:eastAsia="Times New Roman" w:cs="Noto Sans"/>
          <w:szCs w:val="20"/>
          <w:lang w:eastAsia="en-AU"/>
        </w:rPr>
        <w:t>.</w:t>
      </w:r>
    </w:p>
    <w:p w14:paraId="5B454454" w14:textId="0AA6B162" w:rsidR="00F957CF" w:rsidRPr="00C05CB1" w:rsidRDefault="00F957CF" w:rsidP="000916A7">
      <w:pPr>
        <w:pStyle w:val="ListParagraph"/>
        <w:numPr>
          <w:ilvl w:val="1"/>
          <w:numId w:val="17"/>
        </w:numPr>
        <w:spacing w:after="120"/>
        <w:ind w:left="567" w:hanging="561"/>
        <w:rPr>
          <w:rFonts w:eastAsia="Times New Roman" w:cs="Noto Sans"/>
          <w:szCs w:val="20"/>
          <w:lang w:eastAsia="en-AU"/>
        </w:rPr>
      </w:pPr>
      <w:r w:rsidRPr="00C05CB1">
        <w:rPr>
          <w:rFonts w:eastAsia="Times New Roman" w:cs="Noto Sans"/>
          <w:szCs w:val="20"/>
          <w:lang w:eastAsia="en-AU"/>
        </w:rPr>
        <w:t xml:space="preserve">If the </w:t>
      </w:r>
      <w:r w:rsidR="00A7580E" w:rsidRPr="00C05CB1">
        <w:rPr>
          <w:rFonts w:eastAsia="Times New Roman" w:cs="Noto Sans"/>
          <w:szCs w:val="20"/>
          <w:lang w:eastAsia="en-AU"/>
        </w:rPr>
        <w:t xml:space="preserve">total allowable commercial catch increases, </w:t>
      </w:r>
      <w:r w:rsidR="00CA3256" w:rsidRPr="00C05CB1">
        <w:rPr>
          <w:rFonts w:eastAsia="Times New Roman" w:cs="Noto Sans"/>
          <w:szCs w:val="20"/>
          <w:lang w:eastAsia="en-AU"/>
        </w:rPr>
        <w:t xml:space="preserve">recreational output controls will be reviewed </w:t>
      </w:r>
      <w:r w:rsidR="002F26CB" w:rsidRPr="00C05CB1">
        <w:rPr>
          <w:rFonts w:eastAsia="Times New Roman" w:cs="Noto Sans"/>
          <w:szCs w:val="20"/>
          <w:lang w:eastAsia="en-AU"/>
        </w:rPr>
        <w:t>to maintain the allocated recreational catch share.</w:t>
      </w:r>
      <w:r w:rsidR="00CA3256" w:rsidRPr="00C05CB1">
        <w:rPr>
          <w:rFonts w:eastAsia="Times New Roman" w:cs="Noto Sans"/>
          <w:szCs w:val="20"/>
          <w:lang w:eastAsia="en-AU"/>
        </w:rPr>
        <w:t xml:space="preserve"> </w:t>
      </w:r>
    </w:p>
    <w:p w14:paraId="0B5B3E0F" w14:textId="77777777" w:rsidR="00F957CF" w:rsidRPr="00C05CB1" w:rsidRDefault="00F957CF" w:rsidP="000916A7">
      <w:pPr>
        <w:spacing w:after="120"/>
        <w:ind w:left="6"/>
        <w:rPr>
          <w:rFonts w:eastAsia="Times New Roman" w:cs="Noto Sans"/>
          <w:b/>
          <w:szCs w:val="20"/>
          <w:lang w:eastAsia="en-AU"/>
        </w:rPr>
      </w:pPr>
      <w:r w:rsidRPr="00C05CB1">
        <w:rPr>
          <w:rFonts w:eastAsia="Times New Roman" w:cs="Noto Sans"/>
          <w:b/>
          <w:szCs w:val="20"/>
          <w:lang w:eastAsia="en-AU"/>
        </w:rPr>
        <w:t>Notwithstanding that:</w:t>
      </w:r>
    </w:p>
    <w:p w14:paraId="46687C5F" w14:textId="582073F4" w:rsidR="00F957CF" w:rsidRDefault="00F957CF" w:rsidP="00980DE7">
      <w:pPr>
        <w:pStyle w:val="ListParagraph"/>
        <w:numPr>
          <w:ilvl w:val="1"/>
          <w:numId w:val="17"/>
        </w:numPr>
        <w:spacing w:after="0"/>
        <w:ind w:left="567" w:hanging="561"/>
        <w:contextualSpacing w:val="0"/>
        <w:rPr>
          <w:rFonts w:eastAsia="Times New Roman" w:cs="Noto Sans"/>
          <w:szCs w:val="20"/>
          <w:lang w:eastAsia="en-AU"/>
        </w:rPr>
      </w:pPr>
      <w:r w:rsidRPr="00C05CB1">
        <w:rPr>
          <w:rFonts w:eastAsia="Times New Roman" w:cs="Noto Sans"/>
          <w:szCs w:val="20"/>
          <w:lang w:eastAsia="en-AU"/>
        </w:rPr>
        <w:lastRenderedPageBreak/>
        <w:t>If a stock is below B</w:t>
      </w:r>
      <w:r w:rsidRPr="00C05CB1">
        <w:rPr>
          <w:rFonts w:eastAsia="Times New Roman" w:cs="Noto Sans"/>
          <w:i/>
          <w:szCs w:val="20"/>
          <w:lang w:eastAsia="en-AU"/>
        </w:rPr>
        <w:t>lim</w:t>
      </w:r>
      <w:r w:rsidRPr="00C05CB1">
        <w:rPr>
          <w:rFonts w:eastAsia="Times New Roman" w:cs="Noto Sans"/>
          <w:szCs w:val="20"/>
          <w:lang w:eastAsia="en-AU"/>
        </w:rPr>
        <w:t xml:space="preserve"> and </w:t>
      </w:r>
      <w:r w:rsidR="00FD4E59" w:rsidRPr="00C05CB1">
        <w:rPr>
          <w:rFonts w:eastAsia="Times New Roman" w:cs="Noto Sans"/>
          <w:szCs w:val="20"/>
          <w:lang w:eastAsia="en-AU"/>
        </w:rPr>
        <w:t>further modelling indicates that a</w:t>
      </w:r>
      <w:r w:rsidRPr="00C05CB1">
        <w:rPr>
          <w:rFonts w:eastAsia="Times New Roman" w:cs="Noto Sans"/>
          <w:szCs w:val="20"/>
          <w:lang w:eastAsia="en-AU"/>
        </w:rPr>
        <w:t xml:space="preserve"> recommend</w:t>
      </w:r>
      <w:r w:rsidR="00FD4E59" w:rsidRPr="00C05CB1">
        <w:rPr>
          <w:rFonts w:eastAsia="Times New Roman" w:cs="Noto Sans"/>
          <w:szCs w:val="20"/>
          <w:lang w:eastAsia="en-AU"/>
        </w:rPr>
        <w:t>ed biological catch of zero be applied</w:t>
      </w:r>
      <w:r w:rsidR="00BC6AC8" w:rsidRPr="00C05CB1">
        <w:rPr>
          <w:rFonts w:eastAsia="Times New Roman" w:cs="Noto Sans"/>
          <w:szCs w:val="20"/>
          <w:lang w:eastAsia="en-AU"/>
        </w:rPr>
        <w:t xml:space="preserve"> to achieve rebuilding to </w:t>
      </w:r>
      <w:r w:rsidR="00630413" w:rsidRPr="00C05CB1">
        <w:rPr>
          <w:rFonts w:eastAsia="Times New Roman" w:cs="Noto Sans"/>
          <w:szCs w:val="20"/>
          <w:lang w:eastAsia="en-AU"/>
        </w:rPr>
        <w:t>maximum economic yield</w:t>
      </w:r>
      <w:r w:rsidR="00FD4E59" w:rsidRPr="00C05CB1">
        <w:rPr>
          <w:rFonts w:eastAsia="Times New Roman" w:cs="Noto Sans"/>
          <w:szCs w:val="20"/>
          <w:lang w:eastAsia="en-AU"/>
        </w:rPr>
        <w:t>,</w:t>
      </w:r>
      <w:r w:rsidRPr="00C05CB1">
        <w:rPr>
          <w:rFonts w:eastAsia="Times New Roman" w:cs="Noto Sans"/>
          <w:szCs w:val="20"/>
          <w:lang w:eastAsia="en-AU"/>
        </w:rPr>
        <w:t xml:space="preserve"> no targeted fishing for the species will be permitted for all sectors.</w:t>
      </w:r>
    </w:p>
    <w:p w14:paraId="0E9961E3" w14:textId="77777777" w:rsidR="003371C9" w:rsidRPr="003371C9" w:rsidRDefault="003371C9" w:rsidP="003371C9">
      <w:pPr>
        <w:pBdr>
          <w:bottom w:val="single" w:sz="4" w:space="1" w:color="005672"/>
        </w:pBdr>
        <w:spacing w:after="120"/>
        <w:rPr>
          <w:rFonts w:cs="Noto Sans"/>
          <w:sz w:val="8"/>
          <w:szCs w:val="8"/>
        </w:rPr>
      </w:pPr>
    </w:p>
    <w:p w14:paraId="6C297650" w14:textId="149651EE" w:rsidR="003371C9" w:rsidRPr="003371C9" w:rsidRDefault="003371C9" w:rsidP="003371C9">
      <w:pPr>
        <w:spacing w:after="0"/>
        <w:rPr>
          <w:rFonts w:eastAsia="Times New Roman" w:cs="Noto Sans"/>
          <w:szCs w:val="20"/>
          <w:lang w:eastAsia="en-AU"/>
        </w:rPr>
      </w:pPr>
    </w:p>
    <w:p w14:paraId="1B6E9316" w14:textId="43BE5AFD" w:rsidR="00385630" w:rsidRPr="00C05CB1" w:rsidRDefault="00385630" w:rsidP="00C05CB1">
      <w:pPr>
        <w:pStyle w:val="ListParagraph"/>
        <w:keepNext/>
        <w:keepLines/>
        <w:numPr>
          <w:ilvl w:val="0"/>
          <w:numId w:val="17"/>
        </w:numPr>
        <w:spacing w:after="120"/>
        <w:rPr>
          <w:rFonts w:eastAsia="Times New Roman" w:cs="Noto Sans"/>
          <w:b/>
          <w:szCs w:val="20"/>
          <w:lang w:eastAsia="en-AU"/>
        </w:rPr>
      </w:pPr>
      <w:r w:rsidRPr="00C05CB1">
        <w:rPr>
          <w:rStyle w:val="BodyTextbold"/>
          <w:rFonts w:ascii="Noto Sans" w:hAnsi="Noto Sans" w:cs="Noto Sans"/>
          <w:szCs w:val="20"/>
        </w:rPr>
        <w:t>Decision</w:t>
      </w:r>
      <w:r w:rsidRPr="00C05CB1">
        <w:rPr>
          <w:rFonts w:eastAsia="Times New Roman" w:cs="Noto Sans"/>
          <w:szCs w:val="20"/>
          <w:lang w:eastAsia="en-AU"/>
        </w:rPr>
        <w:t xml:space="preserve"> </w:t>
      </w:r>
      <w:r w:rsidRPr="00C05CB1">
        <w:rPr>
          <w:rFonts w:eastAsia="Times New Roman" w:cs="Noto Sans"/>
          <w:b/>
          <w:szCs w:val="20"/>
          <w:lang w:eastAsia="en-AU"/>
        </w:rPr>
        <w:t xml:space="preserve">rules for managing the total commercial fishing mortality (retained and non-retained) of </w:t>
      </w:r>
      <w:r w:rsidR="00823555" w:rsidRPr="00C05CB1">
        <w:rPr>
          <w:rFonts w:eastAsia="Times New Roman" w:cs="Noto Sans"/>
          <w:b/>
          <w:szCs w:val="20"/>
          <w:lang w:eastAsia="en-AU"/>
        </w:rPr>
        <w:t>Gulf of Carpentaria Inshore Fishery species</w:t>
      </w:r>
    </w:p>
    <w:p w14:paraId="490C88EE" w14:textId="77777777" w:rsidR="00C05CB1" w:rsidRPr="002A49C4" w:rsidRDefault="00A75B4E" w:rsidP="002A49C4">
      <w:pPr>
        <w:pBdr>
          <w:bottom w:val="single" w:sz="4" w:space="1" w:color="005672"/>
        </w:pBdr>
        <w:spacing w:after="120"/>
        <w:rPr>
          <w:rFonts w:cs="Noto Sans"/>
          <w:sz w:val="8"/>
          <w:szCs w:val="8"/>
        </w:rPr>
      </w:pPr>
      <w:r w:rsidRPr="00C05CB1">
        <w:rPr>
          <w:rFonts w:cs="Noto Sans"/>
          <w:szCs w:val="20"/>
        </w:rPr>
        <w:t>The harvest strategy contains the below rules to discourage non-retention (e.g. discarding, high grading) of species with a TACC. These rules provide guidance for additional management that may be required to account for excess levels of fishing mortality. Monitoring of non-retention will be progressed through a combination of fishery-dependent reporting and independent monitoring as required.</w:t>
      </w:r>
      <w:r w:rsidR="00385630" w:rsidRPr="00C05CB1">
        <w:rPr>
          <w:rFonts w:cs="Noto Sans"/>
          <w:szCs w:val="20"/>
        </w:rPr>
        <w:br/>
      </w:r>
    </w:p>
    <w:p w14:paraId="29269B02" w14:textId="47DF59B6" w:rsidR="00385630" w:rsidRPr="00C05CB1" w:rsidRDefault="00B2090F" w:rsidP="002A49C4">
      <w:pPr>
        <w:pStyle w:val="ListParagraph"/>
        <w:numPr>
          <w:ilvl w:val="1"/>
          <w:numId w:val="17"/>
        </w:numPr>
        <w:spacing w:after="120"/>
        <w:ind w:left="567" w:hanging="561"/>
        <w:contextualSpacing w:val="0"/>
        <w:rPr>
          <w:rFonts w:cs="Noto Sans"/>
          <w:szCs w:val="20"/>
          <w:lang w:eastAsia="en-AU"/>
        </w:rPr>
      </w:pPr>
      <w:commentRangeStart w:id="33"/>
      <w:r w:rsidRPr="00C05CB1">
        <w:rPr>
          <w:rFonts w:eastAsia="Times New Roman" w:cs="Noto Sans"/>
          <w:szCs w:val="20"/>
          <w:lang w:eastAsia="en-AU"/>
        </w:rPr>
        <w:t xml:space="preserve">If the reported non-retained catch is </w:t>
      </w:r>
      <w:r w:rsidR="00D75794" w:rsidRPr="00C05CB1">
        <w:rPr>
          <w:rFonts w:eastAsia="Times New Roman" w:cs="Noto Sans"/>
          <w:szCs w:val="20"/>
          <w:lang w:eastAsia="en-AU"/>
        </w:rPr>
        <w:t>determined</w:t>
      </w:r>
      <w:r w:rsidRPr="00C05CB1">
        <w:rPr>
          <w:rFonts w:eastAsia="Times New Roman" w:cs="Noto Sans"/>
          <w:szCs w:val="20"/>
          <w:lang w:eastAsia="en-AU"/>
        </w:rPr>
        <w:t xml:space="preserve"> to be at a level that increases the fishing mortality for a species above the amount that will allow the stock to rebuild to the target biomass levels, management changes </w:t>
      </w:r>
      <w:r w:rsidR="009D1C8F" w:rsidRPr="00C05CB1">
        <w:rPr>
          <w:rFonts w:eastAsia="Times New Roman" w:cs="Noto Sans"/>
          <w:szCs w:val="20"/>
          <w:lang w:eastAsia="en-AU"/>
        </w:rPr>
        <w:t>must be implemented</w:t>
      </w:r>
      <w:r w:rsidRPr="00C05CB1">
        <w:rPr>
          <w:rFonts w:eastAsia="Times New Roman" w:cs="Noto Sans"/>
          <w:szCs w:val="20"/>
          <w:lang w:eastAsia="en-AU"/>
        </w:rPr>
        <w:t xml:space="preserve"> to reduce non-retention</w:t>
      </w:r>
      <w:r w:rsidR="00F02F96" w:rsidRPr="00C05CB1">
        <w:rPr>
          <w:rFonts w:eastAsia="Times New Roman" w:cs="Noto Sans"/>
          <w:szCs w:val="20"/>
          <w:lang w:eastAsia="en-AU"/>
        </w:rPr>
        <w:t>.</w:t>
      </w:r>
    </w:p>
    <w:p w14:paraId="78BDB1EC" w14:textId="79CA6262" w:rsidR="0003319C" w:rsidRPr="002A49C4" w:rsidRDefault="0003319C" w:rsidP="002A49C4">
      <w:pPr>
        <w:pStyle w:val="ListParagraph"/>
        <w:numPr>
          <w:ilvl w:val="1"/>
          <w:numId w:val="17"/>
        </w:numPr>
        <w:spacing w:after="120"/>
        <w:ind w:left="567" w:hanging="561"/>
        <w:contextualSpacing w:val="0"/>
        <w:rPr>
          <w:rFonts w:eastAsia="Times New Roman" w:cs="Noto Sans"/>
          <w:szCs w:val="20"/>
          <w:lang w:eastAsia="en-AU"/>
        </w:rPr>
      </w:pPr>
      <w:r w:rsidRPr="002A49C4">
        <w:rPr>
          <w:rFonts w:eastAsia="Times New Roman" w:cs="Noto Sans"/>
          <w:szCs w:val="20"/>
          <w:lang w:eastAsia="en-AU"/>
        </w:rPr>
        <w:t xml:space="preserve">If the reported total harvest (retained and non-retained) for any tier 1 or 2 species exceeds any TACC by less than </w:t>
      </w:r>
      <w:r w:rsidR="00976DA5" w:rsidRPr="002A49C4">
        <w:rPr>
          <w:rFonts w:eastAsia="Times New Roman" w:cs="Noto Sans"/>
          <w:szCs w:val="20"/>
          <w:lang w:eastAsia="en-AU"/>
        </w:rPr>
        <w:t>1%</w:t>
      </w:r>
      <w:r w:rsidRPr="002A49C4">
        <w:rPr>
          <w:rFonts w:eastAsia="Times New Roman" w:cs="Noto Sans"/>
          <w:szCs w:val="20"/>
          <w:lang w:eastAsia="en-AU"/>
        </w:rPr>
        <w:t xml:space="preserve">, then no additional management action is required. </w:t>
      </w:r>
    </w:p>
    <w:p w14:paraId="55FE9C59" w14:textId="0FFECCBC" w:rsidR="00385630" w:rsidRPr="002A49C4" w:rsidRDefault="00385630" w:rsidP="002A49C4">
      <w:pPr>
        <w:pStyle w:val="ListParagraph"/>
        <w:numPr>
          <w:ilvl w:val="1"/>
          <w:numId w:val="17"/>
        </w:numPr>
        <w:spacing w:after="120"/>
        <w:ind w:left="567" w:hanging="561"/>
        <w:contextualSpacing w:val="0"/>
        <w:rPr>
          <w:rFonts w:eastAsia="Times New Roman" w:cs="Noto Sans"/>
          <w:szCs w:val="20"/>
          <w:lang w:eastAsia="en-AU"/>
        </w:rPr>
      </w:pPr>
      <w:r w:rsidRPr="002A49C4">
        <w:rPr>
          <w:rFonts w:eastAsia="Times New Roman" w:cs="Noto Sans"/>
          <w:szCs w:val="20"/>
          <w:lang w:eastAsia="en-AU"/>
        </w:rPr>
        <w:t xml:space="preserve">If </w:t>
      </w:r>
      <w:r w:rsidR="0003319C" w:rsidRPr="002A49C4">
        <w:rPr>
          <w:rFonts w:eastAsia="Times New Roman" w:cs="Noto Sans"/>
          <w:szCs w:val="20"/>
          <w:lang w:eastAsia="en-AU"/>
        </w:rPr>
        <w:t>the reported total harvest for any tier 1 or 2 species exceeds any TACC by between 1</w:t>
      </w:r>
      <w:r w:rsidR="00F958CD" w:rsidRPr="002A49C4">
        <w:rPr>
          <w:rFonts w:eastAsia="Times New Roman" w:cs="Noto Sans"/>
          <w:szCs w:val="20"/>
          <w:lang w:eastAsia="en-AU"/>
        </w:rPr>
        <w:t>% and 5%</w:t>
      </w:r>
      <w:r w:rsidR="0003319C" w:rsidRPr="002A49C4">
        <w:rPr>
          <w:rFonts w:eastAsia="Times New Roman" w:cs="Noto Sans"/>
          <w:szCs w:val="20"/>
          <w:lang w:eastAsia="en-AU"/>
        </w:rPr>
        <w:t xml:space="preserve">, then the TACC for the following year </w:t>
      </w:r>
      <w:r w:rsidR="00F3280E" w:rsidRPr="002A49C4">
        <w:rPr>
          <w:rFonts w:eastAsia="Times New Roman" w:cs="Noto Sans"/>
          <w:szCs w:val="20"/>
          <w:lang w:eastAsia="en-AU"/>
        </w:rPr>
        <w:t xml:space="preserve">may </w:t>
      </w:r>
      <w:r w:rsidR="0003319C" w:rsidRPr="002A49C4">
        <w:rPr>
          <w:rFonts w:eastAsia="Times New Roman" w:cs="Noto Sans"/>
          <w:szCs w:val="20"/>
          <w:lang w:eastAsia="en-AU"/>
        </w:rPr>
        <w:t>be reduced by the amount that the TACC was exceeded.</w:t>
      </w:r>
    </w:p>
    <w:p w14:paraId="2FF9F1C1" w14:textId="4C44E8BC" w:rsidR="0003319C" w:rsidRPr="002A49C4" w:rsidRDefault="002019FF" w:rsidP="002A49C4">
      <w:pPr>
        <w:pStyle w:val="ListParagraph"/>
        <w:numPr>
          <w:ilvl w:val="1"/>
          <w:numId w:val="17"/>
        </w:numPr>
        <w:spacing w:after="0"/>
        <w:ind w:left="567" w:hanging="561"/>
        <w:contextualSpacing w:val="0"/>
        <w:rPr>
          <w:rFonts w:eastAsia="Times New Roman" w:cs="Noto Sans"/>
          <w:szCs w:val="20"/>
          <w:lang w:eastAsia="en-AU"/>
        </w:rPr>
      </w:pPr>
      <w:commentRangeStart w:id="34"/>
      <w:r w:rsidRPr="002A49C4">
        <w:rPr>
          <w:rFonts w:eastAsia="Times New Roman" w:cs="Noto Sans"/>
          <w:szCs w:val="20"/>
          <w:lang w:eastAsia="en-AU"/>
        </w:rPr>
        <w:t xml:space="preserve">If the reported total harvest for any tier 1 or 2 species exceeds any TACC by more than </w:t>
      </w:r>
      <w:r w:rsidR="0057769E" w:rsidRPr="002A49C4">
        <w:rPr>
          <w:rFonts w:eastAsia="Times New Roman" w:cs="Noto Sans"/>
          <w:szCs w:val="20"/>
          <w:lang w:eastAsia="en-AU"/>
        </w:rPr>
        <w:t>5</w:t>
      </w:r>
      <w:r w:rsidR="00F958CD" w:rsidRPr="002A49C4">
        <w:rPr>
          <w:rFonts w:eastAsia="Times New Roman" w:cs="Noto Sans"/>
          <w:szCs w:val="20"/>
          <w:lang w:eastAsia="en-AU"/>
        </w:rPr>
        <w:t>%</w:t>
      </w:r>
      <w:r w:rsidRPr="002A49C4">
        <w:rPr>
          <w:rFonts w:eastAsia="Times New Roman" w:cs="Noto Sans"/>
          <w:szCs w:val="20"/>
          <w:lang w:eastAsia="en-AU"/>
        </w:rPr>
        <w:t xml:space="preserve">, then the TACC for the following year </w:t>
      </w:r>
      <w:r w:rsidR="008C4ACE" w:rsidRPr="002A49C4">
        <w:rPr>
          <w:rFonts w:eastAsia="Times New Roman" w:cs="Noto Sans"/>
          <w:szCs w:val="20"/>
          <w:lang w:eastAsia="en-AU"/>
        </w:rPr>
        <w:t>may</w:t>
      </w:r>
      <w:r w:rsidRPr="002A49C4">
        <w:rPr>
          <w:rFonts w:eastAsia="Times New Roman" w:cs="Noto Sans"/>
          <w:szCs w:val="20"/>
          <w:lang w:eastAsia="en-AU"/>
        </w:rPr>
        <w:t xml:space="preserve"> be reduced by two times the amount that the TACC was exceeded.</w:t>
      </w:r>
      <w:commentRangeEnd w:id="33"/>
      <w:r w:rsidR="00320B92" w:rsidRPr="002A49C4">
        <w:rPr>
          <w:rStyle w:val="CommentReference"/>
          <w:rFonts w:eastAsia="Times New Roman" w:cs="Noto Sans"/>
          <w:sz w:val="20"/>
          <w:szCs w:val="20"/>
          <w:lang w:eastAsia="en-AU"/>
        </w:rPr>
        <w:commentReference w:id="33"/>
      </w:r>
      <w:commentRangeEnd w:id="34"/>
      <w:r w:rsidR="00320D8A">
        <w:rPr>
          <w:rStyle w:val="CommentReference"/>
        </w:rPr>
        <w:commentReference w:id="34"/>
      </w:r>
    </w:p>
    <w:p w14:paraId="4F4F282B" w14:textId="77777777" w:rsidR="002A49C4" w:rsidRPr="002A49C4" w:rsidRDefault="002A49C4" w:rsidP="002A49C4">
      <w:pPr>
        <w:pBdr>
          <w:bottom w:val="single" w:sz="4" w:space="1" w:color="005672"/>
        </w:pBdr>
        <w:spacing w:after="120"/>
        <w:rPr>
          <w:rFonts w:cs="Noto Sans"/>
          <w:sz w:val="8"/>
          <w:szCs w:val="8"/>
        </w:rPr>
      </w:pPr>
    </w:p>
    <w:p w14:paraId="45D7A17E" w14:textId="77777777" w:rsidR="002A49C4" w:rsidRPr="002A49C4" w:rsidRDefault="002A49C4" w:rsidP="002A49C4">
      <w:r w:rsidRPr="002A49C4">
        <w:br w:type="page"/>
      </w:r>
    </w:p>
    <w:p w14:paraId="6E54C48A" w14:textId="56FD68B2" w:rsidR="00AA746B" w:rsidRPr="00687C9E" w:rsidRDefault="00AA746B" w:rsidP="00AA746B">
      <w:pPr>
        <w:pStyle w:val="Heading1"/>
        <w:spacing w:line="300" w:lineRule="atLeast"/>
        <w:rPr>
          <w:rFonts w:cstheme="minorHAnsi"/>
        </w:rPr>
      </w:pPr>
      <w:bookmarkStart w:id="35" w:name="_Toc204270755"/>
      <w:bookmarkStart w:id="36" w:name="_Toc205215634"/>
      <w:r>
        <w:rPr>
          <w:rFonts w:cstheme="minorHAnsi"/>
        </w:rPr>
        <w:lastRenderedPageBreak/>
        <w:t>Management of secondary and by-product species</w:t>
      </w:r>
      <w:bookmarkEnd w:id="35"/>
      <w:bookmarkEnd w:id="36"/>
    </w:p>
    <w:p w14:paraId="6A1ED227" w14:textId="2246A037" w:rsidR="00FF4461" w:rsidRPr="002A49C4" w:rsidRDefault="00FF4461" w:rsidP="00906018">
      <w:pPr>
        <w:pStyle w:val="ListParagraph"/>
        <w:keepNext/>
        <w:keepLines/>
        <w:numPr>
          <w:ilvl w:val="0"/>
          <w:numId w:val="17"/>
        </w:numPr>
        <w:spacing w:before="240" w:after="120" w:line="300" w:lineRule="atLeast"/>
        <w:rPr>
          <w:rFonts w:eastAsia="Times New Roman" w:cs="Noto Sans"/>
          <w:b/>
          <w:szCs w:val="20"/>
          <w:lang w:eastAsia="en-AU"/>
        </w:rPr>
      </w:pPr>
      <w:r w:rsidRPr="002A49C4">
        <w:rPr>
          <w:rStyle w:val="BodyTextbold"/>
          <w:rFonts w:ascii="Noto Sans" w:hAnsi="Noto Sans" w:cs="Noto Sans"/>
          <w:szCs w:val="20"/>
        </w:rPr>
        <w:t>Decision</w:t>
      </w:r>
      <w:r w:rsidRPr="002A49C4">
        <w:rPr>
          <w:rFonts w:eastAsia="Times New Roman" w:cs="Noto Sans"/>
          <w:szCs w:val="20"/>
          <w:lang w:eastAsia="en-AU"/>
        </w:rPr>
        <w:t xml:space="preserve"> </w:t>
      </w:r>
      <w:r w:rsidRPr="002A49C4">
        <w:rPr>
          <w:rFonts w:eastAsia="Times New Roman" w:cs="Noto Sans"/>
          <w:b/>
          <w:szCs w:val="20"/>
          <w:lang w:eastAsia="en-AU"/>
        </w:rPr>
        <w:t xml:space="preserve">rules for </w:t>
      </w:r>
      <w:r w:rsidR="00FF075E" w:rsidRPr="002A49C4">
        <w:rPr>
          <w:rFonts w:eastAsia="Times New Roman" w:cs="Noto Sans"/>
          <w:b/>
          <w:szCs w:val="20"/>
          <w:lang w:eastAsia="en-AU"/>
        </w:rPr>
        <w:t>tier 3 species not managed under a TACC</w:t>
      </w:r>
    </w:p>
    <w:p w14:paraId="68C105A9" w14:textId="77777777" w:rsidR="00975A6A" w:rsidRPr="002A49C4" w:rsidRDefault="00147870" w:rsidP="00975A6A">
      <w:pPr>
        <w:pBdr>
          <w:bottom w:val="single" w:sz="4" w:space="1" w:color="005672"/>
        </w:pBdr>
        <w:spacing w:after="120"/>
        <w:rPr>
          <w:rFonts w:cs="Noto Sans"/>
          <w:sz w:val="8"/>
          <w:szCs w:val="8"/>
        </w:rPr>
      </w:pPr>
      <w:r w:rsidRPr="00147870">
        <w:t xml:space="preserve">The secondary and by-product species in this fishery are classified as tier 3 species and do not have TAC limits. The </w:t>
      </w:r>
      <w:r>
        <w:t xml:space="preserve">below decision rules use a trigger </w:t>
      </w:r>
      <w:r w:rsidR="007D1F5D">
        <w:t>reference point to</w:t>
      </w:r>
      <w:r w:rsidRPr="00147870">
        <w:t xml:space="preserve"> monitor effort shift to ensure there is no unacceptable levels of fishing pressure for tier 3 species</w:t>
      </w:r>
      <w:r w:rsidR="007D1F5D">
        <w:t>.</w:t>
      </w:r>
      <w:r w:rsidR="00FF4461">
        <w:br/>
      </w:r>
    </w:p>
    <w:p w14:paraId="0CD91473" w14:textId="2BDCE1CA" w:rsidR="009D6CB7" w:rsidRDefault="009D6CB7" w:rsidP="00975A6A">
      <w:pPr>
        <w:pStyle w:val="ListParagraph"/>
        <w:numPr>
          <w:ilvl w:val="1"/>
          <w:numId w:val="17"/>
        </w:numPr>
        <w:spacing w:after="120"/>
        <w:ind w:left="567" w:hanging="561"/>
        <w:contextualSpacing w:val="0"/>
        <w:rPr>
          <w:rFonts w:eastAsia="Times New Roman" w:cs="Noto Sans"/>
          <w:szCs w:val="20"/>
          <w:lang w:eastAsia="en-AU"/>
        </w:rPr>
      </w:pPr>
      <w:r w:rsidRPr="00975A6A">
        <w:rPr>
          <w:rFonts w:eastAsia="Times New Roman" w:cs="Noto Sans"/>
          <w:szCs w:val="20"/>
          <w:lang w:eastAsia="en-AU"/>
        </w:rPr>
        <w:t>If the annual harvest of any species is less than 1.5 times the average historical reference period (2012–2021) or the annual catch of any species is less than 30 tonnes, then no management action is required</w:t>
      </w:r>
      <w:r>
        <w:rPr>
          <w:rFonts w:eastAsia="Times New Roman" w:cs="Noto Sans"/>
          <w:szCs w:val="20"/>
          <w:lang w:eastAsia="en-AU"/>
        </w:rPr>
        <w:t>.</w:t>
      </w:r>
    </w:p>
    <w:p w14:paraId="0EA4271A" w14:textId="098D4D3F" w:rsidR="00804B93" w:rsidRPr="00975A6A" w:rsidRDefault="00C21433" w:rsidP="00975A6A">
      <w:pPr>
        <w:pStyle w:val="ListParagraph"/>
        <w:numPr>
          <w:ilvl w:val="1"/>
          <w:numId w:val="17"/>
        </w:numPr>
        <w:spacing w:after="120"/>
        <w:ind w:left="567" w:hanging="561"/>
        <w:contextualSpacing w:val="0"/>
        <w:rPr>
          <w:rFonts w:eastAsia="Times New Roman" w:cs="Noto Sans"/>
          <w:szCs w:val="20"/>
          <w:lang w:eastAsia="en-AU"/>
        </w:rPr>
      </w:pPr>
      <w:r w:rsidRPr="00975A6A">
        <w:rPr>
          <w:rFonts w:eastAsia="Times New Roman" w:cs="Noto Sans"/>
          <w:szCs w:val="20"/>
          <w:lang w:eastAsia="en-AU"/>
        </w:rPr>
        <w:t>I</w:t>
      </w:r>
      <w:r w:rsidR="00804B93" w:rsidRPr="00975A6A">
        <w:rPr>
          <w:rFonts w:eastAsia="Times New Roman" w:cs="Noto Sans"/>
          <w:szCs w:val="20"/>
          <w:lang w:eastAsia="en-AU"/>
        </w:rPr>
        <w:t>f the annual harvest of any species is greater than 1.5 times the average historical catch (reference period 201</w:t>
      </w:r>
      <w:r w:rsidR="00EE3A7B" w:rsidRPr="00975A6A">
        <w:rPr>
          <w:rFonts w:eastAsia="Times New Roman" w:cs="Noto Sans"/>
          <w:szCs w:val="20"/>
          <w:lang w:eastAsia="en-AU"/>
        </w:rPr>
        <w:t>2</w:t>
      </w:r>
      <w:r w:rsidR="00804B93" w:rsidRPr="00975A6A">
        <w:rPr>
          <w:rFonts w:eastAsia="Times New Roman" w:cs="Noto Sans"/>
          <w:szCs w:val="20"/>
          <w:lang w:eastAsia="en-AU"/>
        </w:rPr>
        <w:t>–20</w:t>
      </w:r>
      <w:r w:rsidR="00EE3A7B" w:rsidRPr="00975A6A">
        <w:rPr>
          <w:rFonts w:eastAsia="Times New Roman" w:cs="Noto Sans"/>
          <w:szCs w:val="20"/>
          <w:lang w:eastAsia="en-AU"/>
        </w:rPr>
        <w:t>2</w:t>
      </w:r>
      <w:r w:rsidR="00804B93" w:rsidRPr="00975A6A">
        <w:rPr>
          <w:rFonts w:eastAsia="Times New Roman" w:cs="Noto Sans"/>
          <w:szCs w:val="20"/>
          <w:lang w:eastAsia="en-AU"/>
        </w:rPr>
        <w:t xml:space="preserve">1) and the annual catch of any species is more than </w:t>
      </w:r>
      <w:r w:rsidR="00551073" w:rsidRPr="00975A6A">
        <w:rPr>
          <w:rFonts w:eastAsia="Times New Roman" w:cs="Noto Sans"/>
          <w:szCs w:val="20"/>
          <w:lang w:eastAsia="en-AU"/>
        </w:rPr>
        <w:t>3</w:t>
      </w:r>
      <w:r w:rsidR="00804B93" w:rsidRPr="00975A6A">
        <w:rPr>
          <w:rFonts w:eastAsia="Times New Roman" w:cs="Noto Sans"/>
          <w:szCs w:val="20"/>
          <w:lang w:eastAsia="en-AU"/>
        </w:rPr>
        <w:t>0 tonnes, an assessment will be undertaken to determine whether there is unacceptable risk to the stock if ongoing catch levels continue.</w:t>
      </w:r>
    </w:p>
    <w:p w14:paraId="5AED9B58" w14:textId="6C7CE5FB" w:rsidR="00FF4461" w:rsidRPr="00975A6A" w:rsidRDefault="00035D88" w:rsidP="00906018">
      <w:pPr>
        <w:pStyle w:val="ListParagraph"/>
        <w:numPr>
          <w:ilvl w:val="1"/>
          <w:numId w:val="17"/>
        </w:numPr>
        <w:spacing w:after="0"/>
        <w:ind w:left="567" w:hanging="561"/>
        <w:contextualSpacing w:val="0"/>
        <w:rPr>
          <w:rFonts w:eastAsia="Times New Roman" w:cs="Noto Sans"/>
          <w:szCs w:val="20"/>
          <w:lang w:eastAsia="en-AU"/>
        </w:rPr>
      </w:pPr>
      <w:r w:rsidRPr="00975A6A">
        <w:rPr>
          <w:rFonts w:eastAsia="Times New Roman" w:cs="Noto Sans"/>
          <w:szCs w:val="20"/>
          <w:lang w:eastAsia="en-AU"/>
        </w:rPr>
        <w:t>I</w:t>
      </w:r>
      <w:r w:rsidR="00804B93" w:rsidRPr="00975A6A">
        <w:rPr>
          <w:rFonts w:eastAsia="Times New Roman" w:cs="Noto Sans"/>
          <w:szCs w:val="20"/>
          <w:lang w:eastAsia="en-AU"/>
        </w:rPr>
        <w:t xml:space="preserve">f the annual harvest of any species exceeds greater than two times the average historical catch (reference period </w:t>
      </w:r>
      <w:r w:rsidR="00EE3A7B" w:rsidRPr="00975A6A">
        <w:rPr>
          <w:rFonts w:eastAsia="Times New Roman" w:cs="Noto Sans"/>
          <w:szCs w:val="20"/>
          <w:lang w:eastAsia="en-AU"/>
        </w:rPr>
        <w:t>2012–2021</w:t>
      </w:r>
      <w:r w:rsidR="00804B93" w:rsidRPr="00975A6A">
        <w:rPr>
          <w:rFonts w:eastAsia="Times New Roman" w:cs="Noto Sans"/>
          <w:szCs w:val="20"/>
          <w:lang w:eastAsia="en-AU"/>
        </w:rPr>
        <w:t xml:space="preserve">) and the annual catch of any species is more than </w:t>
      </w:r>
      <w:r w:rsidRPr="00975A6A">
        <w:rPr>
          <w:rFonts w:eastAsia="Times New Roman" w:cs="Noto Sans"/>
          <w:szCs w:val="20"/>
          <w:lang w:eastAsia="en-AU"/>
        </w:rPr>
        <w:t>3</w:t>
      </w:r>
      <w:r w:rsidR="00804B93" w:rsidRPr="00975A6A">
        <w:rPr>
          <w:rFonts w:eastAsia="Times New Roman" w:cs="Noto Sans"/>
          <w:szCs w:val="20"/>
          <w:lang w:eastAsia="en-AU"/>
        </w:rPr>
        <w:t>0 tonnes, then an assessmen</w:t>
      </w:r>
      <w:r w:rsidR="00B578BE" w:rsidRPr="00975A6A">
        <w:rPr>
          <w:rFonts w:eastAsia="Times New Roman" w:cs="Noto Sans"/>
          <w:szCs w:val="20"/>
          <w:lang w:eastAsia="en-AU"/>
        </w:rPr>
        <w:t>t</w:t>
      </w:r>
      <w:r w:rsidR="00804B93" w:rsidRPr="00975A6A">
        <w:rPr>
          <w:rFonts w:eastAsia="Times New Roman" w:cs="Noto Sans"/>
          <w:szCs w:val="20"/>
          <w:lang w:eastAsia="en-AU"/>
        </w:rPr>
        <w:t xml:space="preserve"> will be undertaken and a</w:t>
      </w:r>
      <w:r w:rsidR="00301A31" w:rsidRPr="00975A6A">
        <w:rPr>
          <w:rFonts w:eastAsia="Times New Roman" w:cs="Noto Sans"/>
          <w:szCs w:val="20"/>
          <w:lang w:eastAsia="en-AU"/>
        </w:rPr>
        <w:t xml:space="preserve"> </w:t>
      </w:r>
      <w:r w:rsidR="00804B93" w:rsidRPr="00975A6A">
        <w:rPr>
          <w:rFonts w:eastAsia="Times New Roman" w:cs="Noto Sans"/>
          <w:szCs w:val="20"/>
          <w:lang w:eastAsia="en-AU"/>
        </w:rPr>
        <w:t>TACC for the species will be set at the average of the previous three years catch level.</w:t>
      </w:r>
    </w:p>
    <w:p w14:paraId="2D8947FD" w14:textId="77777777" w:rsidR="00975A6A" w:rsidRPr="00975A6A" w:rsidRDefault="00975A6A" w:rsidP="00975A6A">
      <w:pPr>
        <w:pBdr>
          <w:bottom w:val="single" w:sz="4" w:space="1" w:color="005672"/>
        </w:pBdr>
        <w:spacing w:after="120"/>
        <w:rPr>
          <w:rFonts w:cs="Noto Sans"/>
          <w:sz w:val="8"/>
          <w:szCs w:val="8"/>
        </w:rPr>
      </w:pPr>
    </w:p>
    <w:p w14:paraId="6647C653" w14:textId="77777777" w:rsidR="00906018" w:rsidRPr="00906018" w:rsidRDefault="00906018" w:rsidP="00906018">
      <w:pPr>
        <w:keepNext/>
        <w:keepLines/>
        <w:spacing w:after="0"/>
        <w:rPr>
          <w:rFonts w:eastAsia="Times New Roman" w:cs="Noto Sans"/>
          <w:b/>
          <w:bCs/>
          <w:szCs w:val="20"/>
          <w:lang w:eastAsia="en-AU"/>
        </w:rPr>
      </w:pPr>
    </w:p>
    <w:p w14:paraId="77225747" w14:textId="121BDE59" w:rsidR="00A52FD2" w:rsidRPr="00906018" w:rsidRDefault="00A52FD2" w:rsidP="00906018">
      <w:pPr>
        <w:pStyle w:val="ListParagraph"/>
        <w:keepNext/>
        <w:keepLines/>
        <w:numPr>
          <w:ilvl w:val="0"/>
          <w:numId w:val="17"/>
        </w:numPr>
        <w:spacing w:after="120"/>
        <w:ind w:left="561" w:hanging="561"/>
        <w:contextualSpacing w:val="0"/>
        <w:rPr>
          <w:rFonts w:eastAsia="Times New Roman" w:cs="Noto Sans"/>
          <w:b/>
          <w:szCs w:val="20"/>
          <w:lang w:eastAsia="en-AU"/>
        </w:rPr>
      </w:pPr>
      <w:r w:rsidRPr="00906018">
        <w:rPr>
          <w:rFonts w:eastAsia="Times New Roman" w:cs="Noto Sans"/>
          <w:b/>
          <w:szCs w:val="20"/>
          <w:lang w:eastAsia="en-AU"/>
        </w:rPr>
        <w:t xml:space="preserve">Break-out rule for tier 3 species </w:t>
      </w:r>
    </w:p>
    <w:p w14:paraId="7B7B3135" w14:textId="45612406" w:rsidR="00A52FD2" w:rsidRPr="009D7016" w:rsidRDefault="00A52FD2" w:rsidP="009D7016">
      <w:pPr>
        <w:spacing w:after="0"/>
        <w:rPr>
          <w:rFonts w:eastAsia="Times New Roman" w:cs="Noto Sans"/>
          <w:szCs w:val="20"/>
          <w:lang w:eastAsia="en-AU"/>
        </w:rPr>
      </w:pPr>
      <w:r w:rsidRPr="009D7016">
        <w:rPr>
          <w:rFonts w:eastAsia="Times New Roman" w:cs="Noto Sans"/>
          <w:szCs w:val="20"/>
          <w:lang w:eastAsia="en-AU"/>
        </w:rPr>
        <w:t xml:space="preserve">If a biomass estimate is available through a stock assessment </w:t>
      </w:r>
      <w:r w:rsidR="00FB4071" w:rsidRPr="009D7016">
        <w:rPr>
          <w:rFonts w:eastAsia="Times New Roman" w:cs="Noto Sans"/>
          <w:szCs w:val="20"/>
          <w:lang w:eastAsia="en-AU"/>
        </w:rPr>
        <w:t xml:space="preserve">for a tier 3 species </w:t>
      </w:r>
      <w:r w:rsidRPr="009D7016">
        <w:rPr>
          <w:rFonts w:eastAsia="Times New Roman" w:cs="Noto Sans"/>
          <w:szCs w:val="20"/>
          <w:lang w:eastAsia="en-AU"/>
        </w:rPr>
        <w:t>that indicates a reduction in fishing mortality is required to achieve B</w:t>
      </w:r>
      <w:r w:rsidRPr="009D7016">
        <w:rPr>
          <w:rFonts w:eastAsia="Times New Roman" w:cs="Noto Sans"/>
          <w:i/>
          <w:szCs w:val="20"/>
          <w:lang w:eastAsia="en-AU"/>
        </w:rPr>
        <w:t>targ</w:t>
      </w:r>
      <w:r w:rsidRPr="009D7016">
        <w:rPr>
          <w:rFonts w:eastAsia="Times New Roman" w:cs="Noto Sans"/>
          <w:szCs w:val="20"/>
          <w:lang w:eastAsia="en-AU"/>
        </w:rPr>
        <w:t xml:space="preserve"> or avoid B</w:t>
      </w:r>
      <w:r w:rsidRPr="009D7016">
        <w:rPr>
          <w:rFonts w:eastAsia="Times New Roman" w:cs="Noto Sans"/>
          <w:i/>
          <w:szCs w:val="20"/>
          <w:lang w:eastAsia="en-AU"/>
        </w:rPr>
        <w:t>lim</w:t>
      </w:r>
      <w:r w:rsidRPr="009D7016">
        <w:rPr>
          <w:rFonts w:eastAsia="Times New Roman" w:cs="Noto Sans"/>
          <w:szCs w:val="20"/>
          <w:lang w:eastAsia="en-AU"/>
        </w:rPr>
        <w:t xml:space="preserve">, then management action must be taken to </w:t>
      </w:r>
      <w:r w:rsidR="0093115E" w:rsidRPr="009D7016">
        <w:rPr>
          <w:rFonts w:eastAsia="Times New Roman" w:cs="Noto Sans"/>
          <w:szCs w:val="20"/>
          <w:lang w:eastAsia="en-AU"/>
        </w:rPr>
        <w:t>achieve</w:t>
      </w:r>
      <w:r w:rsidRPr="009D7016">
        <w:rPr>
          <w:rFonts w:eastAsia="Times New Roman" w:cs="Noto Sans"/>
          <w:szCs w:val="20"/>
          <w:lang w:eastAsia="en-AU"/>
        </w:rPr>
        <w:t xml:space="preserve"> the fishery objectives.  </w:t>
      </w:r>
    </w:p>
    <w:p w14:paraId="2079834C" w14:textId="77777777" w:rsidR="00975A6A" w:rsidRPr="00975A6A" w:rsidRDefault="00975A6A" w:rsidP="00975A6A">
      <w:pPr>
        <w:pBdr>
          <w:bottom w:val="single" w:sz="4" w:space="1" w:color="005672"/>
        </w:pBdr>
        <w:spacing w:after="120"/>
        <w:rPr>
          <w:rFonts w:cs="Noto Sans"/>
          <w:sz w:val="8"/>
          <w:szCs w:val="8"/>
        </w:rPr>
      </w:pPr>
    </w:p>
    <w:p w14:paraId="23BAB0B0" w14:textId="77777777" w:rsidR="002A49C4" w:rsidRPr="002A49C4" w:rsidRDefault="002A49C4" w:rsidP="002A49C4">
      <w:bookmarkStart w:id="37" w:name="_Toc121747121"/>
      <w:r w:rsidRPr="002A49C4">
        <w:br w:type="page"/>
      </w:r>
    </w:p>
    <w:p w14:paraId="3970E992" w14:textId="55ED9042" w:rsidR="007A5FB1" w:rsidRPr="00687C9E" w:rsidRDefault="00851E9F" w:rsidP="007A5FB1">
      <w:pPr>
        <w:pStyle w:val="Heading1"/>
        <w:spacing w:line="300" w:lineRule="atLeast"/>
        <w:rPr>
          <w:rFonts w:cstheme="minorHAnsi"/>
        </w:rPr>
      </w:pPr>
      <w:bookmarkStart w:id="38" w:name="_Toc204270756"/>
      <w:bookmarkStart w:id="39" w:name="_Toc205215635"/>
      <w:r>
        <w:rPr>
          <w:rFonts w:cstheme="minorHAnsi"/>
        </w:rPr>
        <w:lastRenderedPageBreak/>
        <w:t>Management of</w:t>
      </w:r>
      <w:r w:rsidRPr="00687C9E">
        <w:rPr>
          <w:rFonts w:cstheme="minorHAnsi"/>
        </w:rPr>
        <w:t xml:space="preserve"> </w:t>
      </w:r>
      <w:r w:rsidR="002E7FAD" w:rsidRPr="00687C9E">
        <w:rPr>
          <w:rFonts w:cstheme="minorHAnsi"/>
        </w:rPr>
        <w:t>ecological risks</w:t>
      </w:r>
      <w:r w:rsidR="002E7FAD">
        <w:rPr>
          <w:rFonts w:cstheme="minorHAnsi"/>
        </w:rPr>
        <w:t xml:space="preserve"> from fishing</w:t>
      </w:r>
      <w:bookmarkEnd w:id="37"/>
      <w:bookmarkEnd w:id="38"/>
      <w:bookmarkEnd w:id="39"/>
    </w:p>
    <w:p w14:paraId="65E53658" w14:textId="732FF4FF" w:rsidR="006804DA" w:rsidRPr="00906018" w:rsidRDefault="00866339" w:rsidP="00906018">
      <w:pPr>
        <w:pStyle w:val="ListParagraph"/>
        <w:keepNext/>
        <w:keepLines/>
        <w:numPr>
          <w:ilvl w:val="0"/>
          <w:numId w:val="17"/>
        </w:numPr>
        <w:spacing w:before="240" w:after="120"/>
        <w:ind w:left="561" w:hanging="561"/>
        <w:contextualSpacing w:val="0"/>
        <w:rPr>
          <w:rFonts w:eastAsia="Times New Roman" w:cs="Noto Sans"/>
          <w:b/>
          <w:lang w:eastAsia="en-AU"/>
        </w:rPr>
      </w:pPr>
      <w:r w:rsidRPr="00906018">
        <w:rPr>
          <w:rFonts w:eastAsia="Times New Roman" w:cs="Noto Sans"/>
          <w:b/>
          <w:lang w:eastAsia="en-AU"/>
        </w:rPr>
        <w:t>Ecological risk</w:t>
      </w:r>
      <w:r w:rsidR="006804DA" w:rsidRPr="00906018">
        <w:rPr>
          <w:rFonts w:eastAsia="Times New Roman" w:cs="Noto Sans"/>
          <w:b/>
          <w:lang w:eastAsia="en-AU"/>
        </w:rPr>
        <w:t xml:space="preserve"> decision rules</w:t>
      </w:r>
    </w:p>
    <w:p w14:paraId="3BBD6B45" w14:textId="1FA01A05" w:rsidR="007A5FB1" w:rsidRPr="00A36D8F" w:rsidRDefault="002E7FAD" w:rsidP="00906018">
      <w:pPr>
        <w:spacing w:after="0"/>
      </w:pPr>
      <w:r>
        <w:t>A</w:t>
      </w:r>
      <w:r w:rsidRPr="00A36D8F">
        <w:t xml:space="preserve"> foundation of sustainable fisheries management is managing the impact of fishing activities on non-target species and the broader marine ecosystem. Ecological </w:t>
      </w:r>
      <w:r w:rsidR="002F441B">
        <w:t>r</w:t>
      </w:r>
      <w:r w:rsidRPr="00A36D8F">
        <w:t xml:space="preserve">isk </w:t>
      </w:r>
      <w:r w:rsidR="002F441B">
        <w:t>a</w:t>
      </w:r>
      <w:r w:rsidRPr="00A36D8F">
        <w:t xml:space="preserve">ssessments (ERA) identify and measure the ecological risks of fishing activity and identify issues that must be further managed under harvest strategies. The decision rules </w:t>
      </w:r>
      <w:r w:rsidR="00951B92">
        <w:t xml:space="preserve">below </w:t>
      </w:r>
      <w:r w:rsidRPr="00A36D8F">
        <w:t>are in place to minimise and mitigate high ecological risks arising from fishing</w:t>
      </w:r>
      <w:r>
        <w:t>-</w:t>
      </w:r>
      <w:r w:rsidRPr="00A36D8F">
        <w:t xml:space="preserve">related </w:t>
      </w:r>
      <w:r w:rsidRPr="007A35CE">
        <w:t>activities</w:t>
      </w:r>
      <w:r w:rsidR="00A95F29" w:rsidRPr="007A35CE">
        <w:t xml:space="preserve"> and ensure</w:t>
      </w:r>
      <w:r w:rsidR="00334D96" w:rsidRPr="007A35CE">
        <w:t xml:space="preserve"> active commercial fishing effort does not increase above historic levels.</w:t>
      </w:r>
    </w:p>
    <w:p w14:paraId="5A1253BF" w14:textId="77777777" w:rsidR="00906018" w:rsidRPr="00906018" w:rsidRDefault="00906018" w:rsidP="00906018">
      <w:pPr>
        <w:pBdr>
          <w:bottom w:val="single" w:sz="4" w:space="1" w:color="005672"/>
        </w:pBdr>
        <w:spacing w:after="120"/>
        <w:rPr>
          <w:rFonts w:cs="Noto Sans"/>
          <w:sz w:val="8"/>
          <w:szCs w:val="8"/>
        </w:rPr>
      </w:pPr>
    </w:p>
    <w:p w14:paraId="72F12135" w14:textId="77777777" w:rsidR="00D86C19" w:rsidRPr="00906018" w:rsidRDefault="002E7FAD" w:rsidP="00906018">
      <w:pPr>
        <w:pStyle w:val="ListParagraph"/>
        <w:numPr>
          <w:ilvl w:val="1"/>
          <w:numId w:val="17"/>
        </w:numPr>
        <w:spacing w:after="0"/>
        <w:ind w:left="567" w:hanging="561"/>
        <w:contextualSpacing w:val="0"/>
        <w:rPr>
          <w:rFonts w:eastAsia="Times New Roman" w:cs="Noto Sans"/>
          <w:szCs w:val="20"/>
          <w:lang w:eastAsia="en-AU"/>
        </w:rPr>
      </w:pPr>
      <w:r w:rsidRPr="00906018">
        <w:rPr>
          <w:rFonts w:eastAsia="Times New Roman" w:cs="Noto Sans"/>
          <w:szCs w:val="20"/>
          <w:lang w:eastAsia="en-AU"/>
        </w:rPr>
        <w:t xml:space="preserve">If an ERA identifies fishing impacts that </w:t>
      </w:r>
      <w:r w:rsidR="0068032F" w:rsidRPr="00906018">
        <w:rPr>
          <w:rFonts w:eastAsia="Times New Roman" w:cs="Noto Sans"/>
          <w:szCs w:val="20"/>
          <w:lang w:eastAsia="en-AU"/>
        </w:rPr>
        <w:t>result in an</w:t>
      </w:r>
      <w:r w:rsidRPr="00906018">
        <w:rPr>
          <w:rFonts w:eastAsia="Times New Roman" w:cs="Noto Sans"/>
          <w:szCs w:val="20"/>
          <w:lang w:eastAsia="en-AU"/>
        </w:rPr>
        <w:t xml:space="preserve"> </w:t>
      </w:r>
      <w:r w:rsidR="00D367A6" w:rsidRPr="00906018">
        <w:rPr>
          <w:rFonts w:eastAsia="Times New Roman" w:cs="Noto Sans"/>
          <w:szCs w:val="20"/>
          <w:lang w:eastAsia="en-AU"/>
        </w:rPr>
        <w:t xml:space="preserve">unacceptable </w:t>
      </w:r>
      <w:r w:rsidRPr="00906018">
        <w:rPr>
          <w:rFonts w:eastAsia="Times New Roman" w:cs="Noto Sans"/>
          <w:szCs w:val="20"/>
          <w:lang w:eastAsia="en-AU"/>
        </w:rPr>
        <w:t xml:space="preserve">level of risk </w:t>
      </w:r>
      <w:r w:rsidR="00004C21" w:rsidRPr="00906018">
        <w:rPr>
          <w:rFonts w:eastAsia="Times New Roman" w:cs="Noto Sans"/>
          <w:szCs w:val="20"/>
          <w:lang w:eastAsia="en-AU"/>
        </w:rPr>
        <w:t xml:space="preserve">to any ecological component, </w:t>
      </w:r>
      <w:r w:rsidRPr="00906018">
        <w:rPr>
          <w:rFonts w:eastAsia="Times New Roman" w:cs="Noto Sans"/>
          <w:szCs w:val="20"/>
          <w:lang w:eastAsia="en-AU"/>
        </w:rPr>
        <w:t>a review is triggered to investigate the reason for the increased risk</w:t>
      </w:r>
      <w:r w:rsidR="00D367A6" w:rsidRPr="00906018">
        <w:rPr>
          <w:rFonts w:eastAsia="Times New Roman" w:cs="Noto Sans"/>
          <w:szCs w:val="20"/>
          <w:lang w:eastAsia="en-AU"/>
        </w:rPr>
        <w:t xml:space="preserve"> and a</w:t>
      </w:r>
      <w:r w:rsidRPr="00906018">
        <w:rPr>
          <w:rFonts w:eastAsia="Times New Roman" w:cs="Noto Sans"/>
          <w:szCs w:val="20"/>
          <w:lang w:eastAsia="en-AU"/>
        </w:rPr>
        <w:t xml:space="preserve">ppropriate management action taken to reduce the risk to </w:t>
      </w:r>
      <w:r w:rsidR="00584E4C" w:rsidRPr="00906018">
        <w:rPr>
          <w:rFonts w:eastAsia="Times New Roman" w:cs="Noto Sans"/>
          <w:szCs w:val="20"/>
          <w:lang w:eastAsia="en-AU"/>
        </w:rPr>
        <w:t xml:space="preserve">an </w:t>
      </w:r>
      <w:r w:rsidRPr="00906018">
        <w:rPr>
          <w:rFonts w:eastAsia="Times New Roman" w:cs="Noto Sans"/>
          <w:szCs w:val="20"/>
          <w:lang w:eastAsia="en-AU"/>
        </w:rPr>
        <w:t>acceptable level.</w:t>
      </w:r>
    </w:p>
    <w:p w14:paraId="61C6ECC3" w14:textId="77777777" w:rsidR="00906018" w:rsidRPr="00906018" w:rsidRDefault="00906018" w:rsidP="00906018">
      <w:pPr>
        <w:pBdr>
          <w:bottom w:val="single" w:sz="4" w:space="1" w:color="005672"/>
        </w:pBdr>
        <w:spacing w:after="120"/>
        <w:rPr>
          <w:rFonts w:cs="Noto Sans"/>
          <w:sz w:val="8"/>
          <w:szCs w:val="8"/>
        </w:rPr>
      </w:pPr>
    </w:p>
    <w:p w14:paraId="23A8B7F3" w14:textId="77777777" w:rsidR="006A5149" w:rsidRDefault="00E30C7E" w:rsidP="00906018">
      <w:pPr>
        <w:spacing w:after="0"/>
      </w:pPr>
      <w:r w:rsidRPr="00E30C7E">
        <w:t xml:space="preserve">Level 2 ERAs were completed for the </w:t>
      </w:r>
      <w:r>
        <w:t>GOCIF</w:t>
      </w:r>
      <w:r w:rsidRPr="00E30C7E">
        <w:t xml:space="preserve"> in </w:t>
      </w:r>
      <w:r w:rsidR="00497458">
        <w:t>June</w:t>
      </w:r>
      <w:r w:rsidRPr="00E30C7E">
        <w:t xml:space="preserve"> 2021, highlighting </w:t>
      </w:r>
      <w:proofErr w:type="gramStart"/>
      <w:r w:rsidRPr="00E30C7E">
        <w:t>a number of</w:t>
      </w:r>
      <w:proofErr w:type="gramEnd"/>
      <w:r w:rsidRPr="00E30C7E">
        <w:t xml:space="preserve"> high </w:t>
      </w:r>
      <w:proofErr w:type="gramStart"/>
      <w:r w:rsidRPr="00E30C7E">
        <w:t>risk</w:t>
      </w:r>
      <w:proofErr w:type="gramEnd"/>
      <w:r w:rsidRPr="00E30C7E">
        <w:t xml:space="preserve"> protected species associated with interaction with netting apparatus used in this fishery. </w:t>
      </w:r>
      <w:commentRangeStart w:id="40"/>
      <w:r w:rsidRPr="00E30C7E">
        <w:t xml:space="preserve">A </w:t>
      </w:r>
      <w:r w:rsidRPr="00A42029">
        <w:rPr>
          <w:i/>
        </w:rPr>
        <w:t>Protected species management strategy</w:t>
      </w:r>
      <w:r w:rsidRPr="00E30C7E">
        <w:t xml:space="preserve"> for the </w:t>
      </w:r>
      <w:r w:rsidR="00497458">
        <w:t xml:space="preserve">Gulf of Carpentaria </w:t>
      </w:r>
      <w:r w:rsidRPr="00E30C7E">
        <w:t>inshore fishery has been developed to manage these risks. The strategy includes rules for adjusting management to reduce the ecological risk from fishing, as well as mitigation measures to prevent or reduce interactions with protected species.</w:t>
      </w:r>
      <w:commentRangeEnd w:id="40"/>
      <w:r w:rsidR="00992308">
        <w:rPr>
          <w:rStyle w:val="CommentReference"/>
        </w:rPr>
        <w:commentReference w:id="40"/>
      </w:r>
    </w:p>
    <w:p w14:paraId="5683014E" w14:textId="77777777" w:rsidR="00906018" w:rsidRPr="002A49C4" w:rsidRDefault="00906018" w:rsidP="00906018">
      <w:pPr>
        <w:pBdr>
          <w:bottom w:val="single" w:sz="4" w:space="1" w:color="005672"/>
        </w:pBdr>
        <w:spacing w:after="120"/>
        <w:rPr>
          <w:rFonts w:cs="Noto Sans"/>
          <w:sz w:val="8"/>
          <w:szCs w:val="8"/>
        </w:rPr>
      </w:pPr>
    </w:p>
    <w:p w14:paraId="15CE765A" w14:textId="77777777" w:rsidR="00053E65" w:rsidRDefault="00053E65">
      <w:pPr>
        <w:rPr>
          <w:rFonts w:asciiTheme="minorHAnsi" w:eastAsiaTheme="majorEastAsia" w:hAnsiTheme="minorHAnsi" w:cstheme="minorHAnsi"/>
          <w:color w:val="2E74B5" w:themeColor="accent1" w:themeShade="BF"/>
          <w:sz w:val="32"/>
          <w:szCs w:val="32"/>
        </w:rPr>
      </w:pPr>
      <w:r>
        <w:rPr>
          <w:rFonts w:cstheme="minorHAnsi"/>
        </w:rPr>
        <w:br w:type="page"/>
      </w:r>
    </w:p>
    <w:p w14:paraId="686FBC69" w14:textId="2EF55BC6" w:rsidR="00A82F75" w:rsidRPr="00687C9E" w:rsidRDefault="00657E69" w:rsidP="00906018">
      <w:pPr>
        <w:pStyle w:val="Heading1"/>
        <w:rPr>
          <w:rFonts w:cstheme="minorHAnsi"/>
        </w:rPr>
      </w:pPr>
      <w:bookmarkStart w:id="41" w:name="_Toc204270757"/>
      <w:bookmarkStart w:id="42" w:name="_Toc205215636"/>
      <w:r>
        <w:rPr>
          <w:rFonts w:cstheme="minorHAnsi"/>
        </w:rPr>
        <w:lastRenderedPageBreak/>
        <w:t>Monitoring social and e</w:t>
      </w:r>
      <w:r w:rsidR="004D3F94">
        <w:rPr>
          <w:rFonts w:cstheme="minorHAnsi"/>
        </w:rPr>
        <w:t>conomic impacts</w:t>
      </w:r>
      <w:bookmarkEnd w:id="41"/>
      <w:bookmarkEnd w:id="42"/>
    </w:p>
    <w:p w14:paraId="69EC28B6" w14:textId="34D010EF" w:rsidR="0095778B" w:rsidRPr="0095778B" w:rsidRDefault="00C0143C" w:rsidP="00906018">
      <w:r>
        <w:t>Where possible</w:t>
      </w:r>
      <w:r w:rsidR="00CF1B7D">
        <w:t>, s</w:t>
      </w:r>
      <w:r w:rsidR="0095778B" w:rsidRPr="0095778B">
        <w:t>ustainable catch limits</w:t>
      </w:r>
      <w:r w:rsidR="00441AAC">
        <w:t xml:space="preserve"> </w:t>
      </w:r>
      <w:r>
        <w:t xml:space="preserve">are set </w:t>
      </w:r>
      <w:r w:rsidR="0095778B" w:rsidRPr="0095778B">
        <w:t xml:space="preserve">based on achieving </w:t>
      </w:r>
      <w:proofErr w:type="spellStart"/>
      <w:r w:rsidR="0095778B" w:rsidRPr="0095778B">
        <w:t>B</w:t>
      </w:r>
      <w:r w:rsidR="0095778B" w:rsidRPr="00F4789A">
        <w:rPr>
          <w:i/>
        </w:rPr>
        <w:t>mey</w:t>
      </w:r>
      <w:proofErr w:type="spellEnd"/>
      <w:r w:rsidR="0095778B" w:rsidRPr="0095778B">
        <w:t xml:space="preserve"> (around 60% of unfished spawning biomass) to support the most economically</w:t>
      </w:r>
      <w:r w:rsidR="00441AAC">
        <w:t xml:space="preserve"> </w:t>
      </w:r>
      <w:r w:rsidR="0095778B" w:rsidRPr="0095778B">
        <w:t>efficient use of the resource, improve the fishing experience for all sectors and promote resilience to</w:t>
      </w:r>
      <w:r w:rsidR="00441AAC">
        <w:t xml:space="preserve"> </w:t>
      </w:r>
      <w:r w:rsidR="0095778B" w:rsidRPr="0095778B">
        <w:t>adverse environmental conditions (e.g. floods, cyclones and bleaching). The harvest strategy rules have been</w:t>
      </w:r>
      <w:r w:rsidR="00441AAC">
        <w:t xml:space="preserve"> </w:t>
      </w:r>
      <w:r w:rsidR="0095778B" w:rsidRPr="0095778B">
        <w:t>set up to maintain the key stocks to this target biomass level.</w:t>
      </w:r>
    </w:p>
    <w:p w14:paraId="4232D722" w14:textId="19F367D4" w:rsidR="0095778B" w:rsidRDefault="0095778B" w:rsidP="006A0715">
      <w:r w:rsidRPr="0095778B">
        <w:t>The objectives and performance indicators in Table 5 will be used to monitor the social and economic</w:t>
      </w:r>
      <w:r w:rsidR="00441AAC">
        <w:t xml:space="preserve"> </w:t>
      </w:r>
      <w:r w:rsidRPr="0095778B">
        <w:t>performance of this fishery. The management options outlined are intended to provide some guidance on</w:t>
      </w:r>
      <w:r w:rsidR="00441AAC">
        <w:t xml:space="preserve"> </w:t>
      </w:r>
      <w:r w:rsidRPr="0095778B">
        <w:t>the options that could reasonably be considered alongside the decision rules if fishery trends are of concern.</w:t>
      </w:r>
    </w:p>
    <w:p w14:paraId="3D25571A" w14:textId="2102DDD5" w:rsidR="00470EA2" w:rsidRPr="002512F4" w:rsidRDefault="002E7FAD" w:rsidP="00085FD6">
      <w:pPr>
        <w:pStyle w:val="Caption"/>
      </w:pPr>
      <w:r w:rsidRPr="002512F4">
        <w:t xml:space="preserve">Table </w:t>
      </w:r>
      <w:r w:rsidR="000330C1">
        <w:t>5</w:t>
      </w:r>
      <w:r w:rsidRPr="002512F4">
        <w:t xml:space="preserve">: </w:t>
      </w:r>
      <w:r w:rsidR="00E1240A" w:rsidRPr="002512F4">
        <w:t xml:space="preserve">Social </w:t>
      </w:r>
      <w:r w:rsidRPr="002512F4">
        <w:t xml:space="preserve">and economic indicators for the </w:t>
      </w:r>
      <w:r w:rsidR="000E40AF">
        <w:t>GOCIF</w:t>
      </w:r>
    </w:p>
    <w:tbl>
      <w:tblPr>
        <w:tblStyle w:val="TableGrid2"/>
        <w:tblW w:w="9639" w:type="dxa"/>
        <w:tblInd w:w="-5" w:type="dxa"/>
        <w:tblBorders>
          <w:top w:val="single" w:sz="4" w:space="0" w:color="005672"/>
          <w:left w:val="none" w:sz="0" w:space="0" w:color="auto"/>
          <w:bottom w:val="single" w:sz="4" w:space="0" w:color="005672"/>
          <w:right w:val="none" w:sz="0" w:space="0" w:color="auto"/>
          <w:insideH w:val="single" w:sz="4" w:space="0" w:color="005672"/>
          <w:insideV w:val="none" w:sz="0" w:space="0" w:color="auto"/>
        </w:tblBorders>
        <w:tblLook w:val="04A0" w:firstRow="1" w:lastRow="0" w:firstColumn="1" w:lastColumn="0" w:noHBand="0" w:noVBand="1"/>
        <w:tblCaption w:val="social and economic indicators for the RLF"/>
      </w:tblPr>
      <w:tblGrid>
        <w:gridCol w:w="2132"/>
        <w:gridCol w:w="5103"/>
        <w:gridCol w:w="2404"/>
      </w:tblGrid>
      <w:tr w:rsidR="00823B9A" w:rsidRPr="0092017D" w14:paraId="23695B4E" w14:textId="77777777" w:rsidTr="00556A61">
        <w:trPr>
          <w:tblHeader/>
        </w:trPr>
        <w:tc>
          <w:tcPr>
            <w:tcW w:w="2132" w:type="dxa"/>
            <w:shd w:val="clear" w:color="auto" w:fill="005672"/>
            <w:tcMar>
              <w:top w:w="57" w:type="dxa"/>
              <w:left w:w="57" w:type="dxa"/>
              <w:bottom w:w="57" w:type="dxa"/>
              <w:right w:w="57" w:type="dxa"/>
            </w:tcMar>
            <w:hideMark/>
          </w:tcPr>
          <w:p w14:paraId="5C8B61C7" w14:textId="77777777" w:rsidR="004129ED" w:rsidRPr="0064222E" w:rsidRDefault="002E7FAD" w:rsidP="0064222E">
            <w:pPr>
              <w:widowControl w:val="0"/>
              <w:spacing w:before="60" w:after="60"/>
              <w:rPr>
                <w:rFonts w:cs="Noto Sans"/>
                <w:b/>
                <w:color w:val="FFFFFF" w:themeColor="background1"/>
                <w:sz w:val="18"/>
                <w:szCs w:val="18"/>
              </w:rPr>
            </w:pPr>
            <w:r w:rsidRPr="0064222E">
              <w:rPr>
                <w:rFonts w:cs="Noto Sans"/>
                <w:b/>
                <w:color w:val="FFFFFF" w:themeColor="background1"/>
                <w:sz w:val="18"/>
                <w:szCs w:val="18"/>
              </w:rPr>
              <w:t>Objective</w:t>
            </w:r>
          </w:p>
        </w:tc>
        <w:tc>
          <w:tcPr>
            <w:tcW w:w="5103" w:type="dxa"/>
            <w:shd w:val="clear" w:color="auto" w:fill="005672"/>
            <w:tcMar>
              <w:top w:w="57" w:type="dxa"/>
              <w:left w:w="57" w:type="dxa"/>
              <w:bottom w:w="57" w:type="dxa"/>
              <w:right w:w="57" w:type="dxa"/>
            </w:tcMar>
            <w:hideMark/>
          </w:tcPr>
          <w:p w14:paraId="6A32E742" w14:textId="77777777" w:rsidR="004129ED" w:rsidRPr="0064222E" w:rsidRDefault="002E7FAD" w:rsidP="0064222E">
            <w:pPr>
              <w:widowControl w:val="0"/>
              <w:spacing w:before="60" w:after="60"/>
              <w:rPr>
                <w:rFonts w:cs="Noto Sans"/>
                <w:b/>
                <w:color w:val="FFFFFF" w:themeColor="background1"/>
                <w:sz w:val="18"/>
                <w:szCs w:val="18"/>
              </w:rPr>
            </w:pPr>
            <w:r w:rsidRPr="0064222E">
              <w:rPr>
                <w:rFonts w:cs="Noto Sans"/>
                <w:b/>
                <w:color w:val="FFFFFF" w:themeColor="background1"/>
                <w:sz w:val="18"/>
                <w:szCs w:val="18"/>
              </w:rPr>
              <w:t>Performance indicators</w:t>
            </w:r>
          </w:p>
        </w:tc>
        <w:tc>
          <w:tcPr>
            <w:tcW w:w="2404" w:type="dxa"/>
            <w:shd w:val="clear" w:color="auto" w:fill="005672"/>
          </w:tcPr>
          <w:p w14:paraId="3DDEB242" w14:textId="77777777" w:rsidR="004129ED" w:rsidRPr="0064222E" w:rsidRDefault="002E7FAD" w:rsidP="0064222E">
            <w:pPr>
              <w:widowControl w:val="0"/>
              <w:spacing w:before="60" w:after="60"/>
              <w:rPr>
                <w:rFonts w:cs="Noto Sans"/>
                <w:b/>
                <w:color w:val="FFFFFF" w:themeColor="background1"/>
                <w:sz w:val="18"/>
                <w:szCs w:val="18"/>
              </w:rPr>
            </w:pPr>
            <w:r w:rsidRPr="0064222E">
              <w:rPr>
                <w:rFonts w:cs="Noto Sans"/>
                <w:b/>
                <w:color w:val="FFFFFF" w:themeColor="background1"/>
                <w:sz w:val="18"/>
                <w:szCs w:val="18"/>
              </w:rPr>
              <w:t>Management options</w:t>
            </w:r>
          </w:p>
        </w:tc>
      </w:tr>
      <w:tr w:rsidR="00F46949" w14:paraId="5DE23CD4" w14:textId="77777777" w:rsidTr="00D55914">
        <w:trPr>
          <w:trHeight w:val="2421"/>
        </w:trPr>
        <w:tc>
          <w:tcPr>
            <w:tcW w:w="2132" w:type="dxa"/>
            <w:tcMar>
              <w:top w:w="57" w:type="dxa"/>
              <w:left w:w="57" w:type="dxa"/>
              <w:bottom w:w="57" w:type="dxa"/>
              <w:right w:w="57" w:type="dxa"/>
            </w:tcMar>
          </w:tcPr>
          <w:p w14:paraId="1BE08433" w14:textId="59238D33" w:rsidR="004129ED" w:rsidRPr="006250A9" w:rsidRDefault="002E7FAD" w:rsidP="0064222E">
            <w:pPr>
              <w:widowControl w:val="0"/>
              <w:spacing w:before="60" w:after="60"/>
              <w:rPr>
                <w:rFonts w:cs="Noto Sans"/>
                <w:sz w:val="18"/>
                <w:szCs w:val="18"/>
              </w:rPr>
            </w:pPr>
            <w:r w:rsidRPr="006250A9">
              <w:rPr>
                <w:rFonts w:cs="Noto Sans"/>
                <w:sz w:val="18"/>
                <w:szCs w:val="18"/>
              </w:rPr>
              <w:t xml:space="preserve">Maximise economic performance of </w:t>
            </w:r>
            <w:r w:rsidR="00944075" w:rsidRPr="006250A9">
              <w:rPr>
                <w:rFonts w:cs="Noto Sans"/>
                <w:sz w:val="18"/>
                <w:szCs w:val="18"/>
              </w:rPr>
              <w:t>the</w:t>
            </w:r>
            <w:r w:rsidRPr="006250A9">
              <w:rPr>
                <w:rFonts w:cs="Noto Sans"/>
                <w:sz w:val="18"/>
                <w:szCs w:val="18"/>
              </w:rPr>
              <w:t xml:space="preserve"> commercial sector </w:t>
            </w:r>
          </w:p>
        </w:tc>
        <w:tc>
          <w:tcPr>
            <w:tcW w:w="5103" w:type="dxa"/>
            <w:tcMar>
              <w:top w:w="57" w:type="dxa"/>
              <w:left w:w="57" w:type="dxa"/>
              <w:bottom w:w="57" w:type="dxa"/>
              <w:right w:w="57" w:type="dxa"/>
            </w:tcMar>
          </w:tcPr>
          <w:p w14:paraId="0F3C493C" w14:textId="77777777" w:rsidR="004129ED" w:rsidRPr="006250A9" w:rsidRDefault="002E7FAD" w:rsidP="0064222E">
            <w:pPr>
              <w:widowControl w:val="0"/>
              <w:spacing w:before="60" w:after="60"/>
              <w:ind w:left="1"/>
              <w:rPr>
                <w:rFonts w:eastAsia="Times New Roman" w:cs="Noto Sans"/>
                <w:sz w:val="18"/>
                <w:szCs w:val="18"/>
                <w:lang w:val="en-US"/>
              </w:rPr>
            </w:pPr>
            <w:r w:rsidRPr="006250A9">
              <w:rPr>
                <w:rFonts w:eastAsia="Times New Roman" w:cs="Noto Sans"/>
                <w:sz w:val="18"/>
                <w:szCs w:val="18"/>
                <w:lang w:val="en-US"/>
              </w:rPr>
              <w:t>Potential indicators to monitor include:</w:t>
            </w:r>
          </w:p>
          <w:p w14:paraId="19DAA8B5" w14:textId="36828839" w:rsidR="004129ED" w:rsidRPr="006250A9" w:rsidRDefault="002E7FAD"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c</w:t>
            </w:r>
            <w:r w:rsidR="009238F9" w:rsidRPr="006250A9">
              <w:rPr>
                <w:rFonts w:eastAsia="Times New Roman" w:cs="Noto Sans"/>
                <w:sz w:val="18"/>
                <w:szCs w:val="18"/>
                <w:lang w:val="en-US"/>
              </w:rPr>
              <w:t>atch per unit effort</w:t>
            </w:r>
            <w:r w:rsidRPr="006250A9">
              <w:rPr>
                <w:rFonts w:eastAsia="Times New Roman" w:cs="Noto Sans"/>
                <w:sz w:val="18"/>
                <w:szCs w:val="18"/>
                <w:lang w:val="en-US"/>
              </w:rPr>
              <w:t xml:space="preserve"> (average per day</w:t>
            </w:r>
            <w:r w:rsidR="00207808" w:rsidRPr="006250A9">
              <w:rPr>
                <w:rFonts w:eastAsia="Times New Roman" w:cs="Noto Sans"/>
                <w:sz w:val="18"/>
                <w:szCs w:val="18"/>
                <w:lang w:val="en-US"/>
              </w:rPr>
              <w:t>/hour</w:t>
            </w:r>
            <w:r w:rsidR="002A5F8A" w:rsidRPr="006250A9">
              <w:rPr>
                <w:rFonts w:eastAsia="Times New Roman" w:cs="Noto Sans"/>
                <w:sz w:val="18"/>
                <w:szCs w:val="18"/>
                <w:lang w:val="en-US"/>
              </w:rPr>
              <w:t xml:space="preserve"> fished</w:t>
            </w:r>
            <w:r w:rsidRPr="006250A9">
              <w:rPr>
                <w:rFonts w:eastAsia="Times New Roman" w:cs="Noto Sans"/>
                <w:sz w:val="18"/>
                <w:szCs w:val="18"/>
                <w:lang w:val="en-US"/>
              </w:rPr>
              <w:t>)</w:t>
            </w:r>
          </w:p>
          <w:p w14:paraId="7486E81D" w14:textId="77777777" w:rsidR="004129ED" w:rsidRPr="006250A9" w:rsidRDefault="002E7FAD"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costs, earnings and net financial and economic profit</w:t>
            </w:r>
          </w:p>
          <w:p w14:paraId="7683A1DC" w14:textId="63784B98" w:rsidR="009C04A2" w:rsidRPr="006250A9" w:rsidRDefault="002E7FAD"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net economic returns</w:t>
            </w:r>
            <w:r w:rsidR="00DE1AEB" w:rsidRPr="006250A9">
              <w:rPr>
                <w:rFonts w:eastAsia="Times New Roman" w:cs="Noto Sans"/>
                <w:sz w:val="18"/>
                <w:szCs w:val="18"/>
                <w:lang w:val="en-US"/>
              </w:rPr>
              <w:t>, gross state product, gross value of production</w:t>
            </w:r>
          </w:p>
          <w:p w14:paraId="32E5628B" w14:textId="77777777" w:rsidR="004129ED" w:rsidRPr="006250A9" w:rsidRDefault="002E7FAD"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quota sale and lease price</w:t>
            </w:r>
          </w:p>
          <w:p w14:paraId="25023E72" w14:textId="77777777" w:rsidR="004129ED" w:rsidRPr="006250A9" w:rsidRDefault="002E7FAD" w:rsidP="0064222E">
            <w:pPr>
              <w:widowControl w:val="0"/>
              <w:numPr>
                <w:ilvl w:val="2"/>
                <w:numId w:val="11"/>
              </w:numPr>
              <w:spacing w:before="60" w:after="60"/>
              <w:contextualSpacing/>
              <w:rPr>
                <w:rFonts w:cs="Noto Sans"/>
                <w:sz w:val="18"/>
                <w:szCs w:val="18"/>
              </w:rPr>
            </w:pPr>
            <w:r w:rsidRPr="006250A9">
              <w:rPr>
                <w:rFonts w:eastAsia="Times New Roman" w:cs="Noto Sans"/>
                <w:sz w:val="18"/>
                <w:szCs w:val="18"/>
                <w:lang w:val="en-US"/>
              </w:rPr>
              <w:t>profit decomposition (using profit or lease price) to determine impacts of prices, costs and stock/catch rates on changes in profits</w:t>
            </w:r>
          </w:p>
        </w:tc>
        <w:tc>
          <w:tcPr>
            <w:tcW w:w="2404" w:type="dxa"/>
          </w:tcPr>
          <w:p w14:paraId="19B6414D" w14:textId="18F8E1B5" w:rsidR="00732E3D" w:rsidRPr="006250A9" w:rsidRDefault="002E7FAD" w:rsidP="0064222E">
            <w:pPr>
              <w:widowControl w:val="0"/>
              <w:spacing w:before="60" w:after="60"/>
              <w:rPr>
                <w:rFonts w:cs="Noto Sans"/>
                <w:sz w:val="18"/>
                <w:szCs w:val="18"/>
              </w:rPr>
            </w:pPr>
            <w:r w:rsidRPr="006250A9">
              <w:rPr>
                <w:rFonts w:cs="Noto Sans"/>
                <w:sz w:val="18"/>
                <w:szCs w:val="18"/>
              </w:rPr>
              <w:t>Consider regulatory and non-regulatory options</w:t>
            </w:r>
          </w:p>
          <w:p w14:paraId="46B73F8D" w14:textId="1EF7AE47" w:rsidR="00732E3D" w:rsidRPr="006250A9" w:rsidRDefault="002E7FAD" w:rsidP="0064222E">
            <w:pPr>
              <w:widowControl w:val="0"/>
              <w:spacing w:before="60" w:after="60"/>
              <w:rPr>
                <w:rFonts w:cs="Noto Sans"/>
                <w:sz w:val="18"/>
                <w:szCs w:val="18"/>
              </w:rPr>
            </w:pPr>
            <w:r w:rsidRPr="006250A9">
              <w:rPr>
                <w:rFonts w:cs="Noto Sans"/>
                <w:sz w:val="18"/>
                <w:szCs w:val="18"/>
              </w:rPr>
              <w:t>Adjust management as needed</w:t>
            </w:r>
          </w:p>
          <w:p w14:paraId="62226DFC" w14:textId="47688962" w:rsidR="004129ED" w:rsidRPr="006250A9" w:rsidRDefault="002E7FAD" w:rsidP="0064222E">
            <w:pPr>
              <w:widowControl w:val="0"/>
              <w:spacing w:before="60" w:after="60"/>
              <w:rPr>
                <w:rFonts w:cs="Noto Sans"/>
                <w:sz w:val="18"/>
                <w:szCs w:val="18"/>
              </w:rPr>
            </w:pPr>
            <w:r w:rsidRPr="006250A9">
              <w:rPr>
                <w:rFonts w:cs="Noto Sans"/>
                <w:sz w:val="18"/>
                <w:szCs w:val="18"/>
              </w:rPr>
              <w:t>Options include minimum quota holding</w:t>
            </w:r>
            <w:r w:rsidR="0023643A" w:rsidRPr="006250A9">
              <w:rPr>
                <w:rFonts w:cs="Noto Sans"/>
                <w:sz w:val="18"/>
                <w:szCs w:val="18"/>
              </w:rPr>
              <w:t xml:space="preserve"> and</w:t>
            </w:r>
            <w:r w:rsidRPr="006250A9">
              <w:rPr>
                <w:rFonts w:cs="Noto Sans"/>
                <w:sz w:val="18"/>
                <w:szCs w:val="18"/>
              </w:rPr>
              <w:t xml:space="preserve"> latent effort review</w:t>
            </w:r>
          </w:p>
        </w:tc>
      </w:tr>
      <w:tr w:rsidR="00F46949" w14:paraId="1D8BFE15" w14:textId="77777777" w:rsidTr="00D55914">
        <w:trPr>
          <w:trHeight w:val="4829"/>
        </w:trPr>
        <w:tc>
          <w:tcPr>
            <w:tcW w:w="2132" w:type="dxa"/>
            <w:tcMar>
              <w:top w:w="57" w:type="dxa"/>
              <w:left w:w="57" w:type="dxa"/>
              <w:bottom w:w="57" w:type="dxa"/>
              <w:right w:w="57" w:type="dxa"/>
            </w:tcMar>
          </w:tcPr>
          <w:p w14:paraId="4B447A84" w14:textId="77777777" w:rsidR="004129ED" w:rsidRPr="006250A9" w:rsidRDefault="002E7FAD" w:rsidP="0064222E">
            <w:pPr>
              <w:widowControl w:val="0"/>
              <w:spacing w:before="60" w:after="60"/>
              <w:rPr>
                <w:rFonts w:cs="Noto Sans"/>
                <w:sz w:val="18"/>
                <w:szCs w:val="18"/>
              </w:rPr>
            </w:pPr>
            <w:r w:rsidRPr="006250A9">
              <w:rPr>
                <w:rFonts w:cs="Noto Sans"/>
                <w:sz w:val="18"/>
                <w:szCs w:val="18"/>
              </w:rPr>
              <w:t xml:space="preserve">Monitor the broader social and economic benefits of the fishery to the community </w:t>
            </w:r>
          </w:p>
        </w:tc>
        <w:tc>
          <w:tcPr>
            <w:tcW w:w="5103" w:type="dxa"/>
            <w:tcMar>
              <w:top w:w="57" w:type="dxa"/>
              <w:left w:w="57" w:type="dxa"/>
              <w:bottom w:w="57" w:type="dxa"/>
              <w:right w:w="57" w:type="dxa"/>
            </w:tcMar>
          </w:tcPr>
          <w:p w14:paraId="1D1CEA34" w14:textId="77777777" w:rsidR="004129ED" w:rsidRPr="006250A9" w:rsidRDefault="002E7FAD" w:rsidP="0064222E">
            <w:pPr>
              <w:widowControl w:val="0"/>
              <w:spacing w:before="60" w:after="60"/>
              <w:rPr>
                <w:rFonts w:eastAsia="Times New Roman" w:cs="Noto Sans"/>
                <w:sz w:val="18"/>
                <w:szCs w:val="18"/>
                <w:lang w:val="en-US"/>
              </w:rPr>
            </w:pPr>
            <w:r w:rsidRPr="006250A9">
              <w:rPr>
                <w:rFonts w:eastAsia="Times New Roman" w:cs="Noto Sans"/>
                <w:sz w:val="18"/>
                <w:szCs w:val="18"/>
                <w:lang w:val="en-US"/>
              </w:rPr>
              <w:t>Potential indicators to monitor include:</w:t>
            </w:r>
          </w:p>
          <w:p w14:paraId="795194F8" w14:textId="35F1614A" w:rsidR="004129ED" w:rsidRPr="006250A9" w:rsidRDefault="002E7FAD"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fisher satisfaction (with their fishing experience – commercial and recreational)</w:t>
            </w:r>
          </w:p>
          <w:p w14:paraId="082E1D77" w14:textId="566E5F9C" w:rsidR="00EF0505" w:rsidRPr="006250A9" w:rsidRDefault="00BC03EB"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r</w:t>
            </w:r>
            <w:r w:rsidR="00EF0505" w:rsidRPr="006250A9">
              <w:rPr>
                <w:rFonts w:eastAsia="Times New Roman" w:cs="Noto Sans"/>
                <w:sz w:val="18"/>
                <w:szCs w:val="18"/>
                <w:lang w:val="en-US"/>
              </w:rPr>
              <w:t>ecreational fisher participation and economic information</w:t>
            </w:r>
          </w:p>
          <w:p w14:paraId="49CCE441" w14:textId="28DBC610" w:rsidR="004129ED" w:rsidRPr="006250A9" w:rsidRDefault="002E7FAD"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percent</w:t>
            </w:r>
            <w:r w:rsidR="00732E3D" w:rsidRPr="006250A9">
              <w:rPr>
                <w:rFonts w:eastAsia="Times New Roman" w:cs="Noto Sans"/>
                <w:sz w:val="18"/>
                <w:szCs w:val="18"/>
                <w:lang w:val="en-US"/>
              </w:rPr>
              <w:t>age</w:t>
            </w:r>
            <w:r w:rsidRPr="006250A9">
              <w:rPr>
                <w:rFonts w:eastAsia="Times New Roman" w:cs="Noto Sans"/>
                <w:sz w:val="18"/>
                <w:szCs w:val="18"/>
                <w:lang w:val="en-US"/>
              </w:rPr>
              <w:t xml:space="preserve"> of quota/</w:t>
            </w:r>
            <w:proofErr w:type="spellStart"/>
            <w:r w:rsidR="000F0089" w:rsidRPr="006250A9">
              <w:rPr>
                <w:rFonts w:eastAsia="Times New Roman" w:cs="Noto Sans"/>
                <w:sz w:val="18"/>
                <w:szCs w:val="18"/>
                <w:lang w:val="en-US"/>
              </w:rPr>
              <w:t>licen</w:t>
            </w:r>
            <w:r w:rsidR="00732E3D" w:rsidRPr="006250A9">
              <w:rPr>
                <w:rFonts w:eastAsia="Times New Roman" w:cs="Noto Sans"/>
                <w:sz w:val="18"/>
                <w:szCs w:val="18"/>
                <w:lang w:val="en-US"/>
              </w:rPr>
              <w:t>c</w:t>
            </w:r>
            <w:r w:rsidR="000F0089" w:rsidRPr="006250A9">
              <w:rPr>
                <w:rFonts w:eastAsia="Times New Roman" w:cs="Noto Sans"/>
                <w:sz w:val="18"/>
                <w:szCs w:val="18"/>
                <w:lang w:val="en-US"/>
              </w:rPr>
              <w:t>es</w:t>
            </w:r>
            <w:proofErr w:type="spellEnd"/>
            <w:r w:rsidRPr="006250A9">
              <w:rPr>
                <w:rFonts w:eastAsia="Times New Roman" w:cs="Noto Sans"/>
                <w:sz w:val="18"/>
                <w:szCs w:val="18"/>
                <w:lang w:val="en-US"/>
              </w:rPr>
              <w:t xml:space="preserve"> that are owned (rather than leased)</w:t>
            </w:r>
          </w:p>
          <w:p w14:paraId="545D7CAF" w14:textId="77777777" w:rsidR="004129ED" w:rsidRPr="006250A9" w:rsidRDefault="002E7FAD"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Gini coefficient of quota owner (measure of concentration)</w:t>
            </w:r>
          </w:p>
          <w:p w14:paraId="21853512" w14:textId="4097A755" w:rsidR="004129ED" w:rsidRPr="006250A9" w:rsidRDefault="002E7FAD"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percent</w:t>
            </w:r>
            <w:r w:rsidR="00732E3D" w:rsidRPr="006250A9">
              <w:rPr>
                <w:rFonts w:eastAsia="Times New Roman" w:cs="Noto Sans"/>
                <w:sz w:val="18"/>
                <w:szCs w:val="18"/>
                <w:lang w:val="en-US"/>
              </w:rPr>
              <w:t>age</w:t>
            </w:r>
            <w:r w:rsidRPr="006250A9">
              <w:rPr>
                <w:rFonts w:eastAsia="Times New Roman" w:cs="Noto Sans"/>
                <w:sz w:val="18"/>
                <w:szCs w:val="18"/>
                <w:lang w:val="en-US"/>
              </w:rPr>
              <w:t xml:space="preserve"> of total costs/inputs purchased from local businesses/residents</w:t>
            </w:r>
          </w:p>
          <w:p w14:paraId="0E51B1CF" w14:textId="77777777" w:rsidR="004129ED" w:rsidRPr="006250A9" w:rsidRDefault="002E7FAD"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income generated (crew plus profit – gross value added)</w:t>
            </w:r>
          </w:p>
          <w:p w14:paraId="6F1F0380" w14:textId="77777777" w:rsidR="004129ED" w:rsidRPr="006250A9" w:rsidRDefault="002E7FAD"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proportion of catch sold locally</w:t>
            </w:r>
          </w:p>
          <w:p w14:paraId="13D63346" w14:textId="77777777" w:rsidR="004129ED" w:rsidRPr="006250A9" w:rsidRDefault="002E7FAD"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 xml:space="preserve">fish prices </w:t>
            </w:r>
          </w:p>
          <w:p w14:paraId="1B79BBF4" w14:textId="2192BE94" w:rsidR="004129ED" w:rsidRPr="006250A9" w:rsidRDefault="002E7FAD"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number of platforms</w:t>
            </w:r>
            <w:r w:rsidR="00732E3D" w:rsidRPr="006250A9">
              <w:rPr>
                <w:rFonts w:eastAsia="Times New Roman" w:cs="Noto Sans"/>
                <w:sz w:val="18"/>
                <w:szCs w:val="18"/>
                <w:lang w:val="en-US"/>
              </w:rPr>
              <w:t xml:space="preserve"> </w:t>
            </w:r>
            <w:r w:rsidRPr="006250A9">
              <w:rPr>
                <w:rFonts w:eastAsia="Times New Roman" w:cs="Noto Sans"/>
                <w:sz w:val="18"/>
                <w:szCs w:val="18"/>
                <w:lang w:val="en-US"/>
              </w:rPr>
              <w:t>/</w:t>
            </w:r>
            <w:r w:rsidR="00732E3D" w:rsidRPr="006250A9">
              <w:rPr>
                <w:rFonts w:eastAsia="Times New Roman" w:cs="Noto Sans"/>
                <w:sz w:val="18"/>
                <w:szCs w:val="18"/>
                <w:lang w:val="en-US"/>
              </w:rPr>
              <w:t xml:space="preserve"> </w:t>
            </w:r>
            <w:r w:rsidRPr="006250A9">
              <w:rPr>
                <w:rFonts w:eastAsia="Times New Roman" w:cs="Noto Sans"/>
                <w:sz w:val="18"/>
                <w:szCs w:val="18"/>
                <w:lang w:val="en-US"/>
              </w:rPr>
              <w:t xml:space="preserve">number of active </w:t>
            </w:r>
            <w:proofErr w:type="spellStart"/>
            <w:r w:rsidRPr="006250A9">
              <w:rPr>
                <w:rFonts w:eastAsia="Times New Roman" w:cs="Noto Sans"/>
                <w:sz w:val="18"/>
                <w:szCs w:val="18"/>
                <w:lang w:val="en-US"/>
              </w:rPr>
              <w:t>licen</w:t>
            </w:r>
            <w:r w:rsidR="00732E3D" w:rsidRPr="006250A9">
              <w:rPr>
                <w:rFonts w:eastAsia="Times New Roman" w:cs="Noto Sans"/>
                <w:sz w:val="18"/>
                <w:szCs w:val="18"/>
                <w:lang w:val="en-US"/>
              </w:rPr>
              <w:t>c</w:t>
            </w:r>
            <w:r w:rsidRPr="006250A9">
              <w:rPr>
                <w:rFonts w:eastAsia="Times New Roman" w:cs="Noto Sans"/>
                <w:sz w:val="18"/>
                <w:szCs w:val="18"/>
                <w:lang w:val="en-US"/>
              </w:rPr>
              <w:t>es</w:t>
            </w:r>
            <w:proofErr w:type="spellEnd"/>
            <w:r w:rsidR="00361DBC" w:rsidRPr="006250A9">
              <w:rPr>
                <w:rFonts w:eastAsia="Times New Roman" w:cs="Noto Sans"/>
                <w:sz w:val="18"/>
                <w:szCs w:val="18"/>
                <w:lang w:val="en-US"/>
              </w:rPr>
              <w:t xml:space="preserve"> </w:t>
            </w:r>
            <w:r w:rsidRPr="006250A9">
              <w:rPr>
                <w:rFonts w:eastAsia="Times New Roman" w:cs="Noto Sans"/>
                <w:sz w:val="18"/>
                <w:szCs w:val="18"/>
                <w:lang w:val="en-US"/>
              </w:rPr>
              <w:t>/</w:t>
            </w:r>
            <w:r w:rsidR="00732E3D" w:rsidRPr="006250A9">
              <w:rPr>
                <w:rFonts w:eastAsia="Times New Roman" w:cs="Noto Sans"/>
                <w:sz w:val="18"/>
                <w:szCs w:val="18"/>
                <w:lang w:val="en-US"/>
              </w:rPr>
              <w:t xml:space="preserve"> </w:t>
            </w:r>
            <w:r w:rsidRPr="006250A9">
              <w:rPr>
                <w:rFonts w:eastAsia="Times New Roman" w:cs="Noto Sans"/>
                <w:sz w:val="18"/>
                <w:szCs w:val="18"/>
                <w:lang w:val="en-US"/>
              </w:rPr>
              <w:t>total capacity</w:t>
            </w:r>
          </w:p>
          <w:p w14:paraId="282C49F9" w14:textId="77777777" w:rsidR="004129ED" w:rsidRPr="006250A9" w:rsidRDefault="002E7FAD" w:rsidP="0064222E">
            <w:pPr>
              <w:widowControl w:val="0"/>
              <w:numPr>
                <w:ilvl w:val="2"/>
                <w:numId w:val="11"/>
              </w:numPr>
              <w:spacing w:before="60" w:after="60"/>
              <w:contextualSpacing/>
              <w:rPr>
                <w:rFonts w:eastAsia="Times New Roman" w:cs="Noto Sans"/>
                <w:sz w:val="18"/>
                <w:szCs w:val="18"/>
                <w:lang w:val="en-US"/>
              </w:rPr>
            </w:pPr>
            <w:r w:rsidRPr="006250A9">
              <w:rPr>
                <w:rFonts w:eastAsia="Times New Roman" w:cs="Noto Sans"/>
                <w:sz w:val="18"/>
                <w:szCs w:val="18"/>
                <w:lang w:val="en-US"/>
              </w:rPr>
              <w:t xml:space="preserve">community satisfaction (with their fisheries and the way in which they are managed) </w:t>
            </w:r>
          </w:p>
        </w:tc>
        <w:tc>
          <w:tcPr>
            <w:tcW w:w="2404" w:type="dxa"/>
          </w:tcPr>
          <w:p w14:paraId="62D9BE56" w14:textId="41C37CFB" w:rsidR="00732E3D" w:rsidRPr="006250A9" w:rsidRDefault="002E7FAD" w:rsidP="0064222E">
            <w:pPr>
              <w:widowControl w:val="0"/>
              <w:spacing w:before="60" w:after="60"/>
              <w:rPr>
                <w:rFonts w:eastAsia="Times New Roman" w:cs="Noto Sans"/>
                <w:sz w:val="18"/>
                <w:szCs w:val="18"/>
                <w:lang w:eastAsia="en-AU"/>
              </w:rPr>
            </w:pPr>
            <w:r w:rsidRPr="006250A9">
              <w:rPr>
                <w:rFonts w:eastAsia="Times New Roman" w:cs="Noto Sans"/>
                <w:sz w:val="18"/>
                <w:szCs w:val="18"/>
                <w:lang w:eastAsia="en-AU"/>
              </w:rPr>
              <w:t>Consider regulatory and non-regulatory options</w:t>
            </w:r>
          </w:p>
          <w:p w14:paraId="461E9020" w14:textId="039E75D7" w:rsidR="004129ED" w:rsidRPr="006250A9" w:rsidRDefault="002E7FAD" w:rsidP="0064222E">
            <w:pPr>
              <w:widowControl w:val="0"/>
              <w:spacing w:before="60" w:after="60"/>
              <w:rPr>
                <w:rFonts w:cs="Noto Sans"/>
                <w:b/>
                <w:sz w:val="18"/>
                <w:szCs w:val="18"/>
              </w:rPr>
            </w:pPr>
            <w:r w:rsidRPr="006250A9">
              <w:rPr>
                <w:rFonts w:eastAsia="Times New Roman" w:cs="Noto Sans"/>
                <w:sz w:val="18"/>
                <w:szCs w:val="18"/>
                <w:lang w:eastAsia="en-AU"/>
              </w:rPr>
              <w:t>Adjust management as needed</w:t>
            </w:r>
          </w:p>
        </w:tc>
      </w:tr>
      <w:tr w:rsidR="00B22B8F" w14:paraId="2F9D0B0F" w14:textId="77777777" w:rsidTr="00556A61">
        <w:trPr>
          <w:trHeight w:val="20"/>
        </w:trPr>
        <w:tc>
          <w:tcPr>
            <w:tcW w:w="2132" w:type="dxa"/>
            <w:tcMar>
              <w:top w:w="57" w:type="dxa"/>
              <w:left w:w="57" w:type="dxa"/>
              <w:bottom w:w="57" w:type="dxa"/>
              <w:right w:w="57" w:type="dxa"/>
            </w:tcMar>
          </w:tcPr>
          <w:p w14:paraId="38C75FCB" w14:textId="712CB948" w:rsidR="00B22B8F" w:rsidRPr="006250A9" w:rsidRDefault="00B22B8F" w:rsidP="0064222E">
            <w:pPr>
              <w:autoSpaceDE w:val="0"/>
              <w:autoSpaceDN w:val="0"/>
              <w:adjustRightInd w:val="0"/>
              <w:spacing w:before="60" w:after="60"/>
              <w:rPr>
                <w:rFonts w:eastAsiaTheme="minorHAnsi" w:cs="Noto Sans"/>
                <w:i/>
                <w:sz w:val="18"/>
                <w:szCs w:val="18"/>
              </w:rPr>
            </w:pPr>
            <w:r w:rsidRPr="006250A9">
              <w:rPr>
                <w:rFonts w:eastAsiaTheme="minorHAnsi" w:cs="Noto Sans"/>
                <w:sz w:val="18"/>
                <w:szCs w:val="18"/>
              </w:rPr>
              <w:t>Wildlife Trade</w:t>
            </w:r>
            <w:r w:rsidR="0064222E">
              <w:rPr>
                <w:rFonts w:eastAsiaTheme="minorHAnsi" w:cs="Noto Sans"/>
                <w:sz w:val="18"/>
                <w:szCs w:val="18"/>
              </w:rPr>
              <w:t xml:space="preserve"> </w:t>
            </w:r>
            <w:r w:rsidRPr="006250A9">
              <w:rPr>
                <w:rFonts w:eastAsiaTheme="minorHAnsi" w:cs="Noto Sans"/>
                <w:sz w:val="18"/>
                <w:szCs w:val="18"/>
              </w:rPr>
              <w:t>Operation (WTO)</w:t>
            </w:r>
            <w:r w:rsidR="0064222E">
              <w:rPr>
                <w:rFonts w:eastAsiaTheme="minorHAnsi" w:cs="Noto Sans"/>
                <w:sz w:val="18"/>
                <w:szCs w:val="18"/>
              </w:rPr>
              <w:t xml:space="preserve"> </w:t>
            </w:r>
            <w:r w:rsidRPr="006250A9">
              <w:rPr>
                <w:rFonts w:eastAsiaTheme="minorHAnsi" w:cs="Noto Sans"/>
                <w:sz w:val="18"/>
                <w:szCs w:val="18"/>
              </w:rPr>
              <w:t>accreditation under the</w:t>
            </w:r>
            <w:r w:rsidR="0064222E">
              <w:rPr>
                <w:rFonts w:eastAsiaTheme="minorHAnsi" w:cs="Noto Sans"/>
                <w:sz w:val="18"/>
                <w:szCs w:val="18"/>
              </w:rPr>
              <w:t xml:space="preserve"> </w:t>
            </w:r>
            <w:r w:rsidRPr="006250A9">
              <w:rPr>
                <w:rFonts w:eastAsiaTheme="minorHAnsi" w:cs="Noto Sans"/>
                <w:i/>
                <w:sz w:val="18"/>
                <w:szCs w:val="18"/>
              </w:rPr>
              <w:t>Environment Protection</w:t>
            </w:r>
            <w:r w:rsidR="0064222E">
              <w:rPr>
                <w:rFonts w:eastAsiaTheme="minorHAnsi" w:cs="Noto Sans"/>
                <w:i/>
                <w:iCs/>
                <w:sz w:val="18"/>
                <w:szCs w:val="18"/>
              </w:rPr>
              <w:t xml:space="preserve"> </w:t>
            </w:r>
            <w:r w:rsidRPr="006250A9">
              <w:rPr>
                <w:rFonts w:eastAsiaTheme="minorHAnsi" w:cs="Noto Sans"/>
                <w:i/>
                <w:sz w:val="18"/>
                <w:szCs w:val="18"/>
              </w:rPr>
              <w:t>and Biodiversity Act</w:t>
            </w:r>
            <w:r w:rsidR="0064222E">
              <w:rPr>
                <w:rFonts w:eastAsiaTheme="minorHAnsi" w:cs="Noto Sans"/>
                <w:i/>
                <w:iCs/>
                <w:sz w:val="18"/>
                <w:szCs w:val="18"/>
              </w:rPr>
              <w:t xml:space="preserve"> </w:t>
            </w:r>
            <w:r w:rsidRPr="006250A9">
              <w:rPr>
                <w:rFonts w:eastAsiaTheme="minorHAnsi" w:cs="Noto Sans"/>
                <w:i/>
                <w:sz w:val="18"/>
                <w:szCs w:val="18"/>
              </w:rPr>
              <w:t>1999</w:t>
            </w:r>
          </w:p>
        </w:tc>
        <w:tc>
          <w:tcPr>
            <w:tcW w:w="5103" w:type="dxa"/>
            <w:tcMar>
              <w:top w:w="57" w:type="dxa"/>
              <w:left w:w="57" w:type="dxa"/>
              <w:bottom w:w="57" w:type="dxa"/>
              <w:right w:w="57" w:type="dxa"/>
            </w:tcMar>
          </w:tcPr>
          <w:p w14:paraId="53B2AFA2" w14:textId="749C5591" w:rsidR="00B22B8F" w:rsidRPr="0064222E" w:rsidRDefault="002537E1" w:rsidP="0064222E">
            <w:pPr>
              <w:autoSpaceDE w:val="0"/>
              <w:autoSpaceDN w:val="0"/>
              <w:adjustRightInd w:val="0"/>
              <w:spacing w:before="60" w:after="60"/>
              <w:rPr>
                <w:rFonts w:eastAsiaTheme="minorHAnsi" w:cs="Noto Sans"/>
                <w:sz w:val="18"/>
                <w:szCs w:val="18"/>
              </w:rPr>
            </w:pPr>
            <w:r w:rsidRPr="006250A9">
              <w:rPr>
                <w:rFonts w:eastAsiaTheme="minorHAnsi" w:cs="Noto Sans"/>
                <w:sz w:val="18"/>
                <w:szCs w:val="18"/>
              </w:rPr>
              <w:t>Number of conditions and</w:t>
            </w:r>
            <w:r w:rsidR="0064222E">
              <w:rPr>
                <w:rFonts w:eastAsiaTheme="minorHAnsi" w:cs="Noto Sans"/>
                <w:sz w:val="18"/>
                <w:szCs w:val="18"/>
              </w:rPr>
              <w:t xml:space="preserve"> </w:t>
            </w:r>
            <w:r w:rsidRPr="006250A9">
              <w:rPr>
                <w:rFonts w:eastAsiaTheme="minorHAnsi" w:cs="Noto Sans"/>
                <w:sz w:val="18"/>
                <w:szCs w:val="18"/>
              </w:rPr>
              <w:t>recommendations met as required</w:t>
            </w:r>
            <w:r w:rsidR="0064222E">
              <w:rPr>
                <w:rFonts w:eastAsiaTheme="minorHAnsi" w:cs="Noto Sans"/>
                <w:sz w:val="18"/>
                <w:szCs w:val="18"/>
              </w:rPr>
              <w:t xml:space="preserve"> </w:t>
            </w:r>
            <w:r w:rsidRPr="006250A9">
              <w:rPr>
                <w:rFonts w:eastAsiaTheme="minorHAnsi" w:cs="Noto Sans"/>
                <w:sz w:val="18"/>
                <w:szCs w:val="18"/>
              </w:rPr>
              <w:t>through the WTO accreditation process</w:t>
            </w:r>
          </w:p>
        </w:tc>
        <w:tc>
          <w:tcPr>
            <w:tcW w:w="2404" w:type="dxa"/>
          </w:tcPr>
          <w:p w14:paraId="0908BF3C" w14:textId="7DC5ADBA" w:rsidR="00B22B8F" w:rsidRPr="006250A9" w:rsidRDefault="002537E1" w:rsidP="0064222E">
            <w:pPr>
              <w:autoSpaceDE w:val="0"/>
              <w:autoSpaceDN w:val="0"/>
              <w:adjustRightInd w:val="0"/>
              <w:spacing w:before="60" w:after="60"/>
              <w:rPr>
                <w:rFonts w:eastAsia="Times New Roman" w:cs="Noto Sans"/>
                <w:sz w:val="18"/>
                <w:szCs w:val="18"/>
                <w:lang w:eastAsia="en-AU"/>
              </w:rPr>
            </w:pPr>
            <w:r w:rsidRPr="006250A9">
              <w:rPr>
                <w:rFonts w:eastAsiaTheme="minorHAnsi" w:cs="Noto Sans"/>
                <w:sz w:val="18"/>
                <w:szCs w:val="18"/>
              </w:rPr>
              <w:t>Amend fisheries legislation and</w:t>
            </w:r>
            <w:r w:rsidR="0064222E">
              <w:rPr>
                <w:rFonts w:eastAsiaTheme="minorHAnsi" w:cs="Noto Sans"/>
                <w:sz w:val="18"/>
                <w:szCs w:val="18"/>
              </w:rPr>
              <w:t xml:space="preserve"> </w:t>
            </w:r>
            <w:r w:rsidRPr="006250A9">
              <w:rPr>
                <w:rFonts w:eastAsiaTheme="minorHAnsi" w:cs="Noto Sans"/>
                <w:sz w:val="18"/>
                <w:szCs w:val="18"/>
              </w:rPr>
              <w:t>regulation as required to align with</w:t>
            </w:r>
            <w:r w:rsidR="0064222E">
              <w:rPr>
                <w:rFonts w:eastAsiaTheme="minorHAnsi" w:cs="Noto Sans"/>
                <w:sz w:val="18"/>
                <w:szCs w:val="18"/>
              </w:rPr>
              <w:t xml:space="preserve"> </w:t>
            </w:r>
            <w:r w:rsidRPr="006250A9">
              <w:rPr>
                <w:rFonts w:eastAsiaTheme="minorHAnsi" w:cs="Noto Sans"/>
                <w:sz w:val="18"/>
                <w:szCs w:val="18"/>
              </w:rPr>
              <w:t>best practice to get</w:t>
            </w:r>
          </w:p>
        </w:tc>
      </w:tr>
    </w:tbl>
    <w:p w14:paraId="5D5BB3BB" w14:textId="51E22253" w:rsidR="002A73DB" w:rsidRPr="00687C9E" w:rsidRDefault="002E7FAD" w:rsidP="0064222E">
      <w:pPr>
        <w:pStyle w:val="Heading1"/>
        <w:rPr>
          <w:rFonts w:cstheme="minorHAnsi"/>
        </w:rPr>
      </w:pPr>
      <w:bookmarkStart w:id="43" w:name="_Toc121747123"/>
      <w:bookmarkStart w:id="44" w:name="_Toc204270758"/>
      <w:bookmarkStart w:id="45" w:name="_Toc205215637"/>
      <w:r w:rsidRPr="009E5768">
        <w:rPr>
          <w:rFonts w:cstheme="minorHAnsi"/>
        </w:rPr>
        <w:lastRenderedPageBreak/>
        <w:t xml:space="preserve">Data collection, validation </w:t>
      </w:r>
      <w:r w:rsidR="00941495" w:rsidRPr="00687C9E">
        <w:rPr>
          <w:rFonts w:cstheme="minorHAnsi"/>
        </w:rPr>
        <w:t>and</w:t>
      </w:r>
      <w:r w:rsidR="009A6D8A" w:rsidRPr="00687C9E">
        <w:rPr>
          <w:rFonts w:cstheme="minorHAnsi"/>
        </w:rPr>
        <w:t xml:space="preserve"> </w:t>
      </w:r>
      <w:r w:rsidR="004D3435">
        <w:rPr>
          <w:rFonts w:cstheme="minorHAnsi"/>
        </w:rPr>
        <w:t>a</w:t>
      </w:r>
      <w:r w:rsidR="009A6D8A" w:rsidRPr="00687C9E">
        <w:rPr>
          <w:rFonts w:cstheme="minorHAnsi"/>
        </w:rPr>
        <w:t>ssessment</w:t>
      </w:r>
      <w:bookmarkEnd w:id="43"/>
      <w:bookmarkEnd w:id="44"/>
      <w:bookmarkEnd w:id="45"/>
    </w:p>
    <w:p w14:paraId="2334B7D2" w14:textId="0F3BADAD" w:rsidR="002878E6" w:rsidRPr="002878E6" w:rsidRDefault="002878E6" w:rsidP="0064222E">
      <w:pPr>
        <w:pStyle w:val="Heading2"/>
        <w:rPr>
          <w:rFonts w:asciiTheme="minorHAnsi" w:eastAsia="Calibri" w:hAnsiTheme="minorHAnsi" w:cstheme="minorHAnsi"/>
          <w:b/>
          <w:bCs/>
          <w:sz w:val="22"/>
          <w:szCs w:val="22"/>
        </w:rPr>
      </w:pPr>
      <w:bookmarkStart w:id="46" w:name="_Toc205215638"/>
      <w:r w:rsidRPr="002878E6">
        <w:t xml:space="preserve">Fishery-dependent </w:t>
      </w:r>
      <w:r w:rsidR="00BD7DE6" w:rsidRPr="00E02302">
        <w:t>i</w:t>
      </w:r>
      <w:r w:rsidRPr="00E02302">
        <w:t>nformation</w:t>
      </w:r>
      <w:bookmarkEnd w:id="46"/>
      <w:r w:rsidRPr="002878E6">
        <w:rPr>
          <w:rFonts w:asciiTheme="minorHAnsi" w:eastAsia="Calibri" w:hAnsiTheme="minorHAnsi" w:cstheme="minorHAnsi"/>
          <w:b/>
          <w:bCs/>
          <w:sz w:val="22"/>
          <w:szCs w:val="22"/>
        </w:rPr>
        <w:t xml:space="preserve"> </w:t>
      </w:r>
    </w:p>
    <w:p w14:paraId="0570361B" w14:textId="20646351" w:rsidR="00D55935" w:rsidRPr="00D55935" w:rsidRDefault="00D55935" w:rsidP="00D55914">
      <w:r w:rsidRPr="00D55935">
        <w:t>Commercial catch and effort data are obtained from compulsory logbook returns and real-time landing</w:t>
      </w:r>
      <w:r>
        <w:t xml:space="preserve"> </w:t>
      </w:r>
      <w:r w:rsidRPr="00D55935">
        <w:t>reports. Catch and effort data is used to determine the standardised commercial catch rate for key species.</w:t>
      </w:r>
      <w:r>
        <w:t xml:space="preserve"> </w:t>
      </w:r>
      <w:r w:rsidR="00F46C60">
        <w:t>G</w:t>
      </w:r>
      <w:r w:rsidR="00413022">
        <w:t>O</w:t>
      </w:r>
      <w:r w:rsidR="00F46C60">
        <w:t>CIF</w:t>
      </w:r>
      <w:r w:rsidRPr="00D55935">
        <w:t xml:space="preserve"> logbooks can be found </w:t>
      </w:r>
      <w:r w:rsidRPr="00D55914">
        <w:rPr>
          <w:rFonts w:cs="Noto Sans"/>
          <w:szCs w:val="20"/>
        </w:rPr>
        <w:t xml:space="preserve">at </w:t>
      </w:r>
      <w:hyperlink r:id="rId27" w:history="1">
        <w:r w:rsidRPr="00D55914">
          <w:rPr>
            <w:rStyle w:val="Hyperlink"/>
            <w:rFonts w:eastAsia="Calibri" w:cs="Noto Sans"/>
            <w:szCs w:val="20"/>
          </w:rPr>
          <w:t>business.qld.gov.au</w:t>
        </w:r>
      </w:hyperlink>
      <w:r w:rsidRPr="00D55914">
        <w:rPr>
          <w:rFonts w:cs="Noto Sans"/>
          <w:szCs w:val="20"/>
        </w:rPr>
        <w:t>. Charter</w:t>
      </w:r>
      <w:r w:rsidRPr="00D55935">
        <w:t xml:space="preserve"> operators also</w:t>
      </w:r>
      <w:r>
        <w:t xml:space="preserve"> </w:t>
      </w:r>
      <w:r w:rsidRPr="00D55935">
        <w:t xml:space="preserve">record catch information in </w:t>
      </w:r>
      <w:r w:rsidR="00F46C60" w:rsidRPr="00D55935">
        <w:t>compulsory</w:t>
      </w:r>
      <w:r w:rsidRPr="00D55935">
        <w:t xml:space="preserve"> logbooks, which is included as recreational harvest.</w:t>
      </w:r>
    </w:p>
    <w:p w14:paraId="50AB2BC8" w14:textId="49BFF111" w:rsidR="00D55935" w:rsidRPr="00D55935" w:rsidRDefault="00D55935" w:rsidP="00D55914">
      <w:r w:rsidRPr="00D55935">
        <w:t>Fishers are also required to report any interactions with protected species in a mandatory threatened,</w:t>
      </w:r>
      <w:r>
        <w:t xml:space="preserve"> </w:t>
      </w:r>
      <w:r w:rsidRPr="00D55935">
        <w:t>endangered and protected animal logbook.</w:t>
      </w:r>
    </w:p>
    <w:p w14:paraId="4785BA96" w14:textId="77777777" w:rsidR="002C4EB5" w:rsidRDefault="00D55935" w:rsidP="00D55914">
      <w:r w:rsidRPr="00D55935">
        <w:t>Monitoring of non-retained catch will be progressed through a combination of self-reporting and</w:t>
      </w:r>
      <w:r>
        <w:t xml:space="preserve"> </w:t>
      </w:r>
      <w:r w:rsidRPr="00D55935">
        <w:t>independent monitoring.</w:t>
      </w:r>
    </w:p>
    <w:p w14:paraId="3EDACC9A" w14:textId="77777777" w:rsidR="0073165D" w:rsidRDefault="002C4EB5" w:rsidP="00D55914">
      <w:pPr>
        <w:pStyle w:val="Heading2"/>
        <w:rPr>
          <w:rFonts w:asciiTheme="minorHAnsi" w:eastAsia="Calibri" w:hAnsiTheme="minorHAnsi" w:cstheme="minorHAnsi"/>
          <w:b/>
          <w:bCs/>
          <w:sz w:val="22"/>
          <w:szCs w:val="22"/>
        </w:rPr>
      </w:pPr>
      <w:bookmarkStart w:id="47" w:name="_Toc205215639"/>
      <w:r w:rsidRPr="002C4EB5">
        <w:t>Fishery-dependant data (independent validation)</w:t>
      </w:r>
      <w:bookmarkEnd w:id="47"/>
    </w:p>
    <w:p w14:paraId="1A5808AF" w14:textId="3F72B21B" w:rsidR="0073165D" w:rsidRPr="0073165D" w:rsidRDefault="0073165D" w:rsidP="00D55914">
      <w:r w:rsidRPr="0073165D">
        <w:t>All commercial fishing vessels are required to have vessel tracking systems installed and active on their</w:t>
      </w:r>
      <w:r>
        <w:t xml:space="preserve"> </w:t>
      </w:r>
      <w:r w:rsidRPr="0073165D">
        <w:t>vessels. Vessel tracking data is used to verify effort information reported in commercial fishing logbooks. As</w:t>
      </w:r>
      <w:r>
        <w:t xml:space="preserve"> </w:t>
      </w:r>
      <w:r w:rsidRPr="0073165D">
        <w:t xml:space="preserve">a quota-managed fishery, compulsory quota </w:t>
      </w:r>
      <w:r w:rsidR="008D48E3">
        <w:t>weights notices</w:t>
      </w:r>
      <w:r w:rsidRPr="0073165D">
        <w:t xml:space="preserve"> provide an accurate record of the catch.</w:t>
      </w:r>
      <w:r>
        <w:t xml:space="preserve"> </w:t>
      </w:r>
      <w:r w:rsidRPr="0073165D">
        <w:t>Queensland Boating and Fisheries Patrol undertake routine and intelligence-based at-sea and landing</w:t>
      </w:r>
      <w:r>
        <w:t xml:space="preserve"> </w:t>
      </w:r>
      <w:r w:rsidRPr="0073165D">
        <w:t>(unload) inspections to check compliance and validate reported information.</w:t>
      </w:r>
    </w:p>
    <w:p w14:paraId="68F35104" w14:textId="2A8E8CF8" w:rsidR="0073165D" w:rsidRPr="0073165D" w:rsidRDefault="0073165D" w:rsidP="00D55914">
      <w:r w:rsidRPr="0073165D">
        <w:t>Surveys of recreational fishers at boat ramps and the statewide recreational fishing and keen angler logbook</w:t>
      </w:r>
      <w:r>
        <w:t xml:space="preserve"> </w:t>
      </w:r>
      <w:r w:rsidRPr="0073165D">
        <w:t>program data help provide important information on recreational harvest.</w:t>
      </w:r>
    </w:p>
    <w:p w14:paraId="0BC4B465" w14:textId="77777777" w:rsidR="00586322" w:rsidRDefault="0073165D" w:rsidP="00D55914">
      <w:pPr>
        <w:rPr>
          <w:b/>
        </w:rPr>
      </w:pPr>
      <w:r w:rsidRPr="0073165D">
        <w:t>Fisheries Queensland conducts biological monitoring on a range of important species. Sampling focuses on</w:t>
      </w:r>
      <w:r>
        <w:t xml:space="preserve"> </w:t>
      </w:r>
      <w:r w:rsidRPr="0073165D">
        <w:t>collecting length, sex and age data. Collecting this information from commercial catches, as well as similar</w:t>
      </w:r>
      <w:r>
        <w:t xml:space="preserve"> </w:t>
      </w:r>
      <w:r w:rsidRPr="0073165D">
        <w:t>information from the recreational sector, helps Fisheries Queensland develop a clear picture of the whole</w:t>
      </w:r>
      <w:r w:rsidR="00586322">
        <w:t xml:space="preserve"> </w:t>
      </w:r>
      <w:r w:rsidRPr="0073165D">
        <w:t>fishery for each species.</w:t>
      </w:r>
      <w:r w:rsidRPr="002C4EB5">
        <w:rPr>
          <w:b/>
        </w:rPr>
        <w:t xml:space="preserve"> </w:t>
      </w:r>
    </w:p>
    <w:p w14:paraId="3BF1823D" w14:textId="77777777" w:rsidR="00586322" w:rsidRDefault="00586322" w:rsidP="00D55914">
      <w:pPr>
        <w:pStyle w:val="Heading2"/>
        <w:rPr>
          <w:rFonts w:asciiTheme="minorHAnsi" w:eastAsia="Calibri" w:hAnsiTheme="minorHAnsi" w:cstheme="minorHAnsi"/>
          <w:b/>
          <w:bCs/>
          <w:sz w:val="22"/>
          <w:szCs w:val="22"/>
        </w:rPr>
      </w:pPr>
      <w:bookmarkStart w:id="48" w:name="_Toc205215640"/>
      <w:r>
        <w:t>Scientific assessment of stock</w:t>
      </w:r>
      <w:bookmarkEnd w:id="48"/>
    </w:p>
    <w:p w14:paraId="6141E39B" w14:textId="785F5733" w:rsidR="00586322" w:rsidRPr="003A2D34" w:rsidRDefault="00586322" w:rsidP="00D55914">
      <w:r w:rsidRPr="003A2D34">
        <w:t xml:space="preserve">Fisheries Queensland conducts regular stock assessments on key species. Species with stock assessments relevant to the </w:t>
      </w:r>
      <w:r w:rsidR="00174CB8">
        <w:t>GOCIF</w:t>
      </w:r>
      <w:r w:rsidRPr="003A2D34">
        <w:t xml:space="preserve"> are</w:t>
      </w:r>
    </w:p>
    <w:p w14:paraId="299AEB70" w14:textId="77777777" w:rsidR="003A2D34" w:rsidRPr="003A2D34" w:rsidRDefault="003A2D34" w:rsidP="00D55914">
      <w:pPr>
        <w:pStyle w:val="ListParagraph"/>
        <w:numPr>
          <w:ilvl w:val="0"/>
          <w:numId w:val="25"/>
        </w:numPr>
      </w:pPr>
      <w:r w:rsidRPr="003A2D34">
        <w:t>Barramundi</w:t>
      </w:r>
    </w:p>
    <w:p w14:paraId="692E75D6" w14:textId="77777777" w:rsidR="003A2D34" w:rsidRPr="003A2D34" w:rsidRDefault="003A2D34" w:rsidP="00D55914">
      <w:pPr>
        <w:pStyle w:val="ListParagraph"/>
        <w:numPr>
          <w:ilvl w:val="0"/>
          <w:numId w:val="25"/>
        </w:numPr>
      </w:pPr>
      <w:r w:rsidRPr="003A2D34">
        <w:t>King threadfin</w:t>
      </w:r>
    </w:p>
    <w:p w14:paraId="22F6C61B" w14:textId="77777777" w:rsidR="003A2D34" w:rsidRPr="003A2D34" w:rsidRDefault="003A2D34" w:rsidP="00D55914">
      <w:pPr>
        <w:pStyle w:val="ListParagraph"/>
        <w:numPr>
          <w:ilvl w:val="0"/>
          <w:numId w:val="25"/>
        </w:numPr>
      </w:pPr>
      <w:r w:rsidRPr="003A2D34">
        <w:t>Spanish mackerel</w:t>
      </w:r>
    </w:p>
    <w:p w14:paraId="55C30706" w14:textId="77777777" w:rsidR="00D55914" w:rsidRDefault="003A2D34" w:rsidP="00D55914">
      <w:r w:rsidRPr="003A2D34">
        <w:t xml:space="preserve">For current, updated and new stock assessments </w:t>
      </w:r>
      <w:r w:rsidRPr="00D55914">
        <w:rPr>
          <w:rFonts w:cs="Noto Sans"/>
          <w:szCs w:val="20"/>
        </w:rPr>
        <w:t xml:space="preserve">visit </w:t>
      </w:r>
      <w:hyperlink r:id="rId28" w:history="1">
        <w:r w:rsidRPr="00D55914">
          <w:rPr>
            <w:rStyle w:val="Hyperlink"/>
            <w:rFonts w:eastAsia="Calibri" w:cs="Noto Sans"/>
            <w:szCs w:val="20"/>
          </w:rPr>
          <w:t>era.daf.qld.gov.au</w:t>
        </w:r>
      </w:hyperlink>
      <w:r w:rsidRPr="00D55914">
        <w:rPr>
          <w:rFonts w:cs="Noto Sans"/>
          <w:szCs w:val="20"/>
        </w:rPr>
        <w:t xml:space="preserve"> and search</w:t>
      </w:r>
      <w:r w:rsidRPr="003A2D34">
        <w:t xml:space="preserve"> by species name.</w:t>
      </w:r>
    </w:p>
    <w:p w14:paraId="0FD8253A" w14:textId="77777777" w:rsidR="00CF1B7D" w:rsidRDefault="00CF1B7D" w:rsidP="00D55914"/>
    <w:p w14:paraId="445F5173" w14:textId="77777777" w:rsidR="00CF1B7D" w:rsidRDefault="00CF1B7D" w:rsidP="00D55914"/>
    <w:p w14:paraId="329E181E" w14:textId="6AD10ACB" w:rsidR="005B3E5D" w:rsidRDefault="002E7FAD" w:rsidP="00D55914">
      <w:pPr>
        <w:pStyle w:val="Heading1"/>
        <w:rPr>
          <w:rFonts w:cstheme="minorHAnsi"/>
        </w:rPr>
      </w:pPr>
      <w:bookmarkStart w:id="49" w:name="_Toc121747124"/>
      <w:bookmarkStart w:id="50" w:name="_Toc204270759"/>
      <w:bookmarkStart w:id="51" w:name="_Toc205215641"/>
      <w:r>
        <w:rPr>
          <w:rFonts w:cstheme="minorHAnsi"/>
        </w:rPr>
        <w:lastRenderedPageBreak/>
        <w:t>Information</w:t>
      </w:r>
      <w:r w:rsidRPr="00687C9E">
        <w:rPr>
          <w:rFonts w:cstheme="minorHAnsi"/>
        </w:rPr>
        <w:t xml:space="preserve"> </w:t>
      </w:r>
      <w:r w:rsidR="004D3435">
        <w:rPr>
          <w:rFonts w:cstheme="minorHAnsi"/>
        </w:rPr>
        <w:t>and r</w:t>
      </w:r>
      <w:r w:rsidRPr="00687C9E">
        <w:rPr>
          <w:rFonts w:cstheme="minorHAnsi"/>
        </w:rPr>
        <w:t>esearch priorities</w:t>
      </w:r>
      <w:bookmarkEnd w:id="49"/>
      <w:bookmarkEnd w:id="50"/>
      <w:bookmarkEnd w:id="51"/>
    </w:p>
    <w:p w14:paraId="76101382" w14:textId="2FB27E1A" w:rsidR="00E1240A" w:rsidRPr="005E20EC" w:rsidRDefault="002E7FAD" w:rsidP="00D55914">
      <w:pPr>
        <w:rPr>
          <w:i/>
        </w:rPr>
      </w:pPr>
      <w:r>
        <w:t xml:space="preserve">Key information and research priorities have been identified in Table </w:t>
      </w:r>
      <w:r w:rsidR="000330C1">
        <w:t>6</w:t>
      </w:r>
      <w:r>
        <w:t xml:space="preserve"> to help meet the objectives of this harvest strategy. These will be updated as required. </w:t>
      </w:r>
    </w:p>
    <w:p w14:paraId="61C94F8C" w14:textId="3AA23656" w:rsidR="00E7038F" w:rsidRPr="002512F4" w:rsidRDefault="002E7FAD" w:rsidP="00085FD6">
      <w:pPr>
        <w:pStyle w:val="Caption"/>
      </w:pPr>
      <w:r w:rsidRPr="002512F4">
        <w:t xml:space="preserve">Table </w:t>
      </w:r>
      <w:r w:rsidR="000330C1">
        <w:t>6</w:t>
      </w:r>
      <w:r w:rsidRPr="002512F4">
        <w:t xml:space="preserve">: </w:t>
      </w:r>
      <w:r w:rsidR="003D287F">
        <w:t>I</w:t>
      </w:r>
      <w:r w:rsidR="003D287F" w:rsidRPr="002512F4">
        <w:t xml:space="preserve">nformation and research priorities for the </w:t>
      </w:r>
      <w:r w:rsidR="00174CB8">
        <w:t>GOCIF</w:t>
      </w:r>
    </w:p>
    <w:tbl>
      <w:tblPr>
        <w:tblStyle w:val="TableGrid4"/>
        <w:tblW w:w="0" w:type="auto"/>
        <w:tblBorders>
          <w:top w:val="single" w:sz="4" w:space="0" w:color="005672"/>
          <w:left w:val="none" w:sz="0" w:space="0" w:color="auto"/>
          <w:bottom w:val="single" w:sz="4" w:space="0" w:color="005672"/>
          <w:right w:val="none" w:sz="0" w:space="0" w:color="auto"/>
          <w:insideH w:val="single" w:sz="4" w:space="0" w:color="005672"/>
          <w:insideV w:val="none" w:sz="0" w:space="0" w:color="auto"/>
        </w:tblBorders>
        <w:tblLook w:val="04A0" w:firstRow="1" w:lastRow="0" w:firstColumn="1" w:lastColumn="0" w:noHBand="0" w:noVBand="1"/>
        <w:tblCaption w:val="Information and research priorities for the mud crab fishery"/>
      </w:tblPr>
      <w:tblGrid>
        <w:gridCol w:w="1869"/>
        <w:gridCol w:w="1254"/>
        <w:gridCol w:w="4969"/>
        <w:gridCol w:w="934"/>
      </w:tblGrid>
      <w:tr w:rsidR="00353A4B" w14:paraId="63425015" w14:textId="77777777" w:rsidTr="00D55914">
        <w:trPr>
          <w:trHeight w:val="251"/>
          <w:tblHeader/>
        </w:trPr>
        <w:tc>
          <w:tcPr>
            <w:tcW w:w="1946" w:type="dxa"/>
            <w:shd w:val="clear" w:color="auto" w:fill="005672"/>
          </w:tcPr>
          <w:p w14:paraId="02FD884D" w14:textId="747117FF" w:rsidR="005E31E7" w:rsidRPr="00D55914" w:rsidRDefault="005E31E7" w:rsidP="00DD0800">
            <w:pPr>
              <w:spacing w:before="60" w:after="60"/>
              <w:rPr>
                <w:rFonts w:cs="Noto Sans"/>
                <w:b/>
                <w:color w:val="FFFFFF" w:themeColor="background1"/>
                <w:sz w:val="18"/>
                <w:szCs w:val="18"/>
              </w:rPr>
            </w:pPr>
            <w:r w:rsidRPr="00D55914">
              <w:rPr>
                <w:rFonts w:cs="Noto Sans"/>
                <w:b/>
                <w:color w:val="FFFFFF" w:themeColor="background1"/>
                <w:sz w:val="18"/>
                <w:szCs w:val="18"/>
              </w:rPr>
              <w:t>Project description</w:t>
            </w:r>
          </w:p>
        </w:tc>
        <w:tc>
          <w:tcPr>
            <w:tcW w:w="1258" w:type="dxa"/>
            <w:shd w:val="clear" w:color="auto" w:fill="005672"/>
          </w:tcPr>
          <w:p w14:paraId="45F0D8FB" w14:textId="3B2859D0" w:rsidR="005E31E7" w:rsidRPr="00D55914" w:rsidRDefault="005E31E7" w:rsidP="00DD0800">
            <w:pPr>
              <w:spacing w:before="60" w:after="60"/>
              <w:rPr>
                <w:rFonts w:cs="Noto Sans"/>
                <w:b/>
                <w:color w:val="FFFFFF" w:themeColor="background1"/>
                <w:sz w:val="18"/>
                <w:szCs w:val="18"/>
              </w:rPr>
            </w:pPr>
            <w:r w:rsidRPr="00D55914">
              <w:rPr>
                <w:rFonts w:cs="Noto Sans"/>
                <w:b/>
                <w:color w:val="FFFFFF" w:themeColor="background1"/>
                <w:sz w:val="18"/>
                <w:szCs w:val="18"/>
              </w:rPr>
              <w:t>Category</w:t>
            </w:r>
          </w:p>
        </w:tc>
        <w:tc>
          <w:tcPr>
            <w:tcW w:w="5595" w:type="dxa"/>
            <w:shd w:val="clear" w:color="auto" w:fill="005672"/>
          </w:tcPr>
          <w:p w14:paraId="5362AEAA" w14:textId="0F1223B7" w:rsidR="005E31E7" w:rsidRPr="00D55914" w:rsidRDefault="005E31E7" w:rsidP="00DD0800">
            <w:pPr>
              <w:spacing w:before="60" w:after="60"/>
              <w:rPr>
                <w:rFonts w:cs="Noto Sans"/>
                <w:b/>
                <w:color w:val="FFFFFF" w:themeColor="background1"/>
                <w:sz w:val="18"/>
                <w:szCs w:val="18"/>
              </w:rPr>
            </w:pPr>
            <w:r w:rsidRPr="00D55914">
              <w:rPr>
                <w:rFonts w:cs="Noto Sans"/>
                <w:b/>
                <w:color w:val="FFFFFF" w:themeColor="background1"/>
                <w:sz w:val="18"/>
                <w:szCs w:val="18"/>
              </w:rPr>
              <w:t>Explanation of need</w:t>
            </w:r>
          </w:p>
        </w:tc>
        <w:tc>
          <w:tcPr>
            <w:tcW w:w="937" w:type="dxa"/>
            <w:shd w:val="clear" w:color="auto" w:fill="005672"/>
          </w:tcPr>
          <w:p w14:paraId="0BD38E8C" w14:textId="77777777" w:rsidR="005E31E7" w:rsidRPr="00D55914" w:rsidRDefault="005E31E7" w:rsidP="00DD0800">
            <w:pPr>
              <w:spacing w:before="60" w:after="60"/>
              <w:rPr>
                <w:rFonts w:cs="Noto Sans"/>
                <w:b/>
                <w:color w:val="FFFFFF" w:themeColor="background1"/>
                <w:sz w:val="18"/>
                <w:szCs w:val="18"/>
              </w:rPr>
            </w:pPr>
            <w:r w:rsidRPr="00D55914">
              <w:rPr>
                <w:rFonts w:cs="Noto Sans"/>
                <w:b/>
                <w:color w:val="FFFFFF" w:themeColor="background1"/>
                <w:sz w:val="18"/>
                <w:szCs w:val="18"/>
              </w:rPr>
              <w:t xml:space="preserve">Priority </w:t>
            </w:r>
          </w:p>
        </w:tc>
      </w:tr>
      <w:tr w:rsidR="00353A4B" w14:paraId="04FC9045" w14:textId="77777777" w:rsidTr="00D55914">
        <w:trPr>
          <w:trHeight w:val="728"/>
        </w:trPr>
        <w:tc>
          <w:tcPr>
            <w:tcW w:w="1946" w:type="dxa"/>
          </w:tcPr>
          <w:p w14:paraId="1861F192" w14:textId="4605742D" w:rsidR="005E31E7" w:rsidRPr="00D55914" w:rsidRDefault="005B155D" w:rsidP="00DD0800">
            <w:pPr>
              <w:spacing w:before="60" w:after="60"/>
              <w:rPr>
                <w:rFonts w:cs="Noto Sans"/>
                <w:sz w:val="18"/>
                <w:szCs w:val="18"/>
              </w:rPr>
            </w:pPr>
            <w:r w:rsidRPr="00D55914">
              <w:rPr>
                <w:rFonts w:cs="Noto Sans"/>
                <w:sz w:val="18"/>
                <w:szCs w:val="18"/>
              </w:rPr>
              <w:t>King threadfin</w:t>
            </w:r>
            <w:r w:rsidR="005E31E7" w:rsidRPr="00D55914" w:rsidDel="00936DB6">
              <w:rPr>
                <w:rFonts w:cs="Noto Sans"/>
                <w:sz w:val="18"/>
                <w:szCs w:val="18"/>
              </w:rPr>
              <w:t xml:space="preserve"> </w:t>
            </w:r>
          </w:p>
        </w:tc>
        <w:tc>
          <w:tcPr>
            <w:tcW w:w="1258" w:type="dxa"/>
          </w:tcPr>
          <w:p w14:paraId="190B44EF" w14:textId="04EDBE8D" w:rsidR="005E31E7" w:rsidRPr="00D55914" w:rsidRDefault="005B155D" w:rsidP="00DD0800">
            <w:pPr>
              <w:spacing w:before="60" w:after="60"/>
              <w:rPr>
                <w:rFonts w:cs="Noto Sans"/>
                <w:sz w:val="18"/>
                <w:szCs w:val="18"/>
              </w:rPr>
            </w:pPr>
            <w:r w:rsidRPr="00D55914">
              <w:rPr>
                <w:rFonts w:cs="Noto Sans"/>
                <w:sz w:val="18"/>
                <w:szCs w:val="18"/>
              </w:rPr>
              <w:t>Research</w:t>
            </w:r>
          </w:p>
        </w:tc>
        <w:tc>
          <w:tcPr>
            <w:tcW w:w="5595" w:type="dxa"/>
          </w:tcPr>
          <w:p w14:paraId="007D221E" w14:textId="779A85CD" w:rsidR="005E31E7" w:rsidRPr="00D55914" w:rsidRDefault="00925994" w:rsidP="00DD0800">
            <w:pPr>
              <w:spacing w:before="60" w:after="60"/>
              <w:rPr>
                <w:rFonts w:cs="Noto Sans"/>
                <w:sz w:val="18"/>
                <w:szCs w:val="18"/>
              </w:rPr>
            </w:pPr>
            <w:r w:rsidRPr="00D55914">
              <w:rPr>
                <w:rFonts w:cs="Noto Sans"/>
                <w:sz w:val="18"/>
                <w:szCs w:val="18"/>
              </w:rPr>
              <w:t>Improved biological information – growth variability, migration, stock structure, spawning times, fecundity-at-length, post-release survival, selectivity.</w:t>
            </w:r>
          </w:p>
        </w:tc>
        <w:tc>
          <w:tcPr>
            <w:tcW w:w="937" w:type="dxa"/>
          </w:tcPr>
          <w:p w14:paraId="5B929597" w14:textId="77777777" w:rsidR="005E31E7" w:rsidRPr="00D55914" w:rsidRDefault="005E31E7" w:rsidP="00DD0800">
            <w:pPr>
              <w:spacing w:before="60" w:after="60"/>
              <w:rPr>
                <w:rFonts w:cs="Noto Sans"/>
                <w:sz w:val="18"/>
                <w:szCs w:val="18"/>
              </w:rPr>
            </w:pPr>
            <w:r w:rsidRPr="00D55914">
              <w:rPr>
                <w:rFonts w:cs="Noto Sans"/>
                <w:sz w:val="18"/>
                <w:szCs w:val="18"/>
              </w:rPr>
              <w:t>High</w:t>
            </w:r>
          </w:p>
        </w:tc>
      </w:tr>
      <w:tr w:rsidR="00A32F33" w14:paraId="5D0F4D90" w14:textId="77777777" w:rsidTr="00D55914">
        <w:trPr>
          <w:trHeight w:val="1139"/>
        </w:trPr>
        <w:tc>
          <w:tcPr>
            <w:tcW w:w="1946" w:type="dxa"/>
            <w:vMerge w:val="restart"/>
          </w:tcPr>
          <w:p w14:paraId="2CD04CBB" w14:textId="0C231C99" w:rsidR="00A32F33" w:rsidRPr="00D55914" w:rsidRDefault="00A32F33" w:rsidP="00DD0800">
            <w:pPr>
              <w:spacing w:before="60" w:after="60"/>
              <w:rPr>
                <w:rFonts w:cs="Noto Sans"/>
                <w:sz w:val="18"/>
                <w:szCs w:val="18"/>
              </w:rPr>
            </w:pPr>
            <w:r w:rsidRPr="00D55914">
              <w:rPr>
                <w:rFonts w:cs="Noto Sans"/>
                <w:sz w:val="18"/>
                <w:szCs w:val="18"/>
              </w:rPr>
              <w:t>Threatened, endangered and protected</w:t>
            </w:r>
            <w:r w:rsidRPr="00D55914" w:rsidDel="00426A34">
              <w:rPr>
                <w:rFonts w:cs="Noto Sans"/>
                <w:sz w:val="18"/>
                <w:szCs w:val="18"/>
              </w:rPr>
              <w:t xml:space="preserve"> </w:t>
            </w:r>
            <w:r w:rsidRPr="00D55914">
              <w:rPr>
                <w:rFonts w:cs="Noto Sans"/>
                <w:sz w:val="18"/>
                <w:szCs w:val="18"/>
              </w:rPr>
              <w:t>species interactions</w:t>
            </w:r>
          </w:p>
        </w:tc>
        <w:tc>
          <w:tcPr>
            <w:tcW w:w="1258" w:type="dxa"/>
          </w:tcPr>
          <w:p w14:paraId="1BA64871" w14:textId="2FBADFF3" w:rsidR="00A32F33" w:rsidRPr="00D55914" w:rsidRDefault="00A32F33" w:rsidP="00DD0800">
            <w:pPr>
              <w:spacing w:before="60" w:after="60"/>
              <w:rPr>
                <w:rFonts w:cs="Noto Sans"/>
                <w:sz w:val="18"/>
                <w:szCs w:val="18"/>
              </w:rPr>
            </w:pPr>
            <w:r w:rsidRPr="00D55914">
              <w:rPr>
                <w:rFonts w:cs="Noto Sans"/>
                <w:sz w:val="18"/>
                <w:szCs w:val="18"/>
              </w:rPr>
              <w:t xml:space="preserve">Monitoring </w:t>
            </w:r>
          </w:p>
        </w:tc>
        <w:tc>
          <w:tcPr>
            <w:tcW w:w="5595" w:type="dxa"/>
          </w:tcPr>
          <w:p w14:paraId="4E1C7E65" w14:textId="5D1BEB1E" w:rsidR="00A32F33" w:rsidRPr="00D55914" w:rsidRDefault="00A81D9D" w:rsidP="00DD0800">
            <w:pPr>
              <w:spacing w:before="60" w:after="60"/>
              <w:rPr>
                <w:rFonts w:cs="Noto Sans"/>
                <w:sz w:val="18"/>
                <w:szCs w:val="18"/>
              </w:rPr>
            </w:pPr>
            <w:r w:rsidRPr="00D55914">
              <w:rPr>
                <w:rFonts w:cs="Noto Sans"/>
                <w:sz w:val="18"/>
                <w:szCs w:val="18"/>
              </w:rPr>
              <w:t>Improved reporting of TEP interactions (i.e., catch and fate) including improved fisher knowledge on species identification, reporting requirements and release techniques that optimise survival.</w:t>
            </w:r>
          </w:p>
        </w:tc>
        <w:tc>
          <w:tcPr>
            <w:tcW w:w="937" w:type="dxa"/>
          </w:tcPr>
          <w:p w14:paraId="3629C813" w14:textId="77777777" w:rsidR="00A32F33" w:rsidRPr="00D55914" w:rsidRDefault="00A32F33" w:rsidP="00DD0800">
            <w:pPr>
              <w:spacing w:before="60" w:after="60"/>
              <w:rPr>
                <w:rFonts w:cs="Noto Sans"/>
                <w:sz w:val="18"/>
                <w:szCs w:val="18"/>
              </w:rPr>
            </w:pPr>
            <w:r w:rsidRPr="00D55914">
              <w:rPr>
                <w:rFonts w:cs="Noto Sans"/>
                <w:sz w:val="18"/>
                <w:szCs w:val="18"/>
              </w:rPr>
              <w:t>High</w:t>
            </w:r>
          </w:p>
        </w:tc>
      </w:tr>
      <w:tr w:rsidR="00A32F33" w14:paraId="06E4E5BC" w14:textId="77777777" w:rsidTr="00D55914">
        <w:trPr>
          <w:trHeight w:val="1139"/>
        </w:trPr>
        <w:tc>
          <w:tcPr>
            <w:tcW w:w="1946" w:type="dxa"/>
            <w:vMerge/>
          </w:tcPr>
          <w:p w14:paraId="69C219B4" w14:textId="77777777" w:rsidR="00A32F33" w:rsidRPr="00D55914" w:rsidRDefault="00A32F33" w:rsidP="00DD0800">
            <w:pPr>
              <w:spacing w:before="60" w:after="60"/>
              <w:rPr>
                <w:rFonts w:cs="Noto Sans"/>
                <w:sz w:val="18"/>
                <w:szCs w:val="18"/>
              </w:rPr>
            </w:pPr>
          </w:p>
        </w:tc>
        <w:tc>
          <w:tcPr>
            <w:tcW w:w="1258" w:type="dxa"/>
          </w:tcPr>
          <w:p w14:paraId="5660FD49" w14:textId="738EDA4D" w:rsidR="00A32F33" w:rsidRPr="00D55914" w:rsidRDefault="00A32F33" w:rsidP="00DD0800">
            <w:pPr>
              <w:spacing w:before="60" w:after="60"/>
              <w:rPr>
                <w:rFonts w:cs="Noto Sans"/>
                <w:sz w:val="18"/>
                <w:szCs w:val="18"/>
              </w:rPr>
            </w:pPr>
            <w:r w:rsidRPr="00D55914">
              <w:rPr>
                <w:rFonts w:cs="Noto Sans"/>
                <w:sz w:val="18"/>
                <w:szCs w:val="18"/>
              </w:rPr>
              <w:t>Research</w:t>
            </w:r>
          </w:p>
        </w:tc>
        <w:tc>
          <w:tcPr>
            <w:tcW w:w="5595" w:type="dxa"/>
          </w:tcPr>
          <w:p w14:paraId="5889B850" w14:textId="77777777" w:rsidR="00E068E7" w:rsidRPr="00D55914" w:rsidRDefault="00E068E7" w:rsidP="00E068E7">
            <w:pPr>
              <w:spacing w:before="60" w:after="60"/>
              <w:rPr>
                <w:rFonts w:cs="Noto Sans"/>
                <w:sz w:val="18"/>
                <w:szCs w:val="18"/>
              </w:rPr>
            </w:pPr>
            <w:r w:rsidRPr="00D55914">
              <w:rPr>
                <w:rFonts w:cs="Noto Sans"/>
                <w:sz w:val="18"/>
                <w:szCs w:val="18"/>
              </w:rPr>
              <w:t xml:space="preserve">Improved information on fishery interactions with threatened, endangered, and protected species, and spatial information in the context of population estimates and critical habitats. </w:t>
            </w:r>
          </w:p>
          <w:p w14:paraId="61E1ACC3" w14:textId="3670AA68" w:rsidR="00A32F33" w:rsidRPr="00D55914" w:rsidRDefault="00E068E7" w:rsidP="00E068E7">
            <w:pPr>
              <w:spacing w:before="60" w:after="60"/>
              <w:rPr>
                <w:rFonts w:cs="Noto Sans"/>
                <w:sz w:val="18"/>
                <w:szCs w:val="18"/>
              </w:rPr>
            </w:pPr>
            <w:r w:rsidRPr="00D55914">
              <w:rPr>
                <w:rFonts w:cs="Noto Sans"/>
                <w:sz w:val="18"/>
                <w:szCs w:val="18"/>
              </w:rPr>
              <w:t>Examine ways to reduce the risk of interactions, improve post-release survival and identity Potential Biological Removal (PBR) limits.</w:t>
            </w:r>
          </w:p>
        </w:tc>
        <w:tc>
          <w:tcPr>
            <w:tcW w:w="937" w:type="dxa"/>
          </w:tcPr>
          <w:p w14:paraId="29ADAD7A" w14:textId="337B670A" w:rsidR="00A32F33" w:rsidRPr="00D55914" w:rsidRDefault="00263956" w:rsidP="00DD0800">
            <w:pPr>
              <w:spacing w:before="60" w:after="60"/>
              <w:rPr>
                <w:rFonts w:cs="Noto Sans"/>
                <w:sz w:val="18"/>
                <w:szCs w:val="18"/>
              </w:rPr>
            </w:pPr>
            <w:r w:rsidRPr="00D55914">
              <w:rPr>
                <w:rFonts w:cs="Noto Sans"/>
                <w:sz w:val="18"/>
                <w:szCs w:val="18"/>
              </w:rPr>
              <w:t>High</w:t>
            </w:r>
          </w:p>
        </w:tc>
      </w:tr>
      <w:tr w:rsidR="00353A4B" w14:paraId="703C8110" w14:textId="77777777" w:rsidTr="00D55914">
        <w:trPr>
          <w:trHeight w:val="498"/>
        </w:trPr>
        <w:tc>
          <w:tcPr>
            <w:tcW w:w="1946" w:type="dxa"/>
          </w:tcPr>
          <w:p w14:paraId="6F3B2814" w14:textId="62BE4F4A" w:rsidR="005E31E7" w:rsidRPr="00D55914" w:rsidRDefault="00E068E7" w:rsidP="00DD0800">
            <w:pPr>
              <w:spacing w:before="60" w:after="60"/>
              <w:rPr>
                <w:rFonts w:cs="Noto Sans"/>
                <w:sz w:val="18"/>
                <w:szCs w:val="18"/>
              </w:rPr>
            </w:pPr>
            <w:r w:rsidRPr="00D55914">
              <w:rPr>
                <w:rFonts w:cs="Noto Sans"/>
                <w:sz w:val="18"/>
                <w:szCs w:val="18"/>
              </w:rPr>
              <w:t xml:space="preserve">Determine multi species MEY estimates </w:t>
            </w:r>
          </w:p>
        </w:tc>
        <w:tc>
          <w:tcPr>
            <w:tcW w:w="1258" w:type="dxa"/>
          </w:tcPr>
          <w:p w14:paraId="304C057E" w14:textId="571ACC04" w:rsidR="005E31E7" w:rsidRPr="00D55914" w:rsidRDefault="00E068E7" w:rsidP="00DD0800">
            <w:pPr>
              <w:spacing w:before="60" w:after="60"/>
              <w:rPr>
                <w:rFonts w:cs="Noto Sans"/>
                <w:sz w:val="18"/>
                <w:szCs w:val="18"/>
              </w:rPr>
            </w:pPr>
            <w:r w:rsidRPr="00D55914">
              <w:rPr>
                <w:rFonts w:cs="Noto Sans"/>
                <w:sz w:val="18"/>
                <w:szCs w:val="18"/>
              </w:rPr>
              <w:t>Research</w:t>
            </w:r>
          </w:p>
        </w:tc>
        <w:tc>
          <w:tcPr>
            <w:tcW w:w="5595" w:type="dxa"/>
          </w:tcPr>
          <w:p w14:paraId="4B7D7808" w14:textId="6BE4173E" w:rsidR="005E31E7" w:rsidRPr="00D55914" w:rsidRDefault="00263956" w:rsidP="00DD0800">
            <w:pPr>
              <w:spacing w:before="60" w:after="60"/>
              <w:rPr>
                <w:rFonts w:cs="Noto Sans"/>
                <w:sz w:val="18"/>
                <w:szCs w:val="18"/>
              </w:rPr>
            </w:pPr>
            <w:r w:rsidRPr="00D55914">
              <w:rPr>
                <w:rFonts w:cs="Noto Sans"/>
                <w:sz w:val="18"/>
                <w:szCs w:val="18"/>
              </w:rPr>
              <w:t>Determine multi-species MEY estimates for setting appropriate biomass target reference points to pursue triple bottom line objectives</w:t>
            </w:r>
          </w:p>
        </w:tc>
        <w:tc>
          <w:tcPr>
            <w:tcW w:w="937" w:type="dxa"/>
          </w:tcPr>
          <w:p w14:paraId="2772B2FC" w14:textId="05F12681" w:rsidR="005E31E7" w:rsidRPr="00D55914" w:rsidRDefault="005E31E7" w:rsidP="00DD0800">
            <w:pPr>
              <w:spacing w:before="60" w:after="60"/>
              <w:rPr>
                <w:rFonts w:cs="Noto Sans"/>
                <w:sz w:val="18"/>
                <w:szCs w:val="18"/>
              </w:rPr>
            </w:pPr>
            <w:r w:rsidRPr="00D55914">
              <w:rPr>
                <w:rFonts w:cs="Noto Sans"/>
                <w:sz w:val="18"/>
                <w:szCs w:val="18"/>
              </w:rPr>
              <w:t>High</w:t>
            </w:r>
          </w:p>
        </w:tc>
      </w:tr>
      <w:tr w:rsidR="00353A4B" w14:paraId="20980262" w14:textId="77777777" w:rsidTr="00D55914">
        <w:trPr>
          <w:trHeight w:val="1139"/>
        </w:trPr>
        <w:tc>
          <w:tcPr>
            <w:tcW w:w="1946" w:type="dxa"/>
          </w:tcPr>
          <w:p w14:paraId="7671ACE4" w14:textId="6D95A443" w:rsidR="00632D1D" w:rsidRPr="00D55914" w:rsidRDefault="00632D1D" w:rsidP="00632D1D">
            <w:pPr>
              <w:spacing w:before="60" w:after="60"/>
              <w:rPr>
                <w:rFonts w:cs="Noto Sans"/>
                <w:sz w:val="18"/>
                <w:szCs w:val="18"/>
              </w:rPr>
            </w:pPr>
            <w:r w:rsidRPr="00D55914">
              <w:rPr>
                <w:rFonts w:cs="Noto Sans"/>
                <w:sz w:val="18"/>
                <w:szCs w:val="18"/>
              </w:rPr>
              <w:t>Development impacts – catchment and mine associated</w:t>
            </w:r>
          </w:p>
        </w:tc>
        <w:tc>
          <w:tcPr>
            <w:tcW w:w="1258" w:type="dxa"/>
          </w:tcPr>
          <w:p w14:paraId="09B0AF22" w14:textId="20CB9122" w:rsidR="00632D1D" w:rsidRPr="00D55914" w:rsidRDefault="00632D1D" w:rsidP="00632D1D">
            <w:pPr>
              <w:spacing w:before="60" w:after="60"/>
              <w:rPr>
                <w:rFonts w:cs="Noto Sans"/>
                <w:sz w:val="18"/>
                <w:szCs w:val="18"/>
              </w:rPr>
            </w:pPr>
            <w:r w:rsidRPr="00D55914">
              <w:rPr>
                <w:rFonts w:cs="Noto Sans"/>
                <w:sz w:val="18"/>
                <w:szCs w:val="18"/>
              </w:rPr>
              <w:t>Monitoring/</w:t>
            </w:r>
            <w:r w:rsidRPr="00D55914">
              <w:rPr>
                <w:rFonts w:cs="Noto Sans"/>
                <w:sz w:val="18"/>
                <w:szCs w:val="18"/>
              </w:rPr>
              <w:br/>
              <w:t>Research</w:t>
            </w:r>
          </w:p>
        </w:tc>
        <w:tc>
          <w:tcPr>
            <w:tcW w:w="5595" w:type="dxa"/>
          </w:tcPr>
          <w:p w14:paraId="3C8B8351" w14:textId="77777777" w:rsidR="00632D1D" w:rsidRPr="00D55914" w:rsidRDefault="00632D1D" w:rsidP="00D55914">
            <w:pPr>
              <w:spacing w:before="60" w:after="60"/>
              <w:rPr>
                <w:rFonts w:cs="Noto Sans"/>
                <w:sz w:val="18"/>
                <w:szCs w:val="18"/>
              </w:rPr>
            </w:pPr>
            <w:r w:rsidRPr="00D55914">
              <w:rPr>
                <w:rFonts w:cs="Noto Sans"/>
                <w:sz w:val="18"/>
                <w:szCs w:val="18"/>
              </w:rPr>
              <w:t>Economic impacts and fishing displacement from mining industry (e.g. offshore loading facility Aurukun by Glencore)</w:t>
            </w:r>
          </w:p>
          <w:p w14:paraId="0202A589" w14:textId="4F399C95" w:rsidR="00632D1D" w:rsidRPr="00D55914" w:rsidDel="002B5B2D" w:rsidRDefault="00632D1D" w:rsidP="00632D1D">
            <w:pPr>
              <w:spacing w:before="60" w:after="60"/>
              <w:rPr>
                <w:rFonts w:cs="Noto Sans"/>
                <w:sz w:val="18"/>
                <w:szCs w:val="18"/>
              </w:rPr>
            </w:pPr>
            <w:r w:rsidRPr="00D55914">
              <w:rPr>
                <w:rFonts w:cs="Noto Sans"/>
                <w:sz w:val="18"/>
                <w:szCs w:val="18"/>
              </w:rPr>
              <w:t>Consequences of upstream development (land and water resource development)</w:t>
            </w:r>
          </w:p>
        </w:tc>
        <w:tc>
          <w:tcPr>
            <w:tcW w:w="937" w:type="dxa"/>
          </w:tcPr>
          <w:p w14:paraId="3A95323D" w14:textId="1681BB7F" w:rsidR="00632D1D" w:rsidRPr="00D55914" w:rsidRDefault="00632D1D" w:rsidP="00632D1D">
            <w:pPr>
              <w:spacing w:before="60" w:after="60"/>
              <w:rPr>
                <w:rFonts w:cs="Noto Sans"/>
                <w:sz w:val="18"/>
                <w:szCs w:val="18"/>
              </w:rPr>
            </w:pPr>
            <w:r w:rsidRPr="00D55914">
              <w:rPr>
                <w:rFonts w:cs="Noto Sans"/>
                <w:sz w:val="18"/>
                <w:szCs w:val="18"/>
              </w:rPr>
              <w:t>H</w:t>
            </w:r>
            <w:r w:rsidR="001D5DDC" w:rsidRPr="00D55914">
              <w:rPr>
                <w:rFonts w:cs="Noto Sans"/>
                <w:sz w:val="18"/>
                <w:szCs w:val="18"/>
              </w:rPr>
              <w:t>igh</w:t>
            </w:r>
          </w:p>
        </w:tc>
      </w:tr>
      <w:tr w:rsidR="00713AE9" w14:paraId="08A63B05" w14:textId="77777777" w:rsidTr="00D55914">
        <w:trPr>
          <w:trHeight w:val="387"/>
        </w:trPr>
        <w:tc>
          <w:tcPr>
            <w:tcW w:w="1946" w:type="dxa"/>
          </w:tcPr>
          <w:p w14:paraId="0F989502" w14:textId="4D84DEA7" w:rsidR="00713AE9" w:rsidRPr="00D55914" w:rsidRDefault="00713AE9" w:rsidP="00713AE9">
            <w:pPr>
              <w:spacing w:before="60" w:after="60"/>
              <w:rPr>
                <w:rFonts w:cs="Noto Sans"/>
                <w:sz w:val="18"/>
                <w:szCs w:val="18"/>
              </w:rPr>
            </w:pPr>
            <w:r w:rsidRPr="00D55914">
              <w:rPr>
                <w:rFonts w:cs="Noto Sans"/>
                <w:sz w:val="18"/>
                <w:szCs w:val="18"/>
              </w:rPr>
              <w:t xml:space="preserve">Shark depredation </w:t>
            </w:r>
          </w:p>
        </w:tc>
        <w:tc>
          <w:tcPr>
            <w:tcW w:w="1258" w:type="dxa"/>
          </w:tcPr>
          <w:p w14:paraId="6B99367B" w14:textId="7D5E85E7" w:rsidR="00713AE9" w:rsidRPr="00D55914" w:rsidRDefault="00713AE9" w:rsidP="00713AE9">
            <w:pPr>
              <w:spacing w:before="60" w:after="60"/>
              <w:rPr>
                <w:rFonts w:cs="Noto Sans"/>
                <w:sz w:val="18"/>
                <w:szCs w:val="18"/>
              </w:rPr>
            </w:pPr>
            <w:r w:rsidRPr="00D55914">
              <w:rPr>
                <w:rFonts w:cs="Noto Sans"/>
                <w:sz w:val="18"/>
                <w:szCs w:val="18"/>
              </w:rPr>
              <w:t>Research</w:t>
            </w:r>
          </w:p>
        </w:tc>
        <w:tc>
          <w:tcPr>
            <w:tcW w:w="5595" w:type="dxa"/>
          </w:tcPr>
          <w:p w14:paraId="6FCBF4D5" w14:textId="2E43FBEF" w:rsidR="00713AE9" w:rsidRPr="00D55914" w:rsidRDefault="00713AE9" w:rsidP="00D55914">
            <w:pPr>
              <w:spacing w:before="60" w:after="60"/>
              <w:rPr>
                <w:rFonts w:cs="Noto Sans"/>
                <w:sz w:val="18"/>
                <w:szCs w:val="18"/>
              </w:rPr>
            </w:pPr>
            <w:r w:rsidRPr="00D55914">
              <w:rPr>
                <w:rFonts w:cs="Noto Sans"/>
                <w:sz w:val="18"/>
                <w:szCs w:val="18"/>
              </w:rPr>
              <w:t>Quantify impacts and rates of depredation on non-retained target species, bycatch and TEPS.</w:t>
            </w:r>
          </w:p>
        </w:tc>
        <w:tc>
          <w:tcPr>
            <w:tcW w:w="937" w:type="dxa"/>
          </w:tcPr>
          <w:p w14:paraId="7E7C7BCC" w14:textId="086A172D" w:rsidR="00713AE9" w:rsidRPr="00D55914" w:rsidRDefault="00713AE9" w:rsidP="00713AE9">
            <w:pPr>
              <w:spacing w:before="60" w:after="60"/>
              <w:rPr>
                <w:rFonts w:cs="Noto Sans"/>
                <w:sz w:val="18"/>
                <w:szCs w:val="18"/>
              </w:rPr>
            </w:pPr>
            <w:r w:rsidRPr="00D55914">
              <w:rPr>
                <w:rFonts w:cs="Noto Sans"/>
                <w:sz w:val="18"/>
                <w:szCs w:val="18"/>
              </w:rPr>
              <w:t>H</w:t>
            </w:r>
            <w:r w:rsidR="001D5DDC" w:rsidRPr="00D55914">
              <w:rPr>
                <w:rFonts w:cs="Noto Sans"/>
                <w:sz w:val="18"/>
                <w:szCs w:val="18"/>
              </w:rPr>
              <w:t>igh</w:t>
            </w:r>
          </w:p>
        </w:tc>
      </w:tr>
      <w:tr w:rsidR="00874ABD" w14:paraId="4D3FC2F2" w14:textId="77777777" w:rsidTr="00D55914">
        <w:trPr>
          <w:trHeight w:val="636"/>
        </w:trPr>
        <w:tc>
          <w:tcPr>
            <w:tcW w:w="1946" w:type="dxa"/>
            <w:vMerge w:val="restart"/>
          </w:tcPr>
          <w:p w14:paraId="6C32F6AC" w14:textId="7E1CFB6F" w:rsidR="00874ABD" w:rsidRPr="00D55914" w:rsidRDefault="00874ABD" w:rsidP="00203A1B">
            <w:pPr>
              <w:spacing w:before="60" w:after="60"/>
              <w:rPr>
                <w:rFonts w:cs="Noto Sans"/>
                <w:sz w:val="18"/>
                <w:szCs w:val="18"/>
              </w:rPr>
            </w:pPr>
            <w:r w:rsidRPr="00D55914">
              <w:rPr>
                <w:rFonts w:cs="Noto Sans"/>
                <w:sz w:val="18"/>
                <w:szCs w:val="18"/>
              </w:rPr>
              <w:t>Environmental Drivers</w:t>
            </w:r>
          </w:p>
        </w:tc>
        <w:tc>
          <w:tcPr>
            <w:tcW w:w="1258" w:type="dxa"/>
          </w:tcPr>
          <w:p w14:paraId="7A2E05BD" w14:textId="39937F86" w:rsidR="00874ABD" w:rsidRPr="00D55914" w:rsidRDefault="00874ABD" w:rsidP="00203A1B">
            <w:pPr>
              <w:spacing w:before="60" w:after="60"/>
              <w:rPr>
                <w:rFonts w:cs="Noto Sans"/>
                <w:sz w:val="18"/>
                <w:szCs w:val="18"/>
              </w:rPr>
            </w:pPr>
            <w:r w:rsidRPr="00D55914">
              <w:rPr>
                <w:rFonts w:cs="Noto Sans"/>
                <w:sz w:val="18"/>
                <w:szCs w:val="18"/>
              </w:rPr>
              <w:t>Monitoring/</w:t>
            </w:r>
            <w:r w:rsidRPr="00D55914">
              <w:rPr>
                <w:rFonts w:cs="Noto Sans"/>
                <w:sz w:val="18"/>
                <w:szCs w:val="18"/>
              </w:rPr>
              <w:br/>
              <w:t>Research</w:t>
            </w:r>
          </w:p>
        </w:tc>
        <w:tc>
          <w:tcPr>
            <w:tcW w:w="5595" w:type="dxa"/>
          </w:tcPr>
          <w:p w14:paraId="529F1B2C" w14:textId="6A8FFC63" w:rsidR="00874ABD" w:rsidRPr="00D55914" w:rsidRDefault="00874ABD" w:rsidP="00D55914">
            <w:pPr>
              <w:spacing w:before="60" w:after="60"/>
              <w:rPr>
                <w:rFonts w:cs="Noto Sans"/>
                <w:sz w:val="18"/>
                <w:szCs w:val="18"/>
              </w:rPr>
            </w:pPr>
            <w:r w:rsidRPr="00D55914">
              <w:rPr>
                <w:rFonts w:cs="Noto Sans"/>
                <w:sz w:val="18"/>
                <w:szCs w:val="18"/>
              </w:rPr>
              <w:t>Investigate how environmentally driven variation in growth, year-class strength and other fishery parameters are best incorporated into stock assessment</w:t>
            </w:r>
          </w:p>
        </w:tc>
        <w:tc>
          <w:tcPr>
            <w:tcW w:w="937" w:type="dxa"/>
          </w:tcPr>
          <w:p w14:paraId="3CE23609" w14:textId="7CAC139F" w:rsidR="00874ABD" w:rsidRPr="00D55914" w:rsidRDefault="00874ABD" w:rsidP="00203A1B">
            <w:pPr>
              <w:spacing w:before="60" w:after="60"/>
              <w:rPr>
                <w:rFonts w:cs="Noto Sans"/>
                <w:sz w:val="18"/>
                <w:szCs w:val="18"/>
              </w:rPr>
            </w:pPr>
            <w:r w:rsidRPr="00D55914">
              <w:rPr>
                <w:rFonts w:cs="Noto Sans"/>
                <w:sz w:val="18"/>
                <w:szCs w:val="18"/>
              </w:rPr>
              <w:t>Medium</w:t>
            </w:r>
          </w:p>
        </w:tc>
      </w:tr>
      <w:tr w:rsidR="00874ABD" w14:paraId="0889B6C3" w14:textId="77777777" w:rsidTr="00D55914">
        <w:trPr>
          <w:trHeight w:val="1139"/>
        </w:trPr>
        <w:tc>
          <w:tcPr>
            <w:tcW w:w="1946" w:type="dxa"/>
            <w:vMerge/>
          </w:tcPr>
          <w:p w14:paraId="2226A94A" w14:textId="77777777" w:rsidR="00874ABD" w:rsidRPr="00D55914" w:rsidRDefault="00874ABD" w:rsidP="00C24596">
            <w:pPr>
              <w:spacing w:before="60" w:after="60"/>
              <w:rPr>
                <w:rFonts w:cs="Noto Sans"/>
                <w:sz w:val="18"/>
                <w:szCs w:val="18"/>
              </w:rPr>
            </w:pPr>
          </w:p>
        </w:tc>
        <w:tc>
          <w:tcPr>
            <w:tcW w:w="1258" w:type="dxa"/>
          </w:tcPr>
          <w:p w14:paraId="40393A86" w14:textId="1389130E" w:rsidR="00874ABD" w:rsidRPr="00D55914" w:rsidRDefault="00874ABD" w:rsidP="00C24596">
            <w:pPr>
              <w:spacing w:before="60" w:after="60"/>
              <w:rPr>
                <w:rFonts w:cs="Noto Sans"/>
                <w:sz w:val="18"/>
                <w:szCs w:val="18"/>
              </w:rPr>
            </w:pPr>
            <w:r w:rsidRPr="00D55914">
              <w:rPr>
                <w:rFonts w:cs="Noto Sans"/>
                <w:sz w:val="18"/>
                <w:szCs w:val="18"/>
              </w:rPr>
              <w:t>Research</w:t>
            </w:r>
          </w:p>
        </w:tc>
        <w:tc>
          <w:tcPr>
            <w:tcW w:w="5595" w:type="dxa"/>
          </w:tcPr>
          <w:p w14:paraId="6E86FAD2" w14:textId="005117DA" w:rsidR="00874ABD" w:rsidRPr="00D55914" w:rsidRDefault="00874ABD" w:rsidP="00D55914">
            <w:pPr>
              <w:spacing w:before="60" w:after="60"/>
              <w:rPr>
                <w:rFonts w:cs="Noto Sans"/>
                <w:sz w:val="18"/>
                <w:szCs w:val="18"/>
              </w:rPr>
            </w:pPr>
            <w:r w:rsidRPr="00D55914">
              <w:rPr>
                <w:rFonts w:cs="Noto Sans"/>
                <w:sz w:val="18"/>
                <w:szCs w:val="18"/>
              </w:rPr>
              <w:t xml:space="preserve">Identify and quantify environmental factors influencing fishery harvest (King threadfin, Spanish mackerel, </w:t>
            </w:r>
            <w:proofErr w:type="gramStart"/>
            <w:r w:rsidRPr="00D55914">
              <w:rPr>
                <w:rFonts w:cs="Noto Sans"/>
                <w:sz w:val="18"/>
                <w:szCs w:val="18"/>
              </w:rPr>
              <w:t>Grey</w:t>
            </w:r>
            <w:proofErr w:type="gramEnd"/>
            <w:r w:rsidRPr="00D55914">
              <w:rPr>
                <w:rFonts w:cs="Noto Sans"/>
                <w:sz w:val="18"/>
                <w:szCs w:val="18"/>
              </w:rPr>
              <w:t xml:space="preserve"> mackerel). Identify environmental performance indicators and reference points. Increase understanding of environmental and cycles and climate events on the GoC ecosystem (food-chain processes that support fisheries productivity).</w:t>
            </w:r>
          </w:p>
        </w:tc>
        <w:tc>
          <w:tcPr>
            <w:tcW w:w="937" w:type="dxa"/>
          </w:tcPr>
          <w:p w14:paraId="4B5149D1" w14:textId="077F7912" w:rsidR="00874ABD" w:rsidRPr="00D55914" w:rsidRDefault="00874ABD" w:rsidP="00C24596">
            <w:pPr>
              <w:spacing w:before="60" w:after="60"/>
              <w:rPr>
                <w:rFonts w:cs="Noto Sans"/>
                <w:sz w:val="18"/>
                <w:szCs w:val="18"/>
              </w:rPr>
            </w:pPr>
            <w:r w:rsidRPr="00D55914">
              <w:rPr>
                <w:rFonts w:cs="Noto Sans"/>
                <w:sz w:val="18"/>
                <w:szCs w:val="18"/>
              </w:rPr>
              <w:t>Medium</w:t>
            </w:r>
          </w:p>
        </w:tc>
      </w:tr>
      <w:tr w:rsidR="00F9213A" w14:paraId="6BD1730C" w14:textId="77777777" w:rsidTr="00D55914">
        <w:trPr>
          <w:trHeight w:val="416"/>
        </w:trPr>
        <w:tc>
          <w:tcPr>
            <w:tcW w:w="1946" w:type="dxa"/>
            <w:vMerge w:val="restart"/>
          </w:tcPr>
          <w:p w14:paraId="26351688" w14:textId="141A53F6" w:rsidR="00F9213A" w:rsidRPr="00D55914" w:rsidRDefault="00F9213A" w:rsidP="00F9213A">
            <w:pPr>
              <w:spacing w:before="60" w:after="60"/>
              <w:rPr>
                <w:rFonts w:cs="Noto Sans"/>
                <w:sz w:val="18"/>
                <w:szCs w:val="18"/>
              </w:rPr>
            </w:pPr>
            <w:r w:rsidRPr="00D55914">
              <w:rPr>
                <w:rFonts w:cs="Noto Sans"/>
                <w:sz w:val="18"/>
                <w:szCs w:val="18"/>
              </w:rPr>
              <w:t>Historical data</w:t>
            </w:r>
          </w:p>
        </w:tc>
        <w:tc>
          <w:tcPr>
            <w:tcW w:w="1258" w:type="dxa"/>
          </w:tcPr>
          <w:p w14:paraId="5DAE2204" w14:textId="33DA077E" w:rsidR="00F9213A" w:rsidRPr="00D55914" w:rsidRDefault="00F9213A" w:rsidP="00F9213A">
            <w:pPr>
              <w:spacing w:before="60" w:after="60"/>
              <w:rPr>
                <w:rFonts w:cs="Noto Sans"/>
                <w:sz w:val="18"/>
                <w:szCs w:val="18"/>
              </w:rPr>
            </w:pPr>
            <w:r w:rsidRPr="00D55914">
              <w:rPr>
                <w:rFonts w:cs="Noto Sans"/>
                <w:sz w:val="18"/>
                <w:szCs w:val="18"/>
              </w:rPr>
              <w:t>Monitoring</w:t>
            </w:r>
          </w:p>
        </w:tc>
        <w:tc>
          <w:tcPr>
            <w:tcW w:w="5595" w:type="dxa"/>
          </w:tcPr>
          <w:p w14:paraId="7C5BDFA5" w14:textId="4E5E32AE" w:rsidR="00F9213A" w:rsidRPr="00D55914" w:rsidRDefault="00F9213A" w:rsidP="00D55914">
            <w:pPr>
              <w:spacing w:before="60" w:after="60"/>
              <w:rPr>
                <w:rFonts w:cs="Noto Sans"/>
                <w:sz w:val="18"/>
                <w:szCs w:val="18"/>
              </w:rPr>
            </w:pPr>
            <w:r w:rsidRPr="00D55914">
              <w:rPr>
                <w:rFonts w:cs="Noto Sans"/>
                <w:sz w:val="18"/>
                <w:szCs w:val="18"/>
              </w:rPr>
              <w:t>Historical age and length data electronically available for inclusion in stock assessments.</w:t>
            </w:r>
          </w:p>
        </w:tc>
        <w:tc>
          <w:tcPr>
            <w:tcW w:w="937" w:type="dxa"/>
          </w:tcPr>
          <w:p w14:paraId="6B9FC83B" w14:textId="3954B472" w:rsidR="00F9213A" w:rsidRPr="00D55914" w:rsidRDefault="00F9213A" w:rsidP="00F9213A">
            <w:pPr>
              <w:spacing w:before="60" w:after="60"/>
              <w:rPr>
                <w:rFonts w:cs="Noto Sans"/>
                <w:sz w:val="18"/>
                <w:szCs w:val="18"/>
              </w:rPr>
            </w:pPr>
            <w:r w:rsidRPr="00D55914">
              <w:rPr>
                <w:rFonts w:cs="Noto Sans"/>
                <w:sz w:val="18"/>
                <w:szCs w:val="18"/>
              </w:rPr>
              <w:t>Medium</w:t>
            </w:r>
          </w:p>
        </w:tc>
      </w:tr>
      <w:tr w:rsidR="00F9213A" w14:paraId="2141A1FA" w14:textId="77777777" w:rsidTr="00D55914">
        <w:trPr>
          <w:trHeight w:val="1139"/>
        </w:trPr>
        <w:tc>
          <w:tcPr>
            <w:tcW w:w="1946" w:type="dxa"/>
            <w:vMerge/>
          </w:tcPr>
          <w:p w14:paraId="3D934D0D" w14:textId="77777777" w:rsidR="00F9213A" w:rsidRPr="00D55914" w:rsidRDefault="00F9213A" w:rsidP="00F9213A">
            <w:pPr>
              <w:spacing w:before="60" w:after="60"/>
              <w:rPr>
                <w:rFonts w:cs="Noto Sans"/>
                <w:sz w:val="18"/>
                <w:szCs w:val="18"/>
              </w:rPr>
            </w:pPr>
          </w:p>
        </w:tc>
        <w:tc>
          <w:tcPr>
            <w:tcW w:w="1258" w:type="dxa"/>
          </w:tcPr>
          <w:p w14:paraId="56FFCF60" w14:textId="22F4E03B" w:rsidR="00F9213A" w:rsidRPr="00D55914" w:rsidRDefault="00F9213A" w:rsidP="00F9213A">
            <w:pPr>
              <w:spacing w:before="60" w:after="60"/>
              <w:rPr>
                <w:rFonts w:cs="Noto Sans"/>
                <w:sz w:val="18"/>
                <w:szCs w:val="18"/>
              </w:rPr>
            </w:pPr>
            <w:r w:rsidRPr="00D55914">
              <w:rPr>
                <w:rFonts w:cs="Noto Sans"/>
                <w:sz w:val="18"/>
                <w:szCs w:val="18"/>
              </w:rPr>
              <w:t>Research</w:t>
            </w:r>
          </w:p>
        </w:tc>
        <w:tc>
          <w:tcPr>
            <w:tcW w:w="5595" w:type="dxa"/>
          </w:tcPr>
          <w:p w14:paraId="2EC3860B" w14:textId="274AEEBC" w:rsidR="00F9213A" w:rsidRPr="00D55914" w:rsidRDefault="00F9213A" w:rsidP="00D55914">
            <w:pPr>
              <w:spacing w:before="60" w:after="60"/>
              <w:rPr>
                <w:rFonts w:cs="Noto Sans"/>
                <w:sz w:val="18"/>
                <w:szCs w:val="18"/>
              </w:rPr>
            </w:pPr>
            <w:r w:rsidRPr="00D55914">
              <w:rPr>
                <w:rFonts w:cs="Noto Sans"/>
                <w:sz w:val="18"/>
                <w:szCs w:val="18"/>
              </w:rPr>
              <w:t>Quantify fishing development over time (including management changes, gear efficiencies and/or targeting leading to increased catchability) to inform stock assessment models.</w:t>
            </w:r>
          </w:p>
        </w:tc>
        <w:tc>
          <w:tcPr>
            <w:tcW w:w="937" w:type="dxa"/>
          </w:tcPr>
          <w:p w14:paraId="1DFA2A9E" w14:textId="4096221C" w:rsidR="00F9213A" w:rsidRPr="00D55914" w:rsidRDefault="00F9213A" w:rsidP="00F9213A">
            <w:pPr>
              <w:spacing w:before="60" w:after="60"/>
              <w:rPr>
                <w:rFonts w:cs="Noto Sans"/>
                <w:sz w:val="18"/>
                <w:szCs w:val="18"/>
              </w:rPr>
            </w:pPr>
            <w:r w:rsidRPr="00D55914">
              <w:rPr>
                <w:rFonts w:cs="Noto Sans"/>
                <w:sz w:val="18"/>
                <w:szCs w:val="18"/>
              </w:rPr>
              <w:t>Medium</w:t>
            </w:r>
          </w:p>
        </w:tc>
      </w:tr>
    </w:tbl>
    <w:p w14:paraId="6531F8E7" w14:textId="7E6C8666" w:rsidR="005850E9" w:rsidRPr="00687C9E" w:rsidRDefault="002E7FAD" w:rsidP="000C060A">
      <w:pPr>
        <w:pStyle w:val="Heading1"/>
        <w:rPr>
          <w:rFonts w:cstheme="minorHAnsi"/>
        </w:rPr>
      </w:pPr>
      <w:bookmarkStart w:id="52" w:name="_Toc121747125"/>
      <w:bookmarkStart w:id="53" w:name="_Toc204270760"/>
      <w:bookmarkStart w:id="54" w:name="_Toc205215642"/>
      <w:r>
        <w:rPr>
          <w:rFonts w:cstheme="minorHAnsi"/>
        </w:rPr>
        <w:t>Schedule of p</w:t>
      </w:r>
      <w:r w:rsidRPr="00687C9E">
        <w:rPr>
          <w:rFonts w:cstheme="minorHAnsi"/>
        </w:rPr>
        <w:t>erformance</w:t>
      </w:r>
      <w:r w:rsidR="00573619">
        <w:rPr>
          <w:rFonts w:cstheme="minorHAnsi"/>
        </w:rPr>
        <w:t xml:space="preserve"> monitoring,</w:t>
      </w:r>
      <w:r w:rsidRPr="00687C9E">
        <w:rPr>
          <w:rFonts w:cstheme="minorHAnsi"/>
        </w:rPr>
        <w:t xml:space="preserve"> </w:t>
      </w:r>
      <w:r>
        <w:rPr>
          <w:rFonts w:cstheme="minorHAnsi"/>
        </w:rPr>
        <w:t>a</w:t>
      </w:r>
      <w:r w:rsidRPr="00687C9E">
        <w:rPr>
          <w:rFonts w:cstheme="minorHAnsi"/>
        </w:rPr>
        <w:t xml:space="preserve">ssessment </w:t>
      </w:r>
      <w:r w:rsidR="00742C59" w:rsidRPr="00687C9E">
        <w:rPr>
          <w:rFonts w:cstheme="minorHAnsi"/>
        </w:rPr>
        <w:t>and</w:t>
      </w:r>
      <w:r w:rsidRPr="00687C9E">
        <w:rPr>
          <w:rFonts w:cstheme="minorHAnsi"/>
        </w:rPr>
        <w:t xml:space="preserve"> </w:t>
      </w:r>
      <w:r>
        <w:rPr>
          <w:rFonts w:cstheme="minorHAnsi"/>
        </w:rPr>
        <w:t>r</w:t>
      </w:r>
      <w:r w:rsidRPr="00687C9E">
        <w:rPr>
          <w:rFonts w:cstheme="minorHAnsi"/>
        </w:rPr>
        <w:t>eview</w:t>
      </w:r>
      <w:bookmarkEnd w:id="52"/>
      <w:bookmarkEnd w:id="53"/>
      <w:bookmarkEnd w:id="54"/>
    </w:p>
    <w:p w14:paraId="4926ADE1" w14:textId="77777777" w:rsidR="009E5768" w:rsidRDefault="002E7FAD" w:rsidP="00085FD6">
      <w:pPr>
        <w:pStyle w:val="Heading2"/>
        <w:rPr>
          <w:szCs w:val="22"/>
        </w:rPr>
      </w:pPr>
      <w:bookmarkStart w:id="55" w:name="_Toc205215643"/>
      <w:r w:rsidRPr="009E5768">
        <w:t>Annual performance monitoring and assessment</w:t>
      </w:r>
      <w:bookmarkEnd w:id="55"/>
    </w:p>
    <w:p w14:paraId="6BE96328" w14:textId="10794DD2" w:rsidR="009E5768" w:rsidRDefault="00017161" w:rsidP="000C060A">
      <w:r>
        <w:t>Fishery</w:t>
      </w:r>
      <w:r w:rsidR="002E7FAD" w:rsidRPr="00524906">
        <w:t xml:space="preserve"> performance will be reviewed against this harvest strategy </w:t>
      </w:r>
      <w:r w:rsidR="002E7FAD" w:rsidRPr="008F6E3A">
        <w:t>annually</w:t>
      </w:r>
      <w:r w:rsidR="002E7FAD" w:rsidRPr="00524906">
        <w:t xml:space="preserve">. This review will include convening the </w:t>
      </w:r>
      <w:r w:rsidR="00F41DC1">
        <w:t>Gulf of Carpentaria inshore</w:t>
      </w:r>
      <w:r w:rsidRPr="00524906">
        <w:t xml:space="preserve"> </w:t>
      </w:r>
      <w:r w:rsidR="004E6261">
        <w:t>fishery w</w:t>
      </w:r>
      <w:r w:rsidR="002E7FAD" w:rsidRPr="00524906">
        <w:t xml:space="preserve">orking </w:t>
      </w:r>
      <w:r w:rsidR="004E6261">
        <w:t>g</w:t>
      </w:r>
      <w:r w:rsidR="002E7FAD" w:rsidRPr="00524906">
        <w:t xml:space="preserve">roup to provide operational advice on the fishery’s performance. </w:t>
      </w:r>
    </w:p>
    <w:p w14:paraId="5DB8F659" w14:textId="77777777" w:rsidR="00E97A0A" w:rsidRDefault="00E97A0A" w:rsidP="000C060A">
      <w:r w:rsidRPr="00524906">
        <w:t xml:space="preserve">The primary performance measure </w:t>
      </w:r>
      <w:r>
        <w:t>is</w:t>
      </w:r>
      <w:r w:rsidRPr="00524906">
        <w:t xml:space="preserve"> </w:t>
      </w:r>
      <w:r>
        <w:t>spawning</w:t>
      </w:r>
      <w:r w:rsidRPr="00524906">
        <w:t xml:space="preserve"> biomass</w:t>
      </w:r>
      <w:r>
        <w:t>, which</w:t>
      </w:r>
      <w:r w:rsidRPr="00524906">
        <w:t xml:space="preserve"> will </w:t>
      </w:r>
      <w:r>
        <w:t xml:space="preserve">be used to review species TACC’s when available. </w:t>
      </w:r>
      <w:r w:rsidRPr="00DF41D6">
        <w:t>In the intervening years, a review of standardised catch rate information</w:t>
      </w:r>
      <w:r>
        <w:t xml:space="preserve"> </w:t>
      </w:r>
      <w:r w:rsidRPr="00DF41D6">
        <w:t>will also inform fishery performance and if management action is required between scheduled stock</w:t>
      </w:r>
      <w:r>
        <w:t xml:space="preserve"> </w:t>
      </w:r>
      <w:r w:rsidRPr="00DF41D6">
        <w:t>assessments.</w:t>
      </w:r>
      <w:r>
        <w:t xml:space="preserve"> </w:t>
      </w:r>
      <w:r w:rsidRPr="00AB58F8">
        <w:t xml:space="preserve">If a </w:t>
      </w:r>
      <w:r>
        <w:t>stock assessment</w:t>
      </w:r>
      <w:r w:rsidRPr="00AB58F8">
        <w:t xml:space="preserve"> biomass estimate becomes available prior to the scheduled timeframe that indicates the TAC should be adjusted </w:t>
      </w:r>
      <w:proofErr w:type="gramStart"/>
      <w:r w:rsidRPr="00AB58F8">
        <w:t>in order to</w:t>
      </w:r>
      <w:proofErr w:type="gramEnd"/>
      <w:r w:rsidRPr="00AB58F8">
        <w:t xml:space="preserve"> meet the objectives of the fishery, then the TAC should be reviewed.</w:t>
      </w:r>
    </w:p>
    <w:p w14:paraId="7DE7F4FC" w14:textId="6D0E5AD8" w:rsidR="00790374" w:rsidRPr="00085FD6" w:rsidRDefault="009E5768" w:rsidP="00085FD6">
      <w:pPr>
        <w:pStyle w:val="Heading2"/>
      </w:pPr>
      <w:bookmarkStart w:id="56" w:name="_Toc205215644"/>
      <w:r w:rsidRPr="000C060A">
        <w:rPr>
          <w:rStyle w:val="BodyTextbold"/>
          <w:rFonts w:ascii="Noto Sans" w:hAnsi="Noto Sans" w:cstheme="majorBidi"/>
          <w:b w:val="0"/>
          <w:sz w:val="28"/>
          <w:szCs w:val="26"/>
          <w:lang w:eastAsia="en-US"/>
        </w:rPr>
        <w:t>Harvest strategy</w:t>
      </w:r>
      <w:r w:rsidR="002E7FAD" w:rsidRPr="000C060A">
        <w:rPr>
          <w:rStyle w:val="BodyTextbold"/>
          <w:rFonts w:ascii="Noto Sans" w:hAnsi="Noto Sans" w:cstheme="majorBidi"/>
          <w:b w:val="0"/>
          <w:sz w:val="28"/>
          <w:szCs w:val="26"/>
          <w:lang w:eastAsia="en-US"/>
        </w:rPr>
        <w:t xml:space="preserve"> review</w:t>
      </w:r>
      <w:bookmarkEnd w:id="56"/>
    </w:p>
    <w:p w14:paraId="46AE5BFC" w14:textId="77777777" w:rsidR="00B91604" w:rsidRPr="00B91604" w:rsidRDefault="002E7FAD" w:rsidP="000C060A">
      <w:r w:rsidRPr="00B91604">
        <w:t xml:space="preserve">This harvest strategy will remain in place for a period of five years, after which time it will need to be fully reviewed in accordance with the </w:t>
      </w:r>
      <w:r w:rsidRPr="00B91604">
        <w:rPr>
          <w:i/>
        </w:rPr>
        <w:t>Fisheries Act 1994</w:t>
      </w:r>
      <w:r w:rsidRPr="00B91604">
        <w:t xml:space="preserve">. </w:t>
      </w:r>
    </w:p>
    <w:p w14:paraId="2A0BB6E1" w14:textId="544CF60F" w:rsidR="00B91604" w:rsidRPr="00B91604" w:rsidRDefault="008675F0" w:rsidP="000C060A">
      <w:r>
        <w:t>T</w:t>
      </w:r>
      <w:r w:rsidR="002E7FAD" w:rsidRPr="00B91604">
        <w:t xml:space="preserve">he harvest strategy may be subject to further review and amendment as appropriate within the </w:t>
      </w:r>
      <w:r w:rsidR="007255A8" w:rsidRPr="00B91604">
        <w:t>five-year</w:t>
      </w:r>
      <w:r w:rsidR="002E7FAD" w:rsidRPr="00B91604">
        <w:t xml:space="preserve"> period if </w:t>
      </w:r>
      <w:r w:rsidR="00F9431E">
        <w:t xml:space="preserve">any of </w:t>
      </w:r>
      <w:r w:rsidR="002E7FAD" w:rsidRPr="00B91604">
        <w:t>the following circumstances arise:</w:t>
      </w:r>
    </w:p>
    <w:p w14:paraId="1E739189" w14:textId="27888F91" w:rsidR="00B91604" w:rsidRPr="00B91604" w:rsidRDefault="002E7FAD" w:rsidP="000C060A">
      <w:pPr>
        <w:pStyle w:val="ListParagraph"/>
        <w:numPr>
          <w:ilvl w:val="0"/>
          <w:numId w:val="26"/>
        </w:numPr>
      </w:pPr>
      <w:r>
        <w:t>t</w:t>
      </w:r>
      <w:r w:rsidRPr="00B91604">
        <w:t xml:space="preserve">here is new information that substantially changes the status of </w:t>
      </w:r>
      <w:r w:rsidR="00BE2A5B">
        <w:t>the</w:t>
      </w:r>
      <w:r w:rsidRPr="00B91604">
        <w:t xml:space="preserve"> fishery, leading to improved estimates of indicators relative to reference points</w:t>
      </w:r>
    </w:p>
    <w:p w14:paraId="52A2E64C" w14:textId="7C18CFD0" w:rsidR="00B91604" w:rsidRPr="00B91604" w:rsidRDefault="002E7FAD" w:rsidP="000C060A">
      <w:pPr>
        <w:pStyle w:val="ListParagraph"/>
        <w:numPr>
          <w:ilvl w:val="0"/>
          <w:numId w:val="26"/>
        </w:numPr>
      </w:pPr>
      <w:r>
        <w:t>d</w:t>
      </w:r>
      <w:r w:rsidRPr="00B91604">
        <w:t>rivers external to management of the fishery increase the risk to fish stock</w:t>
      </w:r>
      <w:r w:rsidR="005A0F15">
        <w:t>/s</w:t>
      </w:r>
    </w:p>
    <w:p w14:paraId="4E69CDEC" w14:textId="235FDC8D" w:rsidR="00B91604" w:rsidRPr="00B91604" w:rsidRDefault="002E7FAD" w:rsidP="000C060A">
      <w:pPr>
        <w:pStyle w:val="ListParagraph"/>
        <w:numPr>
          <w:ilvl w:val="0"/>
          <w:numId w:val="26"/>
        </w:numPr>
      </w:pPr>
      <w:r>
        <w:t>a</w:t>
      </w:r>
      <w:r w:rsidRPr="00B91604">
        <w:t xml:space="preserve"> new recreational harvest estimate becomes available that suggests the defined sectorial catch shares may have been set incorrectly or may be unrepresentative</w:t>
      </w:r>
    </w:p>
    <w:p w14:paraId="4C0DA82E" w14:textId="2E056A33" w:rsidR="00B91604" w:rsidRPr="00B91604" w:rsidRDefault="002E7FAD" w:rsidP="000C060A">
      <w:pPr>
        <w:pStyle w:val="ListParagraph"/>
        <w:numPr>
          <w:ilvl w:val="0"/>
          <w:numId w:val="26"/>
        </w:numPr>
      </w:pPr>
      <w:r>
        <w:t>i</w:t>
      </w:r>
      <w:r w:rsidRPr="00B91604">
        <w:t xml:space="preserve">t is clear the harvest strategy is not working </w:t>
      </w:r>
      <w:r w:rsidR="007255A8" w:rsidRPr="00B91604">
        <w:t>effectively,</w:t>
      </w:r>
      <w:r w:rsidRPr="00B91604">
        <w:t xml:space="preserve"> and the intent of the </w:t>
      </w:r>
      <w:r w:rsidR="00F9431E" w:rsidRPr="000C060A">
        <w:rPr>
          <w:i/>
        </w:rPr>
        <w:t>Queensland h</w:t>
      </w:r>
      <w:r w:rsidRPr="000C060A">
        <w:rPr>
          <w:i/>
        </w:rPr>
        <w:t xml:space="preserve">arvest </w:t>
      </w:r>
      <w:r w:rsidR="00F9431E" w:rsidRPr="000C060A">
        <w:rPr>
          <w:i/>
        </w:rPr>
        <w:t>s</w:t>
      </w:r>
      <w:r w:rsidRPr="000C060A">
        <w:rPr>
          <w:i/>
        </w:rPr>
        <w:t xml:space="preserve">trategy </w:t>
      </w:r>
      <w:r w:rsidR="00F9431E" w:rsidRPr="000C060A">
        <w:rPr>
          <w:i/>
        </w:rPr>
        <w:t>p</w:t>
      </w:r>
      <w:r w:rsidRPr="000C060A">
        <w:rPr>
          <w:i/>
        </w:rPr>
        <w:t>olicy</w:t>
      </w:r>
      <w:r w:rsidRPr="00B91604">
        <w:t xml:space="preserve"> is not being met. </w:t>
      </w:r>
    </w:p>
    <w:p w14:paraId="42F9D78F" w14:textId="7F12D294" w:rsidR="00B91604" w:rsidRPr="000C060A" w:rsidRDefault="004311C7" w:rsidP="000C060A">
      <w:pPr>
        <w:rPr>
          <w:rFonts w:cs="Noto Sans"/>
          <w:szCs w:val="20"/>
        </w:rPr>
      </w:pPr>
      <w:r>
        <w:t>For more</w:t>
      </w:r>
      <w:r w:rsidR="002E7FAD" w:rsidRPr="00B91604">
        <w:t xml:space="preserve"> information on the processes for amending harvest strategies</w:t>
      </w:r>
      <w:r>
        <w:t xml:space="preserve">, refer to </w:t>
      </w:r>
      <w:r w:rsidR="002E7FAD" w:rsidRPr="00B91604">
        <w:t xml:space="preserve">the </w:t>
      </w:r>
      <w:r w:rsidR="00B84C26" w:rsidRPr="00DD225E">
        <w:t>Queensland harvest strategy policy</w:t>
      </w:r>
      <w:r w:rsidR="00B84C26">
        <w:t xml:space="preserve"> available </w:t>
      </w:r>
      <w:r w:rsidR="00B84C26" w:rsidRPr="000C060A">
        <w:rPr>
          <w:rFonts w:cs="Noto Sans"/>
          <w:szCs w:val="20"/>
        </w:rPr>
        <w:t xml:space="preserve">at </w:t>
      </w:r>
      <w:hyperlink r:id="rId29" w:history="1">
        <w:r w:rsidR="00B84C26" w:rsidRPr="000C060A">
          <w:rPr>
            <w:rStyle w:val="Hyperlink"/>
            <w:rFonts w:eastAsia="Calibri" w:cs="Noto Sans"/>
            <w:szCs w:val="20"/>
          </w:rPr>
          <w:t>publications.qld.gov.au</w:t>
        </w:r>
      </w:hyperlink>
      <w:r w:rsidR="00B84C26" w:rsidRPr="000C060A">
        <w:rPr>
          <w:rFonts w:cs="Noto Sans"/>
          <w:szCs w:val="20"/>
        </w:rPr>
        <w:t xml:space="preserve">. </w:t>
      </w:r>
    </w:p>
    <w:p w14:paraId="0D202ABB" w14:textId="77777777" w:rsidR="008E01CF" w:rsidRPr="000C060A" w:rsidRDefault="008E01CF" w:rsidP="000C060A">
      <w:r>
        <w:br w:type="page"/>
      </w:r>
    </w:p>
    <w:p w14:paraId="002A6FC4" w14:textId="4E74250E" w:rsidR="00FE0C87" w:rsidRPr="00033A27" w:rsidRDefault="002E7FAD" w:rsidP="000C060A">
      <w:pPr>
        <w:pStyle w:val="Heading1"/>
      </w:pPr>
      <w:bookmarkStart w:id="57" w:name="_Toc121747126"/>
      <w:bookmarkStart w:id="58" w:name="_Toc204270761"/>
      <w:bookmarkStart w:id="59" w:name="_Toc205215645"/>
      <w:r w:rsidRPr="00033A27">
        <w:lastRenderedPageBreak/>
        <w:t>Acronyms</w:t>
      </w:r>
      <w:r w:rsidR="00B56A3A">
        <w:t xml:space="preserve"> and definitions</w:t>
      </w:r>
      <w:bookmarkEnd w:id="57"/>
      <w:bookmarkEnd w:id="58"/>
      <w:bookmarkEnd w:id="59"/>
    </w:p>
    <w:tbl>
      <w:tblPr>
        <w:tblW w:w="9498" w:type="dxa"/>
        <w:tblCellSpacing w:w="6" w:type="dxa"/>
        <w:tblInd w:w="-3" w:type="dxa"/>
        <w:tblCellMar>
          <w:left w:w="0" w:type="dxa"/>
          <w:right w:w="0" w:type="dxa"/>
        </w:tblCellMar>
        <w:tblLook w:val="04A0" w:firstRow="1" w:lastRow="0" w:firstColumn="1" w:lastColumn="0" w:noHBand="0" w:noVBand="1"/>
        <w:tblCaption w:val="Information and research priorities for the mud crab fishery"/>
      </w:tblPr>
      <w:tblGrid>
        <w:gridCol w:w="2552"/>
        <w:gridCol w:w="6946"/>
      </w:tblGrid>
      <w:tr w:rsidR="009F3883" w14:paraId="3FEBB3B0" w14:textId="77777777" w:rsidTr="004573FB">
        <w:trPr>
          <w:tblHeader/>
          <w:tblCellSpacing w:w="6" w:type="dxa"/>
        </w:trPr>
        <w:tc>
          <w:tcPr>
            <w:tcW w:w="2534" w:type="dxa"/>
            <w:shd w:val="clear" w:color="auto" w:fill="005672"/>
            <w:tcMar>
              <w:top w:w="0" w:type="dxa"/>
              <w:left w:w="108" w:type="dxa"/>
              <w:bottom w:w="0" w:type="dxa"/>
              <w:right w:w="108" w:type="dxa"/>
            </w:tcMar>
          </w:tcPr>
          <w:p w14:paraId="770E6261" w14:textId="0B928832" w:rsidR="00FE0C87" w:rsidRPr="000C060A" w:rsidRDefault="002E7FAD" w:rsidP="000C060A">
            <w:pPr>
              <w:spacing w:before="60" w:after="60" w:line="240" w:lineRule="auto"/>
              <w:rPr>
                <w:rStyle w:val="BodyTextbold"/>
                <w:rFonts w:ascii="Noto Sans" w:hAnsi="Noto Sans" w:cs="Noto Sans"/>
                <w:color w:val="FFFFFF" w:themeColor="background1"/>
                <w:sz w:val="18"/>
                <w:szCs w:val="18"/>
              </w:rPr>
            </w:pPr>
            <w:r w:rsidRPr="000C060A">
              <w:rPr>
                <w:rStyle w:val="BodyTextbold"/>
                <w:rFonts w:ascii="Noto Sans" w:hAnsi="Noto Sans" w:cs="Noto Sans"/>
                <w:color w:val="FFFFFF" w:themeColor="background1"/>
                <w:sz w:val="18"/>
                <w:szCs w:val="18"/>
              </w:rPr>
              <w:t>Acronym</w:t>
            </w:r>
            <w:r w:rsidR="00203065" w:rsidRPr="000C060A">
              <w:rPr>
                <w:rStyle w:val="BodyTextbold"/>
                <w:rFonts w:ascii="Noto Sans" w:hAnsi="Noto Sans" w:cs="Noto Sans"/>
                <w:color w:val="FFFFFF" w:themeColor="background1"/>
                <w:sz w:val="18"/>
                <w:szCs w:val="18"/>
              </w:rPr>
              <w:t>/term</w:t>
            </w:r>
          </w:p>
        </w:tc>
        <w:tc>
          <w:tcPr>
            <w:tcW w:w="6928" w:type="dxa"/>
            <w:shd w:val="clear" w:color="auto" w:fill="005672"/>
            <w:tcMar>
              <w:top w:w="0" w:type="dxa"/>
              <w:left w:w="108" w:type="dxa"/>
              <w:bottom w:w="0" w:type="dxa"/>
              <w:right w:w="108" w:type="dxa"/>
            </w:tcMar>
          </w:tcPr>
          <w:p w14:paraId="7DE11B92" w14:textId="77777777" w:rsidR="00FE0C87" w:rsidRPr="000C060A" w:rsidRDefault="002E7FAD" w:rsidP="000C060A">
            <w:pPr>
              <w:spacing w:before="60" w:after="60" w:line="240" w:lineRule="auto"/>
              <w:rPr>
                <w:rStyle w:val="BodyTextbold"/>
                <w:rFonts w:ascii="Noto Sans" w:hAnsi="Noto Sans" w:cs="Noto Sans"/>
                <w:color w:val="FFFFFF" w:themeColor="background1"/>
                <w:sz w:val="18"/>
                <w:szCs w:val="18"/>
              </w:rPr>
            </w:pPr>
            <w:r w:rsidRPr="000C060A">
              <w:rPr>
                <w:rStyle w:val="BodyTextbold"/>
                <w:rFonts w:ascii="Noto Sans" w:hAnsi="Noto Sans" w:cs="Noto Sans"/>
                <w:color w:val="FFFFFF" w:themeColor="background1"/>
                <w:sz w:val="18"/>
                <w:szCs w:val="18"/>
              </w:rPr>
              <w:t>Definition</w:t>
            </w:r>
          </w:p>
        </w:tc>
      </w:tr>
      <w:tr w:rsidR="009F3883" w14:paraId="688EF007" w14:textId="77777777" w:rsidTr="004573FB">
        <w:trPr>
          <w:tblCellSpacing w:w="6" w:type="dxa"/>
        </w:trPr>
        <w:tc>
          <w:tcPr>
            <w:tcW w:w="2534" w:type="dxa"/>
            <w:tcMar>
              <w:top w:w="0" w:type="dxa"/>
              <w:left w:w="108" w:type="dxa"/>
              <w:bottom w:w="0" w:type="dxa"/>
              <w:right w:w="108" w:type="dxa"/>
            </w:tcMar>
          </w:tcPr>
          <w:p w14:paraId="50594652" w14:textId="6D9E7B99" w:rsidR="00DD6025" w:rsidRPr="000C060A" w:rsidRDefault="002E7FAD" w:rsidP="000C060A">
            <w:pPr>
              <w:spacing w:before="60" w:after="60" w:line="240" w:lineRule="auto"/>
              <w:rPr>
                <w:rFonts w:eastAsia="Times New Roman" w:cs="Noto Sans"/>
                <w:b/>
                <w:sz w:val="18"/>
                <w:szCs w:val="18"/>
                <w:lang w:val="en-GB"/>
              </w:rPr>
            </w:pPr>
            <w:r w:rsidRPr="000C060A">
              <w:rPr>
                <w:rFonts w:cs="Noto Sans"/>
                <w:b/>
                <w:sz w:val="18"/>
                <w:szCs w:val="18"/>
              </w:rPr>
              <w:t>Biomass</w:t>
            </w:r>
            <w:r w:rsidR="008F592F" w:rsidRPr="000C060A">
              <w:rPr>
                <w:rFonts w:cs="Noto Sans"/>
                <w:b/>
                <w:sz w:val="18"/>
                <w:szCs w:val="18"/>
              </w:rPr>
              <w:t xml:space="preserve"> (B)</w:t>
            </w:r>
          </w:p>
        </w:tc>
        <w:tc>
          <w:tcPr>
            <w:tcW w:w="6928" w:type="dxa"/>
            <w:tcMar>
              <w:top w:w="0" w:type="dxa"/>
              <w:left w:w="108" w:type="dxa"/>
              <w:bottom w:w="0" w:type="dxa"/>
              <w:right w:w="108" w:type="dxa"/>
            </w:tcMar>
          </w:tcPr>
          <w:p w14:paraId="2FF9D7FC" w14:textId="78B4C1CF" w:rsidR="00FE3371" w:rsidRPr="000C060A" w:rsidRDefault="008976DC" w:rsidP="000C060A">
            <w:pPr>
              <w:spacing w:before="60" w:after="60" w:line="240" w:lineRule="auto"/>
              <w:rPr>
                <w:rFonts w:cs="Noto Sans"/>
                <w:sz w:val="18"/>
                <w:szCs w:val="18"/>
              </w:rPr>
            </w:pPr>
            <w:r w:rsidRPr="000C060A">
              <w:rPr>
                <w:rFonts w:eastAsia="Calibri" w:cs="Noto Sans"/>
                <w:sz w:val="18"/>
                <w:szCs w:val="18"/>
              </w:rPr>
              <w:t>T</w:t>
            </w:r>
            <w:r w:rsidR="00817509" w:rsidRPr="000C060A">
              <w:rPr>
                <w:rFonts w:eastAsia="Calibri" w:cs="Noto Sans"/>
                <w:sz w:val="18"/>
                <w:szCs w:val="18"/>
              </w:rPr>
              <w:t>otal weight of a population or of a component of a population</w:t>
            </w:r>
            <w:r w:rsidR="00FE3371" w:rsidRPr="000C060A">
              <w:rPr>
                <w:rFonts w:eastAsia="Calibri" w:cs="Noto Sans"/>
                <w:sz w:val="18"/>
                <w:szCs w:val="18"/>
              </w:rPr>
              <w:t xml:space="preserve">, </w:t>
            </w:r>
            <w:r w:rsidR="00FE3371" w:rsidRPr="000C060A">
              <w:rPr>
                <w:rFonts w:cs="Noto Sans"/>
                <w:sz w:val="18"/>
                <w:szCs w:val="18"/>
              </w:rPr>
              <w:t>usually expressed as a ratio that indicates the biomass as a percentage of the unfished biomass (B</w:t>
            </w:r>
            <w:r w:rsidR="00FE3371" w:rsidRPr="000C060A">
              <w:rPr>
                <w:rFonts w:cs="Noto Sans"/>
                <w:sz w:val="18"/>
                <w:szCs w:val="18"/>
                <w:vertAlign w:val="subscript"/>
              </w:rPr>
              <w:t>0</w:t>
            </w:r>
            <w:r w:rsidR="00FE3371" w:rsidRPr="000C060A">
              <w:rPr>
                <w:rFonts w:cs="Noto Sans"/>
                <w:sz w:val="18"/>
                <w:szCs w:val="18"/>
              </w:rPr>
              <w:t xml:space="preserve">). </w:t>
            </w:r>
          </w:p>
          <w:p w14:paraId="0BEB9A66" w14:textId="78472B51" w:rsidR="00354B20" w:rsidRPr="000C060A" w:rsidRDefault="007C027B" w:rsidP="000C060A">
            <w:pPr>
              <w:spacing w:before="60" w:after="60" w:line="240" w:lineRule="auto"/>
              <w:rPr>
                <w:rFonts w:eastAsia="Calibri" w:cs="Noto Sans"/>
                <w:sz w:val="18"/>
                <w:szCs w:val="18"/>
              </w:rPr>
            </w:pPr>
            <w:r w:rsidRPr="000C060A">
              <w:rPr>
                <w:rFonts w:eastAsia="Calibri" w:cs="Noto Sans"/>
                <w:sz w:val="18"/>
                <w:szCs w:val="18"/>
              </w:rPr>
              <w:t>E</w:t>
            </w:r>
            <w:r w:rsidR="00354B20" w:rsidRPr="000C060A">
              <w:rPr>
                <w:rFonts w:eastAsia="Calibri" w:cs="Noto Sans"/>
                <w:sz w:val="18"/>
                <w:szCs w:val="18"/>
              </w:rPr>
              <w:t xml:space="preserve">ast coast Spanish mackerel </w:t>
            </w:r>
            <w:r w:rsidRPr="000C060A">
              <w:rPr>
                <w:rFonts w:eastAsia="Calibri" w:cs="Noto Sans"/>
                <w:sz w:val="18"/>
                <w:szCs w:val="18"/>
              </w:rPr>
              <w:t xml:space="preserve">is assessed in terms of </w:t>
            </w:r>
            <w:r w:rsidR="00354B20" w:rsidRPr="000C060A">
              <w:rPr>
                <w:rFonts w:eastAsia="Calibri" w:cs="Noto Sans"/>
                <w:sz w:val="18"/>
                <w:szCs w:val="18"/>
              </w:rPr>
              <w:t xml:space="preserve">spawning stock biomass, </w:t>
            </w:r>
            <w:r w:rsidRPr="000C060A">
              <w:rPr>
                <w:rFonts w:eastAsia="Calibri" w:cs="Noto Sans"/>
                <w:sz w:val="18"/>
                <w:szCs w:val="18"/>
              </w:rPr>
              <w:t xml:space="preserve">which is </w:t>
            </w:r>
            <w:r w:rsidR="00354B20" w:rsidRPr="000C060A">
              <w:rPr>
                <w:rFonts w:eastAsia="Calibri" w:cs="Noto Sans"/>
                <w:sz w:val="18"/>
                <w:szCs w:val="18"/>
              </w:rPr>
              <w:t>measured by spawning egg production.</w:t>
            </w:r>
            <w:r w:rsidR="00354B20" w:rsidRPr="000C060A">
              <w:rPr>
                <w:rFonts w:cs="Noto Sans"/>
                <w:sz w:val="18"/>
                <w:szCs w:val="18"/>
              </w:rPr>
              <w:t xml:space="preserve"> </w:t>
            </w:r>
          </w:p>
        </w:tc>
      </w:tr>
      <w:tr w:rsidR="009F3883" w14:paraId="47606850" w14:textId="77777777" w:rsidTr="004573FB">
        <w:trPr>
          <w:tblCellSpacing w:w="6" w:type="dxa"/>
        </w:trPr>
        <w:tc>
          <w:tcPr>
            <w:tcW w:w="2534" w:type="dxa"/>
            <w:tcBorders>
              <w:top w:val="single" w:sz="4" w:space="0" w:color="005672"/>
            </w:tcBorders>
            <w:tcMar>
              <w:top w:w="0" w:type="dxa"/>
              <w:left w:w="108" w:type="dxa"/>
              <w:bottom w:w="0" w:type="dxa"/>
              <w:right w:w="108" w:type="dxa"/>
            </w:tcMar>
          </w:tcPr>
          <w:p w14:paraId="4E9B267E" w14:textId="4E88EDC7" w:rsidR="00DD6025" w:rsidRPr="000C060A" w:rsidRDefault="00302CFB" w:rsidP="000C060A">
            <w:pPr>
              <w:spacing w:before="60" w:after="60" w:line="240" w:lineRule="auto"/>
              <w:rPr>
                <w:rFonts w:eastAsia="Times New Roman" w:cs="Noto Sans"/>
                <w:b/>
                <w:sz w:val="18"/>
                <w:szCs w:val="18"/>
                <w:lang w:val="en-GB"/>
              </w:rPr>
            </w:pPr>
            <w:r w:rsidRPr="000C060A">
              <w:rPr>
                <w:rFonts w:eastAsia="Times New Roman" w:cs="Noto Sans"/>
                <w:b/>
                <w:sz w:val="18"/>
                <w:szCs w:val="18"/>
                <w:lang w:val="en-GB"/>
              </w:rPr>
              <w:t>Unfished biomass (</w:t>
            </w:r>
            <w:r w:rsidR="002E7FAD" w:rsidRPr="000C060A">
              <w:rPr>
                <w:rFonts w:eastAsia="Times New Roman" w:cs="Noto Sans"/>
                <w:b/>
                <w:sz w:val="18"/>
                <w:szCs w:val="18"/>
                <w:lang w:val="en-GB"/>
              </w:rPr>
              <w:t>B</w:t>
            </w:r>
            <w:r w:rsidR="002E7FAD" w:rsidRPr="000C060A">
              <w:rPr>
                <w:rFonts w:eastAsia="Times New Roman" w:cs="Noto Sans"/>
                <w:b/>
                <w:sz w:val="18"/>
                <w:szCs w:val="18"/>
                <w:vertAlign w:val="subscript"/>
                <w:lang w:val="en-GB"/>
              </w:rPr>
              <w:t>0</w:t>
            </w:r>
            <w:r w:rsidRPr="000C060A">
              <w:rPr>
                <w:rFonts w:eastAsia="Times New Roman" w:cs="Noto Sans"/>
                <w:b/>
                <w:sz w:val="18"/>
                <w:szCs w:val="18"/>
                <w:lang w:val="en-GB"/>
              </w:rPr>
              <w:t>)</w:t>
            </w:r>
          </w:p>
        </w:tc>
        <w:tc>
          <w:tcPr>
            <w:tcW w:w="6928" w:type="dxa"/>
            <w:tcBorders>
              <w:top w:val="single" w:sz="4" w:space="0" w:color="005672"/>
            </w:tcBorders>
            <w:tcMar>
              <w:top w:w="0" w:type="dxa"/>
              <w:left w:w="108" w:type="dxa"/>
              <w:bottom w:w="0" w:type="dxa"/>
              <w:right w:w="108" w:type="dxa"/>
            </w:tcMar>
          </w:tcPr>
          <w:p w14:paraId="31208378" w14:textId="75BD672F" w:rsidR="00DD6025" w:rsidRPr="000C060A" w:rsidRDefault="00053F23" w:rsidP="000C060A">
            <w:pPr>
              <w:spacing w:before="60" w:after="60" w:line="240" w:lineRule="auto"/>
              <w:rPr>
                <w:rFonts w:eastAsia="Calibri" w:cs="Noto Sans"/>
                <w:sz w:val="18"/>
                <w:szCs w:val="18"/>
              </w:rPr>
            </w:pPr>
            <w:r w:rsidRPr="000C060A">
              <w:rPr>
                <w:rFonts w:eastAsia="Calibri" w:cs="Noto Sans"/>
                <w:sz w:val="18"/>
                <w:szCs w:val="18"/>
              </w:rPr>
              <w:t>Mean equilibrium virgin unfished biomass</w:t>
            </w:r>
            <w:r w:rsidR="000B515B" w:rsidRPr="000C060A">
              <w:rPr>
                <w:rFonts w:eastAsia="Calibri" w:cs="Noto Sans"/>
                <w:sz w:val="18"/>
                <w:szCs w:val="18"/>
              </w:rPr>
              <w:t>, meaning the</w:t>
            </w:r>
            <w:r w:rsidRPr="000C060A">
              <w:rPr>
                <w:rFonts w:eastAsia="Calibri" w:cs="Noto Sans"/>
                <w:sz w:val="18"/>
                <w:szCs w:val="18"/>
              </w:rPr>
              <w:t xml:space="preserve"> average biomass level if fishing had not occurred.</w:t>
            </w:r>
            <w:r w:rsidR="00F41D2D" w:rsidRPr="000C060A">
              <w:rPr>
                <w:rFonts w:eastAsia="Calibri" w:cs="Noto Sans"/>
                <w:sz w:val="18"/>
                <w:szCs w:val="18"/>
              </w:rPr>
              <w:t xml:space="preserve"> For east coast Spanish mackerel, </w:t>
            </w:r>
            <w:r w:rsidR="00593EA9" w:rsidRPr="000C060A">
              <w:rPr>
                <w:rFonts w:eastAsia="Calibri" w:cs="Noto Sans"/>
                <w:sz w:val="18"/>
                <w:szCs w:val="18"/>
              </w:rPr>
              <w:t xml:space="preserve">this is </w:t>
            </w:r>
            <w:r w:rsidR="000F0C0C" w:rsidRPr="000C060A">
              <w:rPr>
                <w:rFonts w:eastAsia="Calibri" w:cs="Noto Sans"/>
                <w:sz w:val="18"/>
                <w:szCs w:val="18"/>
              </w:rPr>
              <w:t xml:space="preserve">currently </w:t>
            </w:r>
            <w:r w:rsidR="00593EA9" w:rsidRPr="000C060A">
              <w:rPr>
                <w:rFonts w:eastAsia="Calibri" w:cs="Noto Sans"/>
                <w:sz w:val="18"/>
                <w:szCs w:val="18"/>
              </w:rPr>
              <w:t>taken to be the</w:t>
            </w:r>
            <w:r w:rsidR="00F41D2D" w:rsidRPr="000C060A">
              <w:rPr>
                <w:rFonts w:eastAsia="Calibri" w:cs="Noto Sans"/>
                <w:sz w:val="18"/>
                <w:szCs w:val="18"/>
              </w:rPr>
              <w:t xml:space="preserve"> </w:t>
            </w:r>
            <w:r w:rsidR="00593EA9" w:rsidRPr="000C060A">
              <w:rPr>
                <w:rFonts w:eastAsia="Calibri" w:cs="Noto Sans"/>
                <w:sz w:val="18"/>
                <w:szCs w:val="18"/>
              </w:rPr>
              <w:t xml:space="preserve">spawning stock </w:t>
            </w:r>
            <w:r w:rsidR="00F41D2D" w:rsidRPr="000C060A">
              <w:rPr>
                <w:rFonts w:eastAsia="Calibri" w:cs="Noto Sans"/>
                <w:sz w:val="18"/>
                <w:szCs w:val="18"/>
              </w:rPr>
              <w:t xml:space="preserve">biomass </w:t>
            </w:r>
            <w:r w:rsidR="000F0C0C" w:rsidRPr="000C060A">
              <w:rPr>
                <w:rFonts w:eastAsia="Calibri" w:cs="Noto Sans"/>
                <w:sz w:val="18"/>
                <w:szCs w:val="18"/>
              </w:rPr>
              <w:t>in</w:t>
            </w:r>
            <w:r w:rsidR="00F41D2D" w:rsidRPr="000C060A">
              <w:rPr>
                <w:rFonts w:eastAsia="Calibri" w:cs="Noto Sans"/>
                <w:sz w:val="18"/>
                <w:szCs w:val="18"/>
              </w:rPr>
              <w:t xml:space="preserve"> 1911 </w:t>
            </w:r>
            <w:r w:rsidR="000F0C0C" w:rsidRPr="000C060A">
              <w:rPr>
                <w:rFonts w:eastAsia="Calibri" w:cs="Noto Sans"/>
                <w:sz w:val="18"/>
                <w:szCs w:val="18"/>
              </w:rPr>
              <w:t xml:space="preserve">and </w:t>
            </w:r>
            <w:r w:rsidR="00F41D2D" w:rsidRPr="000C060A">
              <w:rPr>
                <w:rFonts w:eastAsia="Calibri" w:cs="Noto Sans"/>
                <w:sz w:val="18"/>
                <w:szCs w:val="18"/>
              </w:rPr>
              <w:t>prior to the commencement of the commercial fishery.</w:t>
            </w:r>
          </w:p>
        </w:tc>
      </w:tr>
      <w:tr w:rsidR="00373FA1" w14:paraId="3FBF982B" w14:textId="77777777" w:rsidTr="004573FB">
        <w:trPr>
          <w:tblCellSpacing w:w="6" w:type="dxa"/>
        </w:trPr>
        <w:tc>
          <w:tcPr>
            <w:tcW w:w="2534" w:type="dxa"/>
            <w:tcBorders>
              <w:top w:val="single" w:sz="4" w:space="0" w:color="005672"/>
            </w:tcBorders>
            <w:tcMar>
              <w:top w:w="0" w:type="dxa"/>
              <w:left w:w="108" w:type="dxa"/>
              <w:bottom w:w="0" w:type="dxa"/>
              <w:right w:w="108" w:type="dxa"/>
            </w:tcMar>
          </w:tcPr>
          <w:p w14:paraId="4A2D72B5" w14:textId="0FA6AAFC" w:rsidR="00373FA1" w:rsidRPr="000C060A" w:rsidRDefault="007940C0" w:rsidP="000C060A">
            <w:pPr>
              <w:spacing w:before="60" w:after="60" w:line="240" w:lineRule="auto"/>
              <w:rPr>
                <w:rFonts w:eastAsia="Times New Roman" w:cs="Noto Sans"/>
                <w:b/>
                <w:sz w:val="18"/>
                <w:szCs w:val="18"/>
                <w:lang w:val="en-GB"/>
              </w:rPr>
            </w:pPr>
            <w:r w:rsidRPr="000C060A">
              <w:rPr>
                <w:rFonts w:eastAsia="Times New Roman" w:cs="Noto Sans"/>
                <w:b/>
                <w:sz w:val="18"/>
                <w:szCs w:val="18"/>
                <w:lang w:val="en-GB"/>
              </w:rPr>
              <w:t xml:space="preserve">40% unfished </w:t>
            </w:r>
            <w:r w:rsidR="007A5981" w:rsidRPr="000C060A">
              <w:rPr>
                <w:rFonts w:eastAsia="Times New Roman" w:cs="Noto Sans"/>
                <w:b/>
                <w:sz w:val="18"/>
                <w:szCs w:val="18"/>
                <w:lang w:val="en-GB"/>
              </w:rPr>
              <w:t>biomass</w:t>
            </w:r>
            <w:r w:rsidRPr="000C060A">
              <w:rPr>
                <w:rFonts w:eastAsia="Times New Roman" w:cs="Noto Sans"/>
                <w:b/>
                <w:sz w:val="18"/>
                <w:szCs w:val="18"/>
                <w:lang w:val="en-GB"/>
              </w:rPr>
              <w:t xml:space="preserve"> (</w:t>
            </w:r>
            <w:r w:rsidR="00373FA1" w:rsidRPr="000C060A">
              <w:rPr>
                <w:rFonts w:eastAsia="Times New Roman" w:cs="Noto Sans"/>
                <w:b/>
                <w:sz w:val="18"/>
                <w:szCs w:val="18"/>
                <w:lang w:val="en-GB"/>
              </w:rPr>
              <w:t>B</w:t>
            </w:r>
            <w:r w:rsidR="00373FA1" w:rsidRPr="000C060A">
              <w:rPr>
                <w:rFonts w:eastAsia="Times New Roman" w:cs="Noto Sans"/>
                <w:b/>
                <w:sz w:val="18"/>
                <w:szCs w:val="18"/>
                <w:vertAlign w:val="subscript"/>
                <w:lang w:val="en-GB"/>
              </w:rPr>
              <w:t>40</w:t>
            </w:r>
            <w:r w:rsidRPr="000C060A">
              <w:rPr>
                <w:rFonts w:eastAsia="Times New Roman" w:cs="Noto Sans"/>
                <w:b/>
                <w:sz w:val="18"/>
                <w:szCs w:val="18"/>
                <w:lang w:val="en-GB"/>
              </w:rPr>
              <w:t>)</w:t>
            </w:r>
          </w:p>
        </w:tc>
        <w:tc>
          <w:tcPr>
            <w:tcW w:w="6928" w:type="dxa"/>
            <w:tcBorders>
              <w:top w:val="single" w:sz="4" w:space="0" w:color="005672"/>
            </w:tcBorders>
            <w:tcMar>
              <w:top w:w="0" w:type="dxa"/>
              <w:left w:w="108" w:type="dxa"/>
              <w:bottom w:w="0" w:type="dxa"/>
              <w:right w:w="108" w:type="dxa"/>
            </w:tcMar>
          </w:tcPr>
          <w:p w14:paraId="4C965ECC" w14:textId="11904D04" w:rsidR="00373FA1" w:rsidRPr="000C060A" w:rsidRDefault="007940C0" w:rsidP="000C060A">
            <w:pPr>
              <w:spacing w:before="60" w:after="60" w:line="240" w:lineRule="auto"/>
              <w:rPr>
                <w:rFonts w:eastAsia="Calibri" w:cs="Noto Sans"/>
                <w:i/>
                <w:sz w:val="18"/>
                <w:szCs w:val="18"/>
              </w:rPr>
            </w:pPr>
            <w:r w:rsidRPr="000C060A">
              <w:rPr>
                <w:rFonts w:eastAsia="Calibri" w:cs="Noto Sans"/>
                <w:sz w:val="18"/>
                <w:szCs w:val="18"/>
              </w:rPr>
              <w:t>The biomass</w:t>
            </w:r>
            <w:r w:rsidR="00537134" w:rsidRPr="000C060A">
              <w:rPr>
                <w:rFonts w:eastAsia="Calibri" w:cs="Noto Sans"/>
                <w:sz w:val="18"/>
                <w:szCs w:val="18"/>
              </w:rPr>
              <w:t xml:space="preserve"> </w:t>
            </w:r>
            <w:r w:rsidR="007A5981" w:rsidRPr="000C060A">
              <w:rPr>
                <w:rFonts w:eastAsia="Calibri" w:cs="Noto Sans"/>
                <w:sz w:val="18"/>
                <w:szCs w:val="18"/>
              </w:rPr>
              <w:t>at</w:t>
            </w:r>
            <w:r w:rsidR="00EB6F42" w:rsidRPr="000C060A">
              <w:rPr>
                <w:rFonts w:eastAsia="Calibri" w:cs="Noto Sans"/>
                <w:sz w:val="18"/>
                <w:szCs w:val="18"/>
              </w:rPr>
              <w:t xml:space="preserve"> 40%</w:t>
            </w:r>
            <w:r w:rsidR="00ED3387" w:rsidRPr="000C060A">
              <w:rPr>
                <w:rFonts w:eastAsia="Calibri" w:cs="Noto Sans"/>
                <w:sz w:val="18"/>
                <w:szCs w:val="18"/>
              </w:rPr>
              <w:t xml:space="preserve"> </w:t>
            </w:r>
            <w:r w:rsidR="002E7976" w:rsidRPr="000C060A">
              <w:rPr>
                <w:rFonts w:eastAsia="Calibri" w:cs="Noto Sans"/>
                <w:sz w:val="18"/>
                <w:szCs w:val="18"/>
              </w:rPr>
              <w:t>of unfished levels</w:t>
            </w:r>
            <w:r w:rsidR="00421F7C" w:rsidRPr="000C060A">
              <w:rPr>
                <w:rFonts w:eastAsia="Calibri" w:cs="Noto Sans"/>
                <w:sz w:val="18"/>
                <w:szCs w:val="18"/>
              </w:rPr>
              <w:t xml:space="preserve">. </w:t>
            </w:r>
            <w:r w:rsidR="00041781" w:rsidRPr="000C060A">
              <w:rPr>
                <w:rFonts w:eastAsia="Calibri" w:cs="Noto Sans"/>
                <w:sz w:val="18"/>
                <w:szCs w:val="18"/>
              </w:rPr>
              <w:t>Used by default as a</w:t>
            </w:r>
            <w:r w:rsidR="00421F7C" w:rsidRPr="000C060A">
              <w:rPr>
                <w:rFonts w:eastAsia="Calibri" w:cs="Noto Sans"/>
                <w:sz w:val="18"/>
                <w:szCs w:val="18"/>
              </w:rPr>
              <w:t xml:space="preserve"> </w:t>
            </w:r>
            <w:r w:rsidR="001B0976" w:rsidRPr="000C060A">
              <w:rPr>
                <w:rFonts w:eastAsia="Calibri" w:cs="Noto Sans"/>
                <w:sz w:val="18"/>
                <w:szCs w:val="18"/>
              </w:rPr>
              <w:t>proxy for the biomass at maximum sustainable yield (</w:t>
            </w:r>
            <w:proofErr w:type="spellStart"/>
            <w:r w:rsidR="001B0976" w:rsidRPr="000C060A">
              <w:rPr>
                <w:rFonts w:eastAsia="Calibri" w:cs="Noto Sans"/>
                <w:sz w:val="18"/>
                <w:szCs w:val="18"/>
              </w:rPr>
              <w:t>B</w:t>
            </w:r>
            <w:r w:rsidR="001B0976" w:rsidRPr="000C060A">
              <w:rPr>
                <w:rFonts w:eastAsia="Calibri" w:cs="Noto Sans"/>
                <w:i/>
                <w:sz w:val="18"/>
                <w:szCs w:val="18"/>
              </w:rPr>
              <w:t>msy</w:t>
            </w:r>
            <w:proofErr w:type="spellEnd"/>
            <w:r w:rsidR="001B0976" w:rsidRPr="000C060A">
              <w:rPr>
                <w:rFonts w:eastAsia="Calibri" w:cs="Noto Sans"/>
                <w:sz w:val="18"/>
                <w:szCs w:val="18"/>
              </w:rPr>
              <w:t>)</w:t>
            </w:r>
            <w:r w:rsidR="00041781" w:rsidRPr="000C060A">
              <w:rPr>
                <w:rFonts w:eastAsia="Calibri" w:cs="Noto Sans"/>
                <w:sz w:val="18"/>
                <w:szCs w:val="18"/>
              </w:rPr>
              <w:t xml:space="preserve"> </w:t>
            </w:r>
            <w:r w:rsidR="009548CE" w:rsidRPr="000C060A">
              <w:rPr>
                <w:rFonts w:eastAsia="Calibri" w:cs="Noto Sans"/>
                <w:sz w:val="18"/>
                <w:szCs w:val="18"/>
              </w:rPr>
              <w:t>and</w:t>
            </w:r>
            <w:r w:rsidR="00041781" w:rsidRPr="000C060A">
              <w:rPr>
                <w:rFonts w:eastAsia="Calibri" w:cs="Noto Sans"/>
                <w:sz w:val="18"/>
                <w:szCs w:val="18"/>
              </w:rPr>
              <w:t xml:space="preserve"> as the </w:t>
            </w:r>
            <w:r w:rsidR="00D62689" w:rsidRPr="000C060A">
              <w:rPr>
                <w:rFonts w:eastAsia="Calibri" w:cs="Noto Sans"/>
                <w:sz w:val="18"/>
                <w:szCs w:val="18"/>
              </w:rPr>
              <w:t>interim target biomass reference point</w:t>
            </w:r>
            <w:r w:rsidR="008A7908" w:rsidRPr="000C060A">
              <w:rPr>
                <w:rFonts w:eastAsia="Calibri" w:cs="Noto Sans"/>
                <w:sz w:val="18"/>
                <w:szCs w:val="18"/>
              </w:rPr>
              <w:t xml:space="preserve"> for rebuilding</w:t>
            </w:r>
            <w:r w:rsidR="00D62689" w:rsidRPr="000C060A">
              <w:rPr>
                <w:rFonts w:eastAsia="Calibri" w:cs="Noto Sans"/>
                <w:sz w:val="18"/>
                <w:szCs w:val="18"/>
              </w:rPr>
              <w:t xml:space="preserve">. </w:t>
            </w:r>
          </w:p>
        </w:tc>
      </w:tr>
      <w:tr w:rsidR="007C31A8" w14:paraId="477532B0" w14:textId="77777777" w:rsidTr="004573FB">
        <w:trPr>
          <w:tblCellSpacing w:w="6" w:type="dxa"/>
        </w:trPr>
        <w:tc>
          <w:tcPr>
            <w:tcW w:w="2534" w:type="dxa"/>
            <w:tcBorders>
              <w:top w:val="single" w:sz="4" w:space="0" w:color="005672"/>
              <w:bottom w:val="single" w:sz="4" w:space="0" w:color="005672"/>
            </w:tcBorders>
            <w:tcMar>
              <w:top w:w="0" w:type="dxa"/>
              <w:left w:w="108" w:type="dxa"/>
              <w:bottom w:w="0" w:type="dxa"/>
              <w:right w:w="108" w:type="dxa"/>
            </w:tcMar>
          </w:tcPr>
          <w:p w14:paraId="262244C7" w14:textId="1F7BACA2" w:rsidR="007C31A8" w:rsidRPr="000C060A" w:rsidRDefault="00302CFB" w:rsidP="000C060A">
            <w:pPr>
              <w:spacing w:before="60" w:after="60" w:line="240" w:lineRule="auto"/>
              <w:rPr>
                <w:rFonts w:eastAsia="Times New Roman" w:cs="Noto Sans"/>
                <w:b/>
                <w:sz w:val="18"/>
                <w:szCs w:val="18"/>
                <w:vertAlign w:val="subscript"/>
                <w:lang w:val="en-GB"/>
              </w:rPr>
            </w:pPr>
            <w:r w:rsidRPr="000C060A">
              <w:rPr>
                <w:rFonts w:eastAsia="Times New Roman" w:cs="Noto Sans"/>
                <w:b/>
                <w:sz w:val="18"/>
                <w:szCs w:val="18"/>
                <w:lang w:val="en-GB"/>
              </w:rPr>
              <w:t>Biomass at maximum sustainable yield (</w:t>
            </w:r>
            <w:proofErr w:type="spellStart"/>
            <w:r w:rsidR="00B558DE" w:rsidRPr="000C060A">
              <w:rPr>
                <w:rFonts w:eastAsia="Times New Roman" w:cs="Noto Sans"/>
                <w:b/>
                <w:sz w:val="18"/>
                <w:szCs w:val="18"/>
                <w:lang w:val="en-GB"/>
              </w:rPr>
              <w:t>B</w:t>
            </w:r>
            <w:r w:rsidR="00B558DE" w:rsidRPr="000C060A">
              <w:rPr>
                <w:rFonts w:eastAsia="Times New Roman" w:cs="Noto Sans"/>
                <w:b/>
                <w:i/>
                <w:sz w:val="18"/>
                <w:szCs w:val="18"/>
                <w:lang w:val="en-GB"/>
              </w:rPr>
              <w:t>msy</w:t>
            </w:r>
            <w:proofErr w:type="spellEnd"/>
            <w:r w:rsidRPr="000C060A">
              <w:rPr>
                <w:rFonts w:eastAsia="Times New Roman" w:cs="Noto Sans"/>
                <w:b/>
                <w:sz w:val="18"/>
                <w:szCs w:val="18"/>
                <w:lang w:val="en-GB"/>
              </w:rPr>
              <w:t>)</w:t>
            </w:r>
          </w:p>
        </w:tc>
        <w:tc>
          <w:tcPr>
            <w:tcW w:w="6928" w:type="dxa"/>
            <w:tcBorders>
              <w:top w:val="single" w:sz="4" w:space="0" w:color="005672"/>
              <w:bottom w:val="single" w:sz="4" w:space="0" w:color="005672"/>
            </w:tcBorders>
            <w:tcMar>
              <w:top w:w="0" w:type="dxa"/>
              <w:left w:w="108" w:type="dxa"/>
              <w:bottom w:w="0" w:type="dxa"/>
              <w:right w:w="108" w:type="dxa"/>
            </w:tcMar>
          </w:tcPr>
          <w:p w14:paraId="0BB55B1E" w14:textId="1FEB710C" w:rsidR="007C31A8" w:rsidRPr="000C060A" w:rsidRDefault="00636E9B" w:rsidP="000C060A">
            <w:pPr>
              <w:spacing w:before="60" w:after="60" w:line="240" w:lineRule="auto"/>
              <w:rPr>
                <w:rFonts w:eastAsia="Calibri" w:cs="Noto Sans"/>
                <w:sz w:val="18"/>
                <w:szCs w:val="18"/>
              </w:rPr>
            </w:pPr>
            <w:r w:rsidRPr="000C060A">
              <w:rPr>
                <w:rFonts w:eastAsia="Calibri" w:cs="Noto Sans"/>
                <w:sz w:val="18"/>
                <w:szCs w:val="18"/>
              </w:rPr>
              <w:t>Biomass at maximum sustainable yield (MSY)</w:t>
            </w:r>
            <w:r w:rsidR="009D0F24" w:rsidRPr="000C060A">
              <w:rPr>
                <w:rFonts w:eastAsia="Calibri" w:cs="Noto Sans"/>
                <w:sz w:val="18"/>
                <w:szCs w:val="18"/>
              </w:rPr>
              <w:t xml:space="preserve">. Without </w:t>
            </w:r>
            <w:r w:rsidR="00947A2D" w:rsidRPr="000C060A">
              <w:rPr>
                <w:rFonts w:eastAsia="Calibri" w:cs="Noto Sans"/>
                <w:sz w:val="18"/>
                <w:szCs w:val="18"/>
              </w:rPr>
              <w:t>a specific estimate, the default</w:t>
            </w:r>
            <w:r w:rsidR="0089010A" w:rsidRPr="000C060A">
              <w:rPr>
                <w:rFonts w:eastAsia="Calibri" w:cs="Noto Sans"/>
                <w:sz w:val="18"/>
                <w:szCs w:val="18"/>
              </w:rPr>
              <w:t xml:space="preserve"> </w:t>
            </w:r>
            <w:proofErr w:type="spellStart"/>
            <w:r w:rsidR="0089010A" w:rsidRPr="000C060A">
              <w:rPr>
                <w:rFonts w:eastAsia="Times New Roman" w:cs="Noto Sans"/>
                <w:sz w:val="18"/>
                <w:szCs w:val="18"/>
                <w:lang w:val="en-GB"/>
              </w:rPr>
              <w:t>B</w:t>
            </w:r>
            <w:r w:rsidR="0089010A" w:rsidRPr="000C060A">
              <w:rPr>
                <w:rFonts w:eastAsia="Times New Roman" w:cs="Noto Sans"/>
                <w:i/>
                <w:sz w:val="18"/>
                <w:szCs w:val="18"/>
                <w:lang w:val="en-GB"/>
              </w:rPr>
              <w:t>msy</w:t>
            </w:r>
            <w:proofErr w:type="spellEnd"/>
            <w:r w:rsidR="00870412" w:rsidRPr="000C060A">
              <w:rPr>
                <w:rFonts w:eastAsia="Calibri" w:cs="Noto Sans"/>
                <w:sz w:val="18"/>
                <w:szCs w:val="18"/>
              </w:rPr>
              <w:t xml:space="preserve"> </w:t>
            </w:r>
            <w:r w:rsidR="0089010A" w:rsidRPr="000C060A">
              <w:rPr>
                <w:rFonts w:eastAsia="Calibri" w:cs="Noto Sans"/>
                <w:sz w:val="18"/>
                <w:szCs w:val="18"/>
              </w:rPr>
              <w:t>is taken to be</w:t>
            </w:r>
            <w:r w:rsidR="005C4A4C" w:rsidRPr="000C060A">
              <w:rPr>
                <w:rFonts w:eastAsia="Calibri" w:cs="Noto Sans"/>
                <w:sz w:val="18"/>
                <w:szCs w:val="18"/>
              </w:rPr>
              <w:t xml:space="preserve"> 40% of unfished biomass.</w:t>
            </w:r>
          </w:p>
        </w:tc>
      </w:tr>
      <w:tr w:rsidR="002B3E0E" w14:paraId="084FF11E"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6025AAF7" w14:textId="0E669220" w:rsidR="002B3E0E" w:rsidRPr="000C060A" w:rsidRDefault="002B3E0E" w:rsidP="000C060A">
            <w:pPr>
              <w:spacing w:before="60" w:after="60" w:line="240" w:lineRule="auto"/>
              <w:rPr>
                <w:rFonts w:eastAsia="Times New Roman" w:cs="Noto Sans"/>
                <w:b/>
                <w:sz w:val="18"/>
                <w:szCs w:val="18"/>
                <w:lang w:val="en-GB"/>
              </w:rPr>
            </w:pPr>
            <w:r w:rsidRPr="000C060A">
              <w:rPr>
                <w:rFonts w:cs="Noto Sans"/>
                <w:b/>
                <w:sz w:val="18"/>
                <w:szCs w:val="18"/>
              </w:rPr>
              <w:t>Biomass at maximum economic yield (</w:t>
            </w:r>
            <w:proofErr w:type="spellStart"/>
            <w:r w:rsidRPr="000C060A">
              <w:rPr>
                <w:rFonts w:cs="Noto Sans"/>
                <w:b/>
                <w:sz w:val="18"/>
                <w:szCs w:val="18"/>
              </w:rPr>
              <w:t>B</w:t>
            </w:r>
            <w:r w:rsidR="006A7ED7" w:rsidRPr="000C060A">
              <w:rPr>
                <w:rFonts w:cs="Noto Sans"/>
                <w:b/>
                <w:i/>
                <w:sz w:val="18"/>
                <w:szCs w:val="18"/>
              </w:rPr>
              <w:t>mey</w:t>
            </w:r>
            <w:proofErr w:type="spellEnd"/>
            <w:r w:rsidRPr="000C060A">
              <w:rPr>
                <w:rFonts w:cs="Noto Sans"/>
                <w:b/>
                <w:sz w:val="18"/>
                <w:szCs w:val="18"/>
              </w:rPr>
              <w:t>)</w:t>
            </w:r>
          </w:p>
        </w:tc>
        <w:tc>
          <w:tcPr>
            <w:tcW w:w="6928" w:type="dxa"/>
            <w:tcBorders>
              <w:bottom w:val="single" w:sz="4" w:space="0" w:color="005672"/>
            </w:tcBorders>
            <w:tcMar>
              <w:top w:w="0" w:type="dxa"/>
              <w:left w:w="108" w:type="dxa"/>
              <w:bottom w:w="0" w:type="dxa"/>
              <w:right w:w="108" w:type="dxa"/>
            </w:tcMar>
          </w:tcPr>
          <w:p w14:paraId="201CB4C7" w14:textId="074C738C" w:rsidR="002B3E0E" w:rsidRPr="000C060A" w:rsidRDefault="005E2894" w:rsidP="000C060A">
            <w:pPr>
              <w:spacing w:before="60" w:after="60" w:line="240" w:lineRule="auto"/>
              <w:rPr>
                <w:rFonts w:eastAsia="Calibri" w:cs="Noto Sans"/>
                <w:sz w:val="18"/>
                <w:szCs w:val="18"/>
              </w:rPr>
            </w:pPr>
            <w:r w:rsidRPr="000C060A">
              <w:rPr>
                <w:rFonts w:eastAsia="Calibri" w:cs="Noto Sans"/>
                <w:sz w:val="18"/>
                <w:szCs w:val="18"/>
              </w:rPr>
              <w:t xml:space="preserve">Biomass at maximum economic yield (MEY). Without a specific estimate, the default </w:t>
            </w:r>
            <w:proofErr w:type="spellStart"/>
            <w:r w:rsidRPr="000C060A">
              <w:rPr>
                <w:rFonts w:eastAsia="Times New Roman" w:cs="Noto Sans"/>
                <w:sz w:val="18"/>
                <w:szCs w:val="18"/>
                <w:lang w:val="en-GB"/>
              </w:rPr>
              <w:t>B</w:t>
            </w:r>
            <w:r w:rsidRPr="000C060A">
              <w:rPr>
                <w:rFonts w:eastAsia="Times New Roman" w:cs="Noto Sans"/>
                <w:i/>
                <w:sz w:val="18"/>
                <w:szCs w:val="18"/>
                <w:lang w:val="en-GB"/>
              </w:rPr>
              <w:t>mey</w:t>
            </w:r>
            <w:proofErr w:type="spellEnd"/>
            <w:r w:rsidRPr="000C060A">
              <w:rPr>
                <w:rFonts w:eastAsia="Calibri" w:cs="Noto Sans"/>
                <w:sz w:val="18"/>
                <w:szCs w:val="18"/>
              </w:rPr>
              <w:t xml:space="preserve"> is taken to be 60% of unfished biomass</w:t>
            </w:r>
            <w:r w:rsidR="002F7BE7" w:rsidRPr="000C060A">
              <w:rPr>
                <w:rFonts w:eastAsia="Calibri" w:cs="Noto Sans"/>
                <w:sz w:val="18"/>
                <w:szCs w:val="18"/>
              </w:rPr>
              <w:t xml:space="preserve"> </w:t>
            </w:r>
            <w:r w:rsidR="002F7BE7" w:rsidRPr="000C060A">
              <w:rPr>
                <w:rFonts w:eastAsia="Times New Roman" w:cs="Noto Sans"/>
                <w:sz w:val="18"/>
                <w:szCs w:val="18"/>
                <w:lang w:val="en-GB"/>
              </w:rPr>
              <w:t>(B</w:t>
            </w:r>
            <w:r w:rsidR="00431484" w:rsidRPr="000C060A">
              <w:rPr>
                <w:rFonts w:eastAsia="Times New Roman" w:cs="Noto Sans"/>
                <w:sz w:val="18"/>
                <w:szCs w:val="18"/>
                <w:vertAlign w:val="subscript"/>
                <w:lang w:val="en-GB"/>
              </w:rPr>
              <w:t>6</w:t>
            </w:r>
            <w:r w:rsidR="002F7BE7" w:rsidRPr="000C060A">
              <w:rPr>
                <w:rFonts w:eastAsia="Times New Roman" w:cs="Noto Sans"/>
                <w:sz w:val="18"/>
                <w:szCs w:val="18"/>
                <w:vertAlign w:val="subscript"/>
                <w:lang w:val="en-GB"/>
              </w:rPr>
              <w:t>0</w:t>
            </w:r>
            <w:r w:rsidR="002F7BE7" w:rsidRPr="000C060A">
              <w:rPr>
                <w:rFonts w:eastAsia="Times New Roman" w:cs="Noto Sans"/>
                <w:sz w:val="18"/>
                <w:szCs w:val="18"/>
                <w:lang w:val="en-GB"/>
              </w:rPr>
              <w:t>)</w:t>
            </w:r>
            <w:r w:rsidRPr="000C060A">
              <w:rPr>
                <w:rFonts w:eastAsia="Calibri" w:cs="Noto Sans"/>
                <w:sz w:val="18"/>
                <w:szCs w:val="18"/>
              </w:rPr>
              <w:t>.</w:t>
            </w:r>
          </w:p>
        </w:tc>
      </w:tr>
      <w:tr w:rsidR="009F3883" w14:paraId="6DDDD69D"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588E971C" w14:textId="18558BC1" w:rsidR="00DD6025" w:rsidRPr="000C060A" w:rsidRDefault="002E7FAD" w:rsidP="000C060A">
            <w:pPr>
              <w:spacing w:before="60" w:after="60" w:line="240" w:lineRule="auto"/>
              <w:rPr>
                <w:rFonts w:eastAsia="Times New Roman" w:cs="Noto Sans"/>
                <w:b/>
                <w:sz w:val="18"/>
                <w:szCs w:val="18"/>
                <w:lang w:val="en-GB"/>
              </w:rPr>
            </w:pPr>
            <w:r w:rsidRPr="000C060A">
              <w:rPr>
                <w:rFonts w:cs="Noto Sans"/>
                <w:b/>
                <w:sz w:val="18"/>
                <w:szCs w:val="18"/>
              </w:rPr>
              <w:t>Biomass limit reference point (B</w:t>
            </w:r>
            <w:r w:rsidR="006A7ED7" w:rsidRPr="000C060A">
              <w:rPr>
                <w:rFonts w:cs="Noto Sans"/>
                <w:b/>
                <w:i/>
                <w:sz w:val="18"/>
                <w:szCs w:val="18"/>
              </w:rPr>
              <w:t>lim</w:t>
            </w:r>
            <w:r w:rsidRPr="000C060A">
              <w:rPr>
                <w:rFonts w:cs="Noto Sans"/>
                <w:b/>
                <w:sz w:val="18"/>
                <w:szCs w:val="18"/>
              </w:rPr>
              <w:t xml:space="preserve">) </w:t>
            </w:r>
          </w:p>
        </w:tc>
        <w:tc>
          <w:tcPr>
            <w:tcW w:w="6928" w:type="dxa"/>
            <w:tcBorders>
              <w:bottom w:val="single" w:sz="4" w:space="0" w:color="005672"/>
            </w:tcBorders>
            <w:tcMar>
              <w:top w:w="0" w:type="dxa"/>
              <w:left w:w="108" w:type="dxa"/>
              <w:bottom w:w="0" w:type="dxa"/>
              <w:right w:w="108" w:type="dxa"/>
            </w:tcMar>
          </w:tcPr>
          <w:p w14:paraId="7147E309" w14:textId="1814EC51" w:rsidR="00DD6025" w:rsidRPr="000C060A" w:rsidRDefault="002E7FAD" w:rsidP="000C060A">
            <w:pPr>
              <w:spacing w:before="60" w:after="60" w:line="240" w:lineRule="auto"/>
              <w:rPr>
                <w:rFonts w:eastAsia="Calibri" w:cs="Noto Sans"/>
                <w:sz w:val="18"/>
                <w:szCs w:val="18"/>
              </w:rPr>
            </w:pPr>
            <w:r w:rsidRPr="000C060A">
              <w:rPr>
                <w:rFonts w:cs="Noto Sans"/>
                <w:sz w:val="18"/>
                <w:szCs w:val="18"/>
              </w:rPr>
              <w:t xml:space="preserve">The point </w:t>
            </w:r>
            <w:r w:rsidR="00153259" w:rsidRPr="000C060A">
              <w:rPr>
                <w:rFonts w:cs="Noto Sans"/>
                <w:sz w:val="18"/>
                <w:szCs w:val="18"/>
              </w:rPr>
              <w:t>below</w:t>
            </w:r>
            <w:r w:rsidRPr="000C060A">
              <w:rPr>
                <w:rFonts w:cs="Noto Sans"/>
                <w:sz w:val="18"/>
                <w:szCs w:val="18"/>
              </w:rPr>
              <w:t xml:space="preserve"> which the risk to the stock i</w:t>
            </w:r>
            <w:r w:rsidR="00EB77CE" w:rsidRPr="000C060A">
              <w:rPr>
                <w:rFonts w:cs="Noto Sans"/>
                <w:sz w:val="18"/>
                <w:szCs w:val="18"/>
              </w:rPr>
              <w:t>s regarded as unacceptably high</w:t>
            </w:r>
            <w:r w:rsidR="003D03DB" w:rsidRPr="000C060A">
              <w:rPr>
                <w:rFonts w:cs="Noto Sans"/>
                <w:sz w:val="18"/>
                <w:szCs w:val="18"/>
              </w:rPr>
              <w:t xml:space="preserve"> and urgent management action must be taken to rebuild the stock</w:t>
            </w:r>
            <w:r w:rsidR="004F4678" w:rsidRPr="000C060A">
              <w:rPr>
                <w:rFonts w:cs="Noto Sans"/>
                <w:sz w:val="18"/>
                <w:szCs w:val="18"/>
              </w:rPr>
              <w:t>.</w:t>
            </w:r>
            <w:r w:rsidR="002F7BE7" w:rsidRPr="000C060A">
              <w:rPr>
                <w:rFonts w:cs="Noto Sans"/>
                <w:sz w:val="18"/>
                <w:szCs w:val="18"/>
              </w:rPr>
              <w:t xml:space="preserve"> The default limit reference point is 20% of unfished biomass</w:t>
            </w:r>
            <w:r w:rsidR="00431484" w:rsidRPr="000C060A">
              <w:rPr>
                <w:rFonts w:cs="Noto Sans"/>
                <w:sz w:val="18"/>
                <w:szCs w:val="18"/>
              </w:rPr>
              <w:t xml:space="preserve"> </w:t>
            </w:r>
            <w:r w:rsidR="00431484" w:rsidRPr="000C060A">
              <w:rPr>
                <w:rFonts w:eastAsia="Times New Roman" w:cs="Noto Sans"/>
                <w:sz w:val="18"/>
                <w:szCs w:val="18"/>
                <w:lang w:val="en-GB"/>
              </w:rPr>
              <w:t>(B</w:t>
            </w:r>
            <w:r w:rsidR="00431484" w:rsidRPr="000C060A">
              <w:rPr>
                <w:rFonts w:eastAsia="Times New Roman" w:cs="Noto Sans"/>
                <w:sz w:val="18"/>
                <w:szCs w:val="18"/>
                <w:vertAlign w:val="subscript"/>
                <w:lang w:val="en-GB"/>
              </w:rPr>
              <w:t>20</w:t>
            </w:r>
            <w:r w:rsidR="00431484" w:rsidRPr="000C060A">
              <w:rPr>
                <w:rFonts w:eastAsia="Times New Roman" w:cs="Noto Sans"/>
                <w:sz w:val="18"/>
                <w:szCs w:val="18"/>
                <w:lang w:val="en-GB"/>
              </w:rPr>
              <w:t>)</w:t>
            </w:r>
            <w:r w:rsidR="002F7BE7" w:rsidRPr="000C060A">
              <w:rPr>
                <w:rFonts w:cs="Noto Sans"/>
                <w:sz w:val="18"/>
                <w:szCs w:val="18"/>
              </w:rPr>
              <w:t>.</w:t>
            </w:r>
          </w:p>
        </w:tc>
      </w:tr>
      <w:tr w:rsidR="009F3883" w14:paraId="19B4AB35"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4606C6B4" w14:textId="78BF8426" w:rsidR="00DD6025" w:rsidRPr="000C060A" w:rsidRDefault="000857A8" w:rsidP="000C060A">
            <w:pPr>
              <w:spacing w:before="60" w:after="60" w:line="240" w:lineRule="auto"/>
              <w:rPr>
                <w:rFonts w:cs="Noto Sans"/>
                <w:b/>
                <w:sz w:val="18"/>
                <w:szCs w:val="18"/>
                <w:lang w:eastAsia="en-AU"/>
              </w:rPr>
            </w:pPr>
            <w:r w:rsidRPr="000C060A">
              <w:rPr>
                <w:rFonts w:cs="Noto Sans"/>
                <w:b/>
                <w:sz w:val="18"/>
                <w:szCs w:val="18"/>
              </w:rPr>
              <w:t>Target biomass</w:t>
            </w:r>
            <w:r w:rsidR="002E7FAD" w:rsidRPr="000C060A">
              <w:rPr>
                <w:rFonts w:cs="Noto Sans"/>
                <w:b/>
                <w:sz w:val="18"/>
                <w:szCs w:val="18"/>
              </w:rPr>
              <w:t xml:space="preserve"> (B</w:t>
            </w:r>
            <w:r w:rsidR="006A7ED7" w:rsidRPr="000C060A">
              <w:rPr>
                <w:rFonts w:cs="Noto Sans"/>
                <w:b/>
                <w:i/>
                <w:sz w:val="18"/>
                <w:szCs w:val="18"/>
              </w:rPr>
              <w:t>targ</w:t>
            </w:r>
            <w:r w:rsidR="002E7FAD" w:rsidRPr="000C060A">
              <w:rPr>
                <w:rFonts w:cs="Noto Sans"/>
                <w:b/>
                <w:sz w:val="18"/>
                <w:szCs w:val="18"/>
              </w:rPr>
              <w:t>)</w:t>
            </w:r>
          </w:p>
        </w:tc>
        <w:tc>
          <w:tcPr>
            <w:tcW w:w="6928" w:type="dxa"/>
            <w:tcBorders>
              <w:bottom w:val="single" w:sz="4" w:space="0" w:color="005672"/>
            </w:tcBorders>
            <w:tcMar>
              <w:top w:w="0" w:type="dxa"/>
              <w:left w:w="108" w:type="dxa"/>
              <w:bottom w:w="0" w:type="dxa"/>
              <w:right w:w="108" w:type="dxa"/>
            </w:tcMar>
          </w:tcPr>
          <w:p w14:paraId="0D01D0D1" w14:textId="57A160E1" w:rsidR="00DD6025" w:rsidRPr="000C060A" w:rsidRDefault="00367F62" w:rsidP="000C060A">
            <w:pPr>
              <w:spacing w:before="60" w:after="60" w:line="240" w:lineRule="auto"/>
              <w:rPr>
                <w:rFonts w:eastAsia="Calibri" w:cs="Noto Sans"/>
                <w:sz w:val="18"/>
                <w:szCs w:val="18"/>
              </w:rPr>
            </w:pPr>
            <w:r w:rsidRPr="000C060A">
              <w:rPr>
                <w:rFonts w:cs="Noto Sans"/>
                <w:sz w:val="18"/>
                <w:szCs w:val="18"/>
              </w:rPr>
              <w:t>The</w:t>
            </w:r>
            <w:r w:rsidR="00571357" w:rsidRPr="000C060A">
              <w:rPr>
                <w:rFonts w:cs="Noto Sans"/>
                <w:sz w:val="18"/>
                <w:szCs w:val="18"/>
              </w:rPr>
              <w:t xml:space="preserve"> </w:t>
            </w:r>
            <w:r w:rsidR="0029652E" w:rsidRPr="000C060A">
              <w:rPr>
                <w:rFonts w:cs="Noto Sans"/>
                <w:sz w:val="18"/>
                <w:szCs w:val="18"/>
              </w:rPr>
              <w:t xml:space="preserve">target reference point </w:t>
            </w:r>
            <w:r w:rsidR="007C1F06" w:rsidRPr="000C060A">
              <w:rPr>
                <w:rFonts w:cs="Noto Sans"/>
                <w:sz w:val="18"/>
                <w:szCs w:val="18"/>
              </w:rPr>
              <w:t>in terms of</w:t>
            </w:r>
            <w:r w:rsidR="0029652E" w:rsidRPr="000C060A">
              <w:rPr>
                <w:rFonts w:cs="Noto Sans"/>
                <w:sz w:val="18"/>
                <w:szCs w:val="18"/>
              </w:rPr>
              <w:t xml:space="preserve"> the stock</w:t>
            </w:r>
            <w:r w:rsidR="007C1F06" w:rsidRPr="000C060A">
              <w:rPr>
                <w:rFonts w:cs="Noto Sans"/>
                <w:sz w:val="18"/>
                <w:szCs w:val="18"/>
              </w:rPr>
              <w:t>’s biomass</w:t>
            </w:r>
            <w:r w:rsidR="0029652E" w:rsidRPr="000C060A">
              <w:rPr>
                <w:rFonts w:cs="Noto Sans"/>
                <w:sz w:val="18"/>
                <w:szCs w:val="18"/>
              </w:rPr>
              <w:t xml:space="preserve">. </w:t>
            </w:r>
          </w:p>
        </w:tc>
      </w:tr>
      <w:tr w:rsidR="009F3883" w14:paraId="35C2F894"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4EFB8D40" w14:textId="15F972BF" w:rsidR="00135229" w:rsidRPr="000C060A" w:rsidRDefault="002E7FAD" w:rsidP="000C060A">
            <w:pPr>
              <w:spacing w:before="60" w:after="60" w:line="240" w:lineRule="auto"/>
              <w:rPr>
                <w:rFonts w:cs="Noto Sans"/>
                <w:b/>
                <w:sz w:val="18"/>
                <w:szCs w:val="18"/>
                <w:lang w:eastAsia="en-AU"/>
              </w:rPr>
            </w:pPr>
            <w:r w:rsidRPr="000C060A">
              <w:rPr>
                <w:rFonts w:cs="Noto Sans"/>
                <w:b/>
                <w:sz w:val="18"/>
                <w:szCs w:val="18"/>
              </w:rPr>
              <w:t xml:space="preserve">Ecological </w:t>
            </w:r>
            <w:r w:rsidR="002B3E0E" w:rsidRPr="000C060A">
              <w:rPr>
                <w:rFonts w:cs="Noto Sans"/>
                <w:b/>
                <w:sz w:val="18"/>
                <w:szCs w:val="18"/>
              </w:rPr>
              <w:t>r</w:t>
            </w:r>
            <w:r w:rsidRPr="000C060A">
              <w:rPr>
                <w:rFonts w:cs="Noto Sans"/>
                <w:b/>
                <w:sz w:val="18"/>
                <w:szCs w:val="18"/>
              </w:rPr>
              <w:t xml:space="preserve">isk </w:t>
            </w:r>
            <w:r w:rsidR="002B3E0E" w:rsidRPr="000C060A">
              <w:rPr>
                <w:rFonts w:cs="Noto Sans"/>
                <w:b/>
                <w:sz w:val="18"/>
                <w:szCs w:val="18"/>
              </w:rPr>
              <w:t>a</w:t>
            </w:r>
            <w:r w:rsidRPr="000C060A">
              <w:rPr>
                <w:rFonts w:cs="Noto Sans"/>
                <w:b/>
                <w:sz w:val="18"/>
                <w:szCs w:val="18"/>
              </w:rPr>
              <w:t>ssessment (ERA)</w:t>
            </w:r>
          </w:p>
        </w:tc>
        <w:tc>
          <w:tcPr>
            <w:tcW w:w="6928" w:type="dxa"/>
            <w:tcBorders>
              <w:bottom w:val="single" w:sz="4" w:space="0" w:color="005672"/>
            </w:tcBorders>
            <w:tcMar>
              <w:top w:w="0" w:type="dxa"/>
              <w:left w:w="108" w:type="dxa"/>
              <w:bottom w:w="0" w:type="dxa"/>
              <w:right w:w="108" w:type="dxa"/>
            </w:tcMar>
          </w:tcPr>
          <w:p w14:paraId="04C67274" w14:textId="2E30D02C" w:rsidR="00ED39A2" w:rsidRPr="000C060A" w:rsidRDefault="00ED39A2" w:rsidP="000C060A">
            <w:pPr>
              <w:spacing w:before="60" w:after="60" w:line="240" w:lineRule="auto"/>
              <w:rPr>
                <w:rFonts w:cs="Noto Sans"/>
                <w:sz w:val="18"/>
                <w:szCs w:val="18"/>
              </w:rPr>
            </w:pPr>
            <w:r w:rsidRPr="000C060A">
              <w:rPr>
                <w:rFonts w:cs="Noto Sans"/>
                <w:sz w:val="18"/>
                <w:szCs w:val="18"/>
              </w:rPr>
              <w:t>An analysis of the best available information about fishery impacts on target species, non-target and protected species (e.g. dugongs, turtles, dolphins and protected fish) and the broader ecosystem.</w:t>
            </w:r>
          </w:p>
          <w:p w14:paraId="2366B1E2" w14:textId="122FEAC5" w:rsidR="00135229" w:rsidRPr="000C060A" w:rsidRDefault="00ED39A2" w:rsidP="000C060A">
            <w:pPr>
              <w:spacing w:before="60" w:after="60" w:line="240" w:lineRule="auto"/>
              <w:rPr>
                <w:rFonts w:cs="Noto Sans"/>
                <w:sz w:val="18"/>
                <w:szCs w:val="18"/>
              </w:rPr>
            </w:pPr>
            <w:r w:rsidRPr="000C060A">
              <w:rPr>
                <w:rFonts w:cs="Noto Sans"/>
                <w:sz w:val="18"/>
                <w:szCs w:val="18"/>
              </w:rPr>
              <w:t>ERAs identify and measure the ecological risks of fishing activity and identify issues that must be further managed under harvest strategies.</w:t>
            </w:r>
          </w:p>
        </w:tc>
      </w:tr>
      <w:tr w:rsidR="009F3883" w14:paraId="7D4BEAD9"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13C71890" w14:textId="1D111C61" w:rsidR="00DD6025" w:rsidRPr="000C060A" w:rsidRDefault="00143745" w:rsidP="000C060A">
            <w:pPr>
              <w:spacing w:before="60" w:after="60" w:line="240" w:lineRule="auto"/>
              <w:rPr>
                <w:rFonts w:cs="Noto Sans"/>
                <w:b/>
                <w:sz w:val="18"/>
                <w:szCs w:val="18"/>
                <w:lang w:eastAsia="en-AU"/>
              </w:rPr>
            </w:pPr>
            <w:r w:rsidRPr="000C060A">
              <w:rPr>
                <w:rFonts w:cs="Noto Sans"/>
                <w:b/>
                <w:sz w:val="18"/>
                <w:szCs w:val="18"/>
                <w:lang w:eastAsia="en-AU"/>
              </w:rPr>
              <w:t>Fishing mortality (</w:t>
            </w:r>
            <w:r w:rsidR="002E7FAD" w:rsidRPr="000C060A">
              <w:rPr>
                <w:rFonts w:cs="Noto Sans"/>
                <w:b/>
                <w:sz w:val="18"/>
                <w:szCs w:val="18"/>
                <w:lang w:eastAsia="en-AU"/>
              </w:rPr>
              <w:t>F</w:t>
            </w:r>
            <w:r w:rsidRPr="000C060A">
              <w:rPr>
                <w:rFonts w:cs="Noto Sans"/>
                <w:b/>
                <w:sz w:val="18"/>
                <w:szCs w:val="18"/>
                <w:lang w:eastAsia="en-AU"/>
              </w:rPr>
              <w:t>)</w:t>
            </w:r>
          </w:p>
        </w:tc>
        <w:tc>
          <w:tcPr>
            <w:tcW w:w="6928" w:type="dxa"/>
            <w:tcBorders>
              <w:bottom w:val="single" w:sz="4" w:space="0" w:color="005672"/>
            </w:tcBorders>
            <w:tcMar>
              <w:top w:w="0" w:type="dxa"/>
              <w:left w:w="108" w:type="dxa"/>
              <w:bottom w:w="0" w:type="dxa"/>
              <w:right w:w="108" w:type="dxa"/>
            </w:tcMar>
          </w:tcPr>
          <w:p w14:paraId="58061B23" w14:textId="5D55C0D4" w:rsidR="00DD6025" w:rsidRPr="000C060A" w:rsidRDefault="00FF6464" w:rsidP="000C060A">
            <w:pPr>
              <w:spacing w:before="60" w:after="60" w:line="240" w:lineRule="auto"/>
              <w:rPr>
                <w:rFonts w:cs="Noto Sans"/>
                <w:sz w:val="18"/>
                <w:szCs w:val="18"/>
              </w:rPr>
            </w:pPr>
            <w:r w:rsidRPr="000C060A">
              <w:rPr>
                <w:rFonts w:cs="Noto Sans"/>
                <w:sz w:val="18"/>
                <w:szCs w:val="18"/>
              </w:rPr>
              <w:t>Describes the</w:t>
            </w:r>
            <w:r w:rsidR="00BB54BB" w:rsidRPr="000C060A">
              <w:rPr>
                <w:rFonts w:cs="Noto Sans"/>
                <w:sz w:val="18"/>
                <w:szCs w:val="18"/>
              </w:rPr>
              <w:t xml:space="preserve"> part of the </w:t>
            </w:r>
            <w:r w:rsidR="00E54E19" w:rsidRPr="000C060A">
              <w:rPr>
                <w:rFonts w:cs="Noto Sans"/>
                <w:sz w:val="18"/>
                <w:szCs w:val="18"/>
              </w:rPr>
              <w:t xml:space="preserve">stock’s </w:t>
            </w:r>
            <w:r w:rsidR="00585BB9" w:rsidRPr="000C060A">
              <w:rPr>
                <w:rFonts w:cs="Noto Sans"/>
                <w:sz w:val="18"/>
                <w:szCs w:val="18"/>
              </w:rPr>
              <w:t xml:space="preserve">total </w:t>
            </w:r>
            <w:r w:rsidR="00E026B8" w:rsidRPr="000C060A">
              <w:rPr>
                <w:rFonts w:cs="Noto Sans"/>
                <w:sz w:val="18"/>
                <w:szCs w:val="18"/>
              </w:rPr>
              <w:t>mortality rate</w:t>
            </w:r>
            <w:r w:rsidR="00E54E19" w:rsidRPr="000C060A">
              <w:rPr>
                <w:rFonts w:cs="Noto Sans"/>
                <w:sz w:val="18"/>
                <w:szCs w:val="18"/>
              </w:rPr>
              <w:t xml:space="preserve"> due to </w:t>
            </w:r>
            <w:r w:rsidR="00585BB9" w:rsidRPr="000C060A">
              <w:rPr>
                <w:rFonts w:cs="Noto Sans"/>
                <w:sz w:val="18"/>
                <w:szCs w:val="18"/>
              </w:rPr>
              <w:t xml:space="preserve">fishing, often expressed as a rate that indicates the percentage of the population caught in a year. </w:t>
            </w:r>
          </w:p>
        </w:tc>
      </w:tr>
      <w:tr w:rsidR="009F3883" w14:paraId="3DF8BAA6"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7E6853A4" w14:textId="27C71D9F" w:rsidR="00DD6025" w:rsidRPr="000C060A" w:rsidRDefault="005D742F" w:rsidP="000C060A">
            <w:pPr>
              <w:spacing w:before="60" w:after="60" w:line="240" w:lineRule="auto"/>
              <w:rPr>
                <w:rFonts w:cs="Noto Sans"/>
                <w:b/>
                <w:sz w:val="18"/>
                <w:szCs w:val="18"/>
                <w:lang w:eastAsia="en-AU"/>
              </w:rPr>
            </w:pPr>
            <w:r w:rsidRPr="000C060A">
              <w:rPr>
                <w:rFonts w:eastAsia="Times New Roman" w:cs="Noto Sans"/>
                <w:b/>
                <w:sz w:val="18"/>
                <w:szCs w:val="18"/>
                <w:lang w:val="en-GB"/>
              </w:rPr>
              <w:t>Fishing mortality target (</w:t>
            </w:r>
            <w:proofErr w:type="spellStart"/>
            <w:r w:rsidR="002E7FAD" w:rsidRPr="000C060A">
              <w:rPr>
                <w:rFonts w:eastAsia="Times New Roman" w:cs="Noto Sans"/>
                <w:b/>
                <w:sz w:val="18"/>
                <w:szCs w:val="18"/>
                <w:lang w:val="en-GB"/>
              </w:rPr>
              <w:t>F</w:t>
            </w:r>
            <w:r w:rsidR="002E7FAD" w:rsidRPr="000C060A">
              <w:rPr>
                <w:rFonts w:eastAsia="Times New Roman" w:cs="Noto Sans"/>
                <w:b/>
                <w:i/>
                <w:sz w:val="18"/>
                <w:szCs w:val="18"/>
                <w:lang w:val="en-GB"/>
              </w:rPr>
              <w:t>targ</w:t>
            </w:r>
            <w:proofErr w:type="spellEnd"/>
            <w:r w:rsidRPr="000C060A">
              <w:rPr>
                <w:rFonts w:eastAsia="Times New Roman" w:cs="Noto Sans"/>
                <w:b/>
                <w:sz w:val="18"/>
                <w:szCs w:val="18"/>
                <w:lang w:val="en-GB"/>
              </w:rPr>
              <w:t>)</w:t>
            </w:r>
          </w:p>
        </w:tc>
        <w:tc>
          <w:tcPr>
            <w:tcW w:w="6928" w:type="dxa"/>
            <w:tcBorders>
              <w:bottom w:val="single" w:sz="4" w:space="0" w:color="005672"/>
            </w:tcBorders>
            <w:tcMar>
              <w:top w:w="0" w:type="dxa"/>
              <w:left w:w="108" w:type="dxa"/>
              <w:bottom w:w="0" w:type="dxa"/>
              <w:right w:w="108" w:type="dxa"/>
            </w:tcMar>
          </w:tcPr>
          <w:p w14:paraId="035DBBC2" w14:textId="43A767AF" w:rsidR="00DD6025" w:rsidRPr="000C060A" w:rsidRDefault="005D742F" w:rsidP="000C060A">
            <w:pPr>
              <w:spacing w:before="60" w:after="60" w:line="240" w:lineRule="auto"/>
              <w:rPr>
                <w:rFonts w:cs="Noto Sans"/>
                <w:sz w:val="18"/>
                <w:szCs w:val="18"/>
                <w:lang w:eastAsia="en-AU"/>
              </w:rPr>
            </w:pPr>
            <w:r w:rsidRPr="000C060A">
              <w:rPr>
                <w:rFonts w:cs="Noto Sans"/>
                <w:sz w:val="18"/>
                <w:szCs w:val="18"/>
                <w:lang w:eastAsia="en-AU"/>
              </w:rPr>
              <w:t>The f</w:t>
            </w:r>
            <w:r w:rsidR="002E7FAD" w:rsidRPr="000C060A">
              <w:rPr>
                <w:rFonts w:cs="Noto Sans"/>
                <w:sz w:val="18"/>
                <w:szCs w:val="18"/>
                <w:lang w:eastAsia="en-AU"/>
              </w:rPr>
              <w:t xml:space="preserve">ishing mortality </w:t>
            </w:r>
            <w:r w:rsidR="00D40DDD" w:rsidRPr="000C060A">
              <w:rPr>
                <w:rFonts w:cs="Noto Sans"/>
                <w:sz w:val="18"/>
                <w:szCs w:val="18"/>
                <w:lang w:eastAsia="en-AU"/>
              </w:rPr>
              <w:t>that achieves the target biomass (</w:t>
            </w:r>
            <w:r w:rsidR="00D40DDD" w:rsidRPr="000C060A">
              <w:rPr>
                <w:rFonts w:cs="Noto Sans"/>
                <w:sz w:val="18"/>
                <w:szCs w:val="18"/>
              </w:rPr>
              <w:t>B</w:t>
            </w:r>
            <w:r w:rsidR="00D40DDD" w:rsidRPr="000C060A">
              <w:rPr>
                <w:rFonts w:cs="Noto Sans"/>
                <w:i/>
                <w:sz w:val="18"/>
                <w:szCs w:val="18"/>
              </w:rPr>
              <w:t>targ</w:t>
            </w:r>
            <w:r w:rsidR="00D40DDD" w:rsidRPr="000C060A">
              <w:rPr>
                <w:rFonts w:cs="Noto Sans"/>
                <w:sz w:val="18"/>
                <w:szCs w:val="18"/>
                <w:lang w:eastAsia="en-AU"/>
              </w:rPr>
              <w:t>)</w:t>
            </w:r>
            <w:r w:rsidR="004F4678" w:rsidRPr="000C060A">
              <w:rPr>
                <w:rFonts w:cs="Noto Sans"/>
                <w:sz w:val="18"/>
                <w:szCs w:val="18"/>
                <w:lang w:eastAsia="en-AU"/>
              </w:rPr>
              <w:t>.</w:t>
            </w:r>
          </w:p>
        </w:tc>
      </w:tr>
      <w:tr w:rsidR="009F3883" w14:paraId="692B33C6"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0A1D3C7D" w14:textId="73632CC7" w:rsidR="00135229" w:rsidRPr="000C060A" w:rsidRDefault="002E7FAD" w:rsidP="000C060A">
            <w:pPr>
              <w:spacing w:before="60" w:after="60" w:line="240" w:lineRule="auto"/>
              <w:rPr>
                <w:rFonts w:cs="Noto Sans"/>
                <w:b/>
                <w:sz w:val="18"/>
                <w:szCs w:val="18"/>
                <w:lang w:eastAsia="en-AU"/>
              </w:rPr>
            </w:pPr>
            <w:r w:rsidRPr="000C060A">
              <w:rPr>
                <w:rFonts w:cs="Noto Sans"/>
                <w:b/>
                <w:sz w:val="18"/>
                <w:szCs w:val="18"/>
              </w:rPr>
              <w:t xml:space="preserve">Individual </w:t>
            </w:r>
            <w:r w:rsidR="002B3E0E" w:rsidRPr="000C060A">
              <w:rPr>
                <w:rFonts w:cs="Noto Sans"/>
                <w:b/>
                <w:sz w:val="18"/>
                <w:szCs w:val="18"/>
              </w:rPr>
              <w:t>t</w:t>
            </w:r>
            <w:r w:rsidRPr="000C060A">
              <w:rPr>
                <w:rFonts w:cs="Noto Sans"/>
                <w:b/>
                <w:sz w:val="18"/>
                <w:szCs w:val="18"/>
              </w:rPr>
              <w:t xml:space="preserve">ransferable </w:t>
            </w:r>
            <w:r w:rsidR="002B3E0E" w:rsidRPr="000C060A">
              <w:rPr>
                <w:rFonts w:cs="Noto Sans"/>
                <w:b/>
                <w:sz w:val="18"/>
                <w:szCs w:val="18"/>
              </w:rPr>
              <w:t>q</w:t>
            </w:r>
            <w:r w:rsidRPr="000C060A">
              <w:rPr>
                <w:rFonts w:cs="Noto Sans"/>
                <w:b/>
                <w:sz w:val="18"/>
                <w:szCs w:val="18"/>
              </w:rPr>
              <w:t>uota</w:t>
            </w:r>
          </w:p>
        </w:tc>
        <w:tc>
          <w:tcPr>
            <w:tcW w:w="6928" w:type="dxa"/>
            <w:tcBorders>
              <w:bottom w:val="single" w:sz="4" w:space="0" w:color="005672"/>
            </w:tcBorders>
            <w:tcMar>
              <w:top w:w="0" w:type="dxa"/>
              <w:left w:w="108" w:type="dxa"/>
              <w:bottom w:w="0" w:type="dxa"/>
              <w:right w:w="108" w:type="dxa"/>
            </w:tcMar>
          </w:tcPr>
          <w:p w14:paraId="1EA63425" w14:textId="1A8CFC60" w:rsidR="00135229" w:rsidRPr="000C060A" w:rsidRDefault="00203B71" w:rsidP="000C060A">
            <w:pPr>
              <w:spacing w:before="60" w:after="60" w:line="240" w:lineRule="auto"/>
              <w:rPr>
                <w:rFonts w:cs="Noto Sans"/>
                <w:sz w:val="18"/>
                <w:szCs w:val="18"/>
                <w:lang w:eastAsia="en-AU"/>
              </w:rPr>
            </w:pPr>
            <w:r w:rsidRPr="000C060A">
              <w:rPr>
                <w:rFonts w:cs="Noto Sans"/>
                <w:sz w:val="18"/>
                <w:szCs w:val="18"/>
              </w:rPr>
              <w:t xml:space="preserve">A </w:t>
            </w:r>
            <w:r w:rsidR="00026B2F" w:rsidRPr="000C060A">
              <w:rPr>
                <w:rFonts w:cs="Noto Sans"/>
                <w:sz w:val="18"/>
                <w:szCs w:val="18"/>
              </w:rPr>
              <w:t xml:space="preserve">fully </w:t>
            </w:r>
            <w:r w:rsidR="00080C0E" w:rsidRPr="000C060A">
              <w:rPr>
                <w:rFonts w:cs="Noto Sans"/>
                <w:sz w:val="18"/>
                <w:szCs w:val="18"/>
              </w:rPr>
              <w:t>tradeable</w:t>
            </w:r>
            <w:r w:rsidR="00173FE3" w:rsidRPr="000C060A">
              <w:rPr>
                <w:rFonts w:cs="Noto Sans"/>
                <w:sz w:val="18"/>
                <w:szCs w:val="18"/>
              </w:rPr>
              <w:t xml:space="preserve"> </w:t>
            </w:r>
            <w:r w:rsidR="00BD05DA" w:rsidRPr="000C060A">
              <w:rPr>
                <w:rFonts w:cs="Noto Sans"/>
                <w:sz w:val="18"/>
                <w:szCs w:val="18"/>
              </w:rPr>
              <w:t>catch share allocated to individual</w:t>
            </w:r>
            <w:r w:rsidR="00FD1B0C" w:rsidRPr="000C060A">
              <w:rPr>
                <w:rFonts w:cs="Noto Sans"/>
                <w:sz w:val="18"/>
                <w:szCs w:val="18"/>
              </w:rPr>
              <w:t xml:space="preserve"> fishers </w:t>
            </w:r>
            <w:r w:rsidR="00BD05DA" w:rsidRPr="000C060A">
              <w:rPr>
                <w:rFonts w:cs="Noto Sans"/>
                <w:sz w:val="18"/>
                <w:szCs w:val="18"/>
              </w:rPr>
              <w:t>or</w:t>
            </w:r>
            <w:r w:rsidR="00FD1B0C" w:rsidRPr="000C060A">
              <w:rPr>
                <w:rFonts w:cs="Noto Sans"/>
                <w:sz w:val="18"/>
                <w:szCs w:val="18"/>
              </w:rPr>
              <w:t xml:space="preserve"> companies </w:t>
            </w:r>
            <w:r w:rsidR="00026B2F" w:rsidRPr="000C060A">
              <w:rPr>
                <w:rFonts w:cs="Noto Sans"/>
                <w:sz w:val="18"/>
                <w:szCs w:val="18"/>
              </w:rPr>
              <w:t xml:space="preserve">that allows the holder to catch </w:t>
            </w:r>
            <w:r w:rsidR="004E6AA3" w:rsidRPr="000C060A">
              <w:rPr>
                <w:rFonts w:cs="Noto Sans"/>
                <w:sz w:val="18"/>
                <w:szCs w:val="18"/>
              </w:rPr>
              <w:t>a portion of the total allowable commercial catch (TACC)</w:t>
            </w:r>
            <w:r w:rsidR="00026B2F" w:rsidRPr="000C060A">
              <w:rPr>
                <w:rFonts w:cs="Noto Sans"/>
                <w:sz w:val="18"/>
                <w:szCs w:val="18"/>
              </w:rPr>
              <w:t xml:space="preserve"> each fishing season</w:t>
            </w:r>
            <w:r w:rsidR="004E6AA3" w:rsidRPr="000C060A">
              <w:rPr>
                <w:rFonts w:cs="Noto Sans"/>
                <w:sz w:val="18"/>
                <w:szCs w:val="18"/>
              </w:rPr>
              <w:t>.</w:t>
            </w:r>
            <w:r w:rsidR="00C977B2" w:rsidRPr="000C060A">
              <w:rPr>
                <w:rFonts w:cs="Noto Sans"/>
                <w:sz w:val="18"/>
                <w:szCs w:val="18"/>
              </w:rPr>
              <w:t xml:space="preserve"> </w:t>
            </w:r>
            <w:r w:rsidR="00B35E6F" w:rsidRPr="000C060A">
              <w:rPr>
                <w:rFonts w:cs="Noto Sans"/>
                <w:sz w:val="18"/>
                <w:szCs w:val="18"/>
              </w:rPr>
              <w:t>Usually assigned a weight value in kilograms that</w:t>
            </w:r>
            <w:r w:rsidR="00AB5210" w:rsidRPr="000C060A">
              <w:rPr>
                <w:rFonts w:cs="Noto Sans"/>
                <w:sz w:val="18"/>
                <w:szCs w:val="18"/>
              </w:rPr>
              <w:t xml:space="preserve"> will change </w:t>
            </w:r>
            <w:r w:rsidR="00E943A2" w:rsidRPr="000C060A">
              <w:rPr>
                <w:rFonts w:cs="Noto Sans"/>
                <w:sz w:val="18"/>
                <w:szCs w:val="18"/>
              </w:rPr>
              <w:t xml:space="preserve">as the TACC is set for each season. </w:t>
            </w:r>
          </w:p>
        </w:tc>
      </w:tr>
      <w:tr w:rsidR="009F3883" w14:paraId="490FFFD0"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396E25F2" w14:textId="69D6A52F" w:rsidR="00135229" w:rsidRPr="000C060A" w:rsidRDefault="002E7FAD" w:rsidP="000C060A">
            <w:pPr>
              <w:widowControl w:val="0"/>
              <w:spacing w:before="60" w:after="60" w:line="240" w:lineRule="auto"/>
              <w:rPr>
                <w:rFonts w:cs="Noto Sans"/>
                <w:b/>
                <w:sz w:val="18"/>
                <w:szCs w:val="18"/>
                <w:lang w:eastAsia="en-AU"/>
              </w:rPr>
            </w:pPr>
            <w:r w:rsidRPr="000C060A">
              <w:rPr>
                <w:rFonts w:cs="Noto Sans"/>
                <w:b/>
                <w:sz w:val="18"/>
                <w:szCs w:val="18"/>
              </w:rPr>
              <w:t xml:space="preserve">Maximum </w:t>
            </w:r>
            <w:r w:rsidR="00D9351B" w:rsidRPr="000C060A">
              <w:rPr>
                <w:rFonts w:cs="Noto Sans"/>
                <w:b/>
                <w:sz w:val="18"/>
                <w:szCs w:val="18"/>
              </w:rPr>
              <w:t>e</w:t>
            </w:r>
            <w:r w:rsidRPr="000C060A">
              <w:rPr>
                <w:rFonts w:cs="Noto Sans"/>
                <w:b/>
                <w:sz w:val="18"/>
                <w:szCs w:val="18"/>
              </w:rPr>
              <w:t xml:space="preserve">conomic </w:t>
            </w:r>
            <w:r w:rsidR="00D9351B" w:rsidRPr="000C060A">
              <w:rPr>
                <w:rFonts w:cs="Noto Sans"/>
                <w:b/>
                <w:sz w:val="18"/>
                <w:szCs w:val="18"/>
              </w:rPr>
              <w:t>y</w:t>
            </w:r>
            <w:r w:rsidRPr="000C060A">
              <w:rPr>
                <w:rFonts w:cs="Noto Sans"/>
                <w:b/>
                <w:sz w:val="18"/>
                <w:szCs w:val="18"/>
              </w:rPr>
              <w:t>ield (MEY)</w:t>
            </w:r>
          </w:p>
        </w:tc>
        <w:tc>
          <w:tcPr>
            <w:tcW w:w="6928" w:type="dxa"/>
            <w:tcBorders>
              <w:bottom w:val="single" w:sz="4" w:space="0" w:color="005672"/>
            </w:tcBorders>
            <w:tcMar>
              <w:top w:w="0" w:type="dxa"/>
              <w:left w:w="108" w:type="dxa"/>
              <w:bottom w:w="0" w:type="dxa"/>
              <w:right w:w="108" w:type="dxa"/>
            </w:tcMar>
          </w:tcPr>
          <w:p w14:paraId="51B287C9" w14:textId="7C4D97AF" w:rsidR="00135229" w:rsidRPr="000C060A" w:rsidRDefault="00B20915" w:rsidP="000C060A">
            <w:pPr>
              <w:spacing w:before="60" w:after="60" w:line="240" w:lineRule="auto"/>
              <w:rPr>
                <w:rFonts w:cs="Noto Sans"/>
                <w:sz w:val="18"/>
                <w:szCs w:val="18"/>
              </w:rPr>
            </w:pPr>
            <w:r w:rsidRPr="000C060A">
              <w:rPr>
                <w:rFonts w:cs="Noto Sans"/>
                <w:sz w:val="18"/>
                <w:szCs w:val="18"/>
              </w:rPr>
              <w:t>The s</w:t>
            </w:r>
            <w:r w:rsidR="002E7FAD" w:rsidRPr="000C060A">
              <w:rPr>
                <w:rFonts w:cs="Noto Sans"/>
                <w:sz w:val="18"/>
                <w:szCs w:val="18"/>
              </w:rPr>
              <w:t xml:space="preserve">ustainable level of </w:t>
            </w:r>
            <w:r w:rsidR="009F2331" w:rsidRPr="000C060A">
              <w:rPr>
                <w:rFonts w:cs="Noto Sans"/>
                <w:sz w:val="18"/>
                <w:szCs w:val="18"/>
              </w:rPr>
              <w:t xml:space="preserve">annual </w:t>
            </w:r>
            <w:r w:rsidR="002E7FAD" w:rsidRPr="000C060A">
              <w:rPr>
                <w:rFonts w:cs="Noto Sans"/>
                <w:sz w:val="18"/>
                <w:szCs w:val="18"/>
              </w:rPr>
              <w:t>harvest that allows net economic r</w:t>
            </w:r>
            <w:r w:rsidR="00EB77CE" w:rsidRPr="000C060A">
              <w:rPr>
                <w:rFonts w:cs="Noto Sans"/>
                <w:sz w:val="18"/>
                <w:szCs w:val="18"/>
              </w:rPr>
              <w:t>eturns to be maximised</w:t>
            </w:r>
            <w:r w:rsidR="00226086" w:rsidRPr="000C060A">
              <w:rPr>
                <w:rFonts w:cs="Noto Sans"/>
                <w:sz w:val="18"/>
                <w:szCs w:val="18"/>
              </w:rPr>
              <w:t xml:space="preserve"> (</w:t>
            </w:r>
            <w:r w:rsidR="0065476D" w:rsidRPr="000C060A">
              <w:rPr>
                <w:rFonts w:cs="Noto Sans"/>
                <w:sz w:val="18"/>
                <w:szCs w:val="18"/>
              </w:rPr>
              <w:t>the l</w:t>
            </w:r>
            <w:r w:rsidR="0070510C" w:rsidRPr="000C060A">
              <w:rPr>
                <w:rFonts w:cs="Noto Sans"/>
                <w:sz w:val="18"/>
                <w:szCs w:val="18"/>
              </w:rPr>
              <w:t xml:space="preserve">argest positive difference between total revenue and total costs of fishing, </w:t>
            </w:r>
            <w:r w:rsidR="009F2331" w:rsidRPr="000C060A">
              <w:rPr>
                <w:rFonts w:cs="Noto Sans"/>
                <w:sz w:val="18"/>
                <w:szCs w:val="18"/>
              </w:rPr>
              <w:t xml:space="preserve">which equals the maximum profit). </w:t>
            </w:r>
          </w:p>
        </w:tc>
      </w:tr>
      <w:tr w:rsidR="009F3883" w14:paraId="12BC43F3"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05D5A795" w14:textId="15ADB4BD" w:rsidR="00135229" w:rsidRPr="000C060A" w:rsidRDefault="002E7FAD" w:rsidP="000C060A">
            <w:pPr>
              <w:widowControl w:val="0"/>
              <w:spacing w:before="60" w:after="60" w:line="240" w:lineRule="auto"/>
              <w:rPr>
                <w:rFonts w:cs="Noto Sans"/>
                <w:b/>
                <w:sz w:val="18"/>
                <w:szCs w:val="18"/>
                <w:lang w:eastAsia="en-AU"/>
              </w:rPr>
            </w:pPr>
            <w:r w:rsidRPr="000C060A">
              <w:rPr>
                <w:rFonts w:cs="Noto Sans"/>
                <w:b/>
                <w:sz w:val="18"/>
                <w:szCs w:val="18"/>
              </w:rPr>
              <w:t xml:space="preserve">Maximum </w:t>
            </w:r>
            <w:r w:rsidR="00D9351B" w:rsidRPr="000C060A">
              <w:rPr>
                <w:rFonts w:cs="Noto Sans"/>
                <w:b/>
                <w:sz w:val="18"/>
                <w:szCs w:val="18"/>
              </w:rPr>
              <w:t>s</w:t>
            </w:r>
            <w:r w:rsidRPr="000C060A">
              <w:rPr>
                <w:rFonts w:cs="Noto Sans"/>
                <w:b/>
                <w:sz w:val="18"/>
                <w:szCs w:val="18"/>
              </w:rPr>
              <w:t xml:space="preserve">ustainable </w:t>
            </w:r>
            <w:r w:rsidR="00D9351B" w:rsidRPr="000C060A">
              <w:rPr>
                <w:rFonts w:cs="Noto Sans"/>
                <w:b/>
                <w:sz w:val="18"/>
                <w:szCs w:val="18"/>
              </w:rPr>
              <w:t>y</w:t>
            </w:r>
            <w:r w:rsidRPr="000C060A">
              <w:rPr>
                <w:rFonts w:cs="Noto Sans"/>
                <w:b/>
                <w:sz w:val="18"/>
                <w:szCs w:val="18"/>
              </w:rPr>
              <w:t>ield</w:t>
            </w:r>
            <w:r w:rsidR="00430B7E" w:rsidRPr="000C060A">
              <w:rPr>
                <w:rFonts w:cs="Noto Sans"/>
                <w:b/>
                <w:sz w:val="18"/>
                <w:szCs w:val="18"/>
              </w:rPr>
              <w:t xml:space="preserve"> </w:t>
            </w:r>
            <w:r w:rsidRPr="000C060A">
              <w:rPr>
                <w:rFonts w:cs="Noto Sans"/>
                <w:b/>
                <w:sz w:val="18"/>
                <w:szCs w:val="18"/>
              </w:rPr>
              <w:t>(MSY)</w:t>
            </w:r>
          </w:p>
        </w:tc>
        <w:tc>
          <w:tcPr>
            <w:tcW w:w="6928" w:type="dxa"/>
            <w:tcBorders>
              <w:bottom w:val="single" w:sz="4" w:space="0" w:color="005672"/>
            </w:tcBorders>
            <w:tcMar>
              <w:top w:w="0" w:type="dxa"/>
              <w:left w:w="108" w:type="dxa"/>
              <w:bottom w:w="0" w:type="dxa"/>
              <w:right w:w="108" w:type="dxa"/>
            </w:tcMar>
          </w:tcPr>
          <w:p w14:paraId="708AAA82" w14:textId="0E6913B8" w:rsidR="00135229" w:rsidRPr="000C060A" w:rsidRDefault="002E7FAD" w:rsidP="000C060A">
            <w:pPr>
              <w:spacing w:before="60" w:after="60" w:line="240" w:lineRule="auto"/>
              <w:rPr>
                <w:rFonts w:cs="Noto Sans"/>
                <w:sz w:val="18"/>
                <w:szCs w:val="18"/>
              </w:rPr>
            </w:pPr>
            <w:r w:rsidRPr="000C060A">
              <w:rPr>
                <w:rFonts w:cs="Noto Sans"/>
                <w:sz w:val="18"/>
                <w:szCs w:val="18"/>
              </w:rPr>
              <w:t xml:space="preserve">The maximum annual </w:t>
            </w:r>
            <w:r w:rsidR="009F2331" w:rsidRPr="000C060A">
              <w:rPr>
                <w:rFonts w:cs="Noto Sans"/>
                <w:sz w:val="18"/>
                <w:szCs w:val="18"/>
              </w:rPr>
              <w:t xml:space="preserve">harvest that can be removed from the stock </w:t>
            </w:r>
            <w:r w:rsidRPr="000C060A">
              <w:rPr>
                <w:rFonts w:cs="Noto Sans"/>
                <w:sz w:val="18"/>
                <w:szCs w:val="18"/>
              </w:rPr>
              <w:t>over an indefinite period under prev</w:t>
            </w:r>
            <w:r w:rsidR="00EB77CE" w:rsidRPr="000C060A">
              <w:rPr>
                <w:rFonts w:cs="Noto Sans"/>
                <w:sz w:val="18"/>
                <w:szCs w:val="18"/>
              </w:rPr>
              <w:t>ailing environmental conditions</w:t>
            </w:r>
            <w:r w:rsidR="004F4678" w:rsidRPr="000C060A">
              <w:rPr>
                <w:rFonts w:cs="Noto Sans"/>
                <w:sz w:val="18"/>
                <w:szCs w:val="18"/>
              </w:rPr>
              <w:t>.</w:t>
            </w:r>
          </w:p>
        </w:tc>
      </w:tr>
      <w:tr w:rsidR="00466B7E" w14:paraId="2D37538B"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41089E01" w14:textId="757F1A8F" w:rsidR="00466B7E" w:rsidRPr="000C060A" w:rsidRDefault="00466B7E" w:rsidP="000C060A">
            <w:pPr>
              <w:spacing w:before="60" w:after="60" w:line="240" w:lineRule="auto"/>
              <w:rPr>
                <w:rFonts w:cs="Noto Sans"/>
                <w:b/>
                <w:sz w:val="18"/>
                <w:szCs w:val="18"/>
                <w:lang w:eastAsia="en-AU"/>
              </w:rPr>
            </w:pPr>
            <w:r w:rsidRPr="000C060A">
              <w:rPr>
                <w:rFonts w:cs="Noto Sans"/>
                <w:b/>
                <w:sz w:val="18"/>
                <w:szCs w:val="18"/>
                <w:lang w:eastAsia="en-AU"/>
              </w:rPr>
              <w:t xml:space="preserve">Spawning stock biomass </w:t>
            </w:r>
          </w:p>
        </w:tc>
        <w:tc>
          <w:tcPr>
            <w:tcW w:w="6928" w:type="dxa"/>
            <w:tcBorders>
              <w:bottom w:val="single" w:sz="4" w:space="0" w:color="005672"/>
            </w:tcBorders>
            <w:tcMar>
              <w:top w:w="0" w:type="dxa"/>
              <w:left w:w="108" w:type="dxa"/>
              <w:bottom w:w="0" w:type="dxa"/>
              <w:right w:w="108" w:type="dxa"/>
            </w:tcMar>
          </w:tcPr>
          <w:p w14:paraId="02A2738B" w14:textId="77777777" w:rsidR="00466B7E" w:rsidRPr="000C060A" w:rsidRDefault="00466B7E" w:rsidP="000C060A">
            <w:pPr>
              <w:spacing w:before="60" w:after="60" w:line="240" w:lineRule="auto"/>
              <w:rPr>
                <w:rFonts w:cs="Noto Sans"/>
                <w:sz w:val="18"/>
                <w:szCs w:val="18"/>
                <w:lang w:eastAsia="en-AU"/>
              </w:rPr>
            </w:pPr>
            <w:r w:rsidRPr="000C060A">
              <w:rPr>
                <w:rFonts w:cs="Noto Sans"/>
                <w:sz w:val="18"/>
                <w:szCs w:val="18"/>
                <w:lang w:eastAsia="en-AU"/>
              </w:rPr>
              <w:t>An indicator of the status of the stock and its reproductive capacity. It can be defined as total egg production or the combined weight of all individuals in a fish stock (usually females only) that have reached sexual maturity and are capable of reproducing.</w:t>
            </w:r>
          </w:p>
        </w:tc>
      </w:tr>
      <w:tr w:rsidR="009F3883" w14:paraId="5764A521"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24BB8916" w14:textId="32256CB7" w:rsidR="00DD6025" w:rsidRPr="000C060A" w:rsidRDefault="001D6247" w:rsidP="004573FB">
            <w:pPr>
              <w:keepNext/>
              <w:spacing w:before="60" w:after="60" w:line="240" w:lineRule="auto"/>
              <w:rPr>
                <w:rFonts w:cs="Noto Sans"/>
                <w:b/>
                <w:sz w:val="18"/>
                <w:szCs w:val="18"/>
                <w:lang w:eastAsia="en-AU"/>
              </w:rPr>
            </w:pPr>
            <w:r w:rsidRPr="000C060A">
              <w:rPr>
                <w:rFonts w:cs="Noto Sans"/>
                <w:b/>
                <w:sz w:val="18"/>
                <w:szCs w:val="18"/>
                <w:lang w:eastAsia="en-AU"/>
              </w:rPr>
              <w:lastRenderedPageBreak/>
              <w:t>Status of Australian Fish Stocks (</w:t>
            </w:r>
            <w:r w:rsidR="002E7FAD" w:rsidRPr="000C060A">
              <w:rPr>
                <w:rFonts w:cs="Noto Sans"/>
                <w:b/>
                <w:sz w:val="18"/>
                <w:szCs w:val="18"/>
                <w:lang w:eastAsia="en-AU"/>
              </w:rPr>
              <w:t>SAFS</w:t>
            </w:r>
            <w:r w:rsidRPr="000C060A">
              <w:rPr>
                <w:rFonts w:cs="Noto Sans"/>
                <w:b/>
                <w:sz w:val="18"/>
                <w:szCs w:val="18"/>
                <w:lang w:eastAsia="en-AU"/>
              </w:rPr>
              <w:t>)</w:t>
            </w:r>
          </w:p>
        </w:tc>
        <w:tc>
          <w:tcPr>
            <w:tcW w:w="6928" w:type="dxa"/>
            <w:tcBorders>
              <w:bottom w:val="single" w:sz="4" w:space="0" w:color="005672"/>
            </w:tcBorders>
            <w:tcMar>
              <w:top w:w="0" w:type="dxa"/>
              <w:left w:w="108" w:type="dxa"/>
              <w:bottom w:w="0" w:type="dxa"/>
              <w:right w:w="108" w:type="dxa"/>
            </w:tcMar>
          </w:tcPr>
          <w:p w14:paraId="4986E74F" w14:textId="18809966" w:rsidR="00DD6025" w:rsidRPr="000C060A" w:rsidRDefault="002A62B0" w:rsidP="004573FB">
            <w:pPr>
              <w:keepNext/>
              <w:spacing w:before="60" w:after="60" w:line="240" w:lineRule="auto"/>
              <w:rPr>
                <w:rFonts w:cs="Noto Sans"/>
                <w:sz w:val="18"/>
                <w:szCs w:val="18"/>
              </w:rPr>
            </w:pPr>
            <w:r w:rsidRPr="000C060A">
              <w:rPr>
                <w:rFonts w:cs="Noto Sans"/>
                <w:sz w:val="18"/>
                <w:szCs w:val="18"/>
                <w:lang w:eastAsia="en-AU"/>
              </w:rPr>
              <w:t>A</w:t>
            </w:r>
            <w:r w:rsidR="003949CD" w:rsidRPr="000C060A">
              <w:rPr>
                <w:rFonts w:cs="Noto Sans"/>
                <w:sz w:val="18"/>
                <w:szCs w:val="18"/>
                <w:lang w:eastAsia="en-AU"/>
              </w:rPr>
              <w:t xml:space="preserve"> </w:t>
            </w:r>
            <w:r w:rsidR="008439B6" w:rsidRPr="000C060A">
              <w:rPr>
                <w:rFonts w:cs="Noto Sans"/>
                <w:sz w:val="18"/>
                <w:szCs w:val="18"/>
                <w:lang w:eastAsia="en-AU"/>
              </w:rPr>
              <w:t>series of assessments of the biological sustainability of a broad range of wild-caught fish stocks against a nationally agreed framework.</w:t>
            </w:r>
            <w:r w:rsidR="00221CE4" w:rsidRPr="000C060A">
              <w:rPr>
                <w:rFonts w:cs="Noto Sans"/>
                <w:sz w:val="18"/>
                <w:szCs w:val="18"/>
                <w:lang w:eastAsia="en-AU"/>
              </w:rPr>
              <w:t xml:space="preserve"> Reports are published that </w:t>
            </w:r>
            <w:r w:rsidR="00984BA2" w:rsidRPr="000C060A">
              <w:rPr>
                <w:rFonts w:cs="Noto Sans"/>
                <w:sz w:val="18"/>
                <w:szCs w:val="18"/>
                <w:lang w:eastAsia="en-AU"/>
              </w:rPr>
              <w:t xml:space="preserve">determine whether the abundance of fish and the level of harvest </w:t>
            </w:r>
            <w:r w:rsidR="00434262" w:rsidRPr="000C060A">
              <w:rPr>
                <w:rFonts w:cs="Noto Sans"/>
                <w:sz w:val="18"/>
                <w:szCs w:val="18"/>
                <w:lang w:eastAsia="en-AU"/>
              </w:rPr>
              <w:t xml:space="preserve">from the stock can be considered sustainable. </w:t>
            </w:r>
          </w:p>
        </w:tc>
      </w:tr>
      <w:tr w:rsidR="009F3883" w14:paraId="758E2F3F"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4B1FBE40" w14:textId="1F1AF2C7" w:rsidR="00135229" w:rsidRPr="000C060A" w:rsidRDefault="002E7FAD" w:rsidP="000C060A">
            <w:pPr>
              <w:spacing w:before="60" w:after="60" w:line="240" w:lineRule="auto"/>
              <w:rPr>
                <w:rFonts w:cs="Noto Sans"/>
                <w:b/>
                <w:sz w:val="18"/>
                <w:szCs w:val="18"/>
                <w:lang w:eastAsia="en-AU"/>
              </w:rPr>
            </w:pPr>
            <w:r w:rsidRPr="000C060A">
              <w:rPr>
                <w:rFonts w:cs="Noto Sans"/>
                <w:b/>
                <w:sz w:val="18"/>
                <w:szCs w:val="18"/>
              </w:rPr>
              <w:t xml:space="preserve">Total </w:t>
            </w:r>
            <w:r w:rsidR="00D9351B" w:rsidRPr="000C060A">
              <w:rPr>
                <w:rFonts w:cs="Noto Sans"/>
                <w:b/>
                <w:sz w:val="18"/>
                <w:szCs w:val="18"/>
              </w:rPr>
              <w:t>a</w:t>
            </w:r>
            <w:r w:rsidRPr="000C060A">
              <w:rPr>
                <w:rFonts w:cs="Noto Sans"/>
                <w:b/>
                <w:sz w:val="18"/>
                <w:szCs w:val="18"/>
              </w:rPr>
              <w:t xml:space="preserve">llowable </w:t>
            </w:r>
            <w:r w:rsidR="00D9351B" w:rsidRPr="000C060A">
              <w:rPr>
                <w:rFonts w:cs="Noto Sans"/>
                <w:b/>
                <w:sz w:val="18"/>
                <w:szCs w:val="18"/>
              </w:rPr>
              <w:t>c</w:t>
            </w:r>
            <w:r w:rsidRPr="000C060A">
              <w:rPr>
                <w:rFonts w:cs="Noto Sans"/>
                <w:b/>
                <w:sz w:val="18"/>
                <w:szCs w:val="18"/>
              </w:rPr>
              <w:t>atch (TAC)</w:t>
            </w:r>
          </w:p>
        </w:tc>
        <w:tc>
          <w:tcPr>
            <w:tcW w:w="6928" w:type="dxa"/>
            <w:tcBorders>
              <w:bottom w:val="single" w:sz="4" w:space="0" w:color="005672"/>
            </w:tcBorders>
            <w:tcMar>
              <w:top w:w="0" w:type="dxa"/>
              <w:left w:w="108" w:type="dxa"/>
              <w:bottom w:w="0" w:type="dxa"/>
              <w:right w:w="108" w:type="dxa"/>
            </w:tcMar>
          </w:tcPr>
          <w:p w14:paraId="1BD2803C" w14:textId="63D6A10A" w:rsidR="00135229" w:rsidRPr="000C060A" w:rsidRDefault="005D1F94" w:rsidP="000C060A">
            <w:pPr>
              <w:spacing w:before="60" w:after="60" w:line="240" w:lineRule="auto"/>
              <w:rPr>
                <w:rFonts w:cs="Noto Sans"/>
                <w:sz w:val="18"/>
                <w:szCs w:val="18"/>
              </w:rPr>
            </w:pPr>
            <w:r w:rsidRPr="000C060A">
              <w:rPr>
                <w:rFonts w:cs="Noto Sans"/>
                <w:sz w:val="18"/>
                <w:szCs w:val="18"/>
              </w:rPr>
              <w:t>A harvest limit that is set as an output control on fishing for all sectors, specifying the</w:t>
            </w:r>
            <w:r w:rsidR="00DA63A6" w:rsidRPr="000C060A">
              <w:rPr>
                <w:rFonts w:cs="Noto Sans"/>
                <w:sz w:val="18"/>
                <w:szCs w:val="18"/>
              </w:rPr>
              <w:t xml:space="preserve"> total amount of fish that can be taken from a fishery </w:t>
            </w:r>
            <w:r w:rsidRPr="000C060A">
              <w:rPr>
                <w:rFonts w:cs="Noto Sans"/>
                <w:sz w:val="18"/>
                <w:szCs w:val="18"/>
              </w:rPr>
              <w:t>each year</w:t>
            </w:r>
            <w:r w:rsidR="004F4678" w:rsidRPr="000C060A">
              <w:rPr>
                <w:rFonts w:cs="Noto Sans"/>
                <w:sz w:val="18"/>
                <w:szCs w:val="18"/>
              </w:rPr>
              <w:t>.</w:t>
            </w:r>
          </w:p>
        </w:tc>
      </w:tr>
      <w:tr w:rsidR="009F3883" w14:paraId="441B4C5D"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6AB77F97" w14:textId="5247842A" w:rsidR="00135229" w:rsidRPr="000C060A" w:rsidRDefault="002E7FAD" w:rsidP="000C060A">
            <w:pPr>
              <w:spacing w:before="60" w:after="60" w:line="240" w:lineRule="auto"/>
              <w:rPr>
                <w:rFonts w:cs="Noto Sans"/>
                <w:b/>
                <w:sz w:val="18"/>
                <w:szCs w:val="18"/>
                <w:lang w:eastAsia="en-AU"/>
              </w:rPr>
            </w:pPr>
            <w:r w:rsidRPr="000C060A">
              <w:rPr>
                <w:rFonts w:cs="Noto Sans"/>
                <w:b/>
                <w:sz w:val="18"/>
                <w:szCs w:val="18"/>
              </w:rPr>
              <w:t xml:space="preserve">Total </w:t>
            </w:r>
            <w:r w:rsidR="00D9351B" w:rsidRPr="000C060A">
              <w:rPr>
                <w:rFonts w:cs="Noto Sans"/>
                <w:b/>
                <w:sz w:val="18"/>
                <w:szCs w:val="18"/>
              </w:rPr>
              <w:t>a</w:t>
            </w:r>
            <w:r w:rsidRPr="000C060A">
              <w:rPr>
                <w:rFonts w:cs="Noto Sans"/>
                <w:b/>
                <w:sz w:val="18"/>
                <w:szCs w:val="18"/>
              </w:rPr>
              <w:t>l</w:t>
            </w:r>
            <w:r w:rsidR="00EB77CE" w:rsidRPr="000C060A">
              <w:rPr>
                <w:rFonts w:cs="Noto Sans"/>
                <w:b/>
                <w:sz w:val="18"/>
                <w:szCs w:val="18"/>
              </w:rPr>
              <w:t xml:space="preserve">lowable </w:t>
            </w:r>
            <w:r w:rsidR="00D9351B" w:rsidRPr="000C060A">
              <w:rPr>
                <w:rFonts w:cs="Noto Sans"/>
                <w:b/>
                <w:sz w:val="18"/>
                <w:szCs w:val="18"/>
              </w:rPr>
              <w:t>c</w:t>
            </w:r>
            <w:r w:rsidR="00EB77CE" w:rsidRPr="000C060A">
              <w:rPr>
                <w:rFonts w:cs="Noto Sans"/>
                <w:b/>
                <w:sz w:val="18"/>
                <w:szCs w:val="18"/>
              </w:rPr>
              <w:t xml:space="preserve">ommercial </w:t>
            </w:r>
            <w:r w:rsidR="00D9351B" w:rsidRPr="000C060A">
              <w:rPr>
                <w:rFonts w:cs="Noto Sans"/>
                <w:b/>
                <w:sz w:val="18"/>
                <w:szCs w:val="18"/>
              </w:rPr>
              <w:t>c</w:t>
            </w:r>
            <w:r w:rsidR="00EB77CE" w:rsidRPr="000C060A">
              <w:rPr>
                <w:rFonts w:cs="Noto Sans"/>
                <w:b/>
                <w:sz w:val="18"/>
                <w:szCs w:val="18"/>
              </w:rPr>
              <w:t>atch (TACC)</w:t>
            </w:r>
          </w:p>
        </w:tc>
        <w:tc>
          <w:tcPr>
            <w:tcW w:w="6928" w:type="dxa"/>
            <w:tcBorders>
              <w:bottom w:val="single" w:sz="4" w:space="0" w:color="005672"/>
            </w:tcBorders>
            <w:tcMar>
              <w:top w:w="0" w:type="dxa"/>
              <w:left w:w="108" w:type="dxa"/>
              <w:bottom w:w="0" w:type="dxa"/>
              <w:right w:w="108" w:type="dxa"/>
            </w:tcMar>
          </w:tcPr>
          <w:p w14:paraId="1CA6BFDD" w14:textId="4184E44A" w:rsidR="00135229" w:rsidRPr="000C060A" w:rsidRDefault="002E7FAD" w:rsidP="000C060A">
            <w:pPr>
              <w:spacing w:before="60" w:after="60" w:line="240" w:lineRule="auto"/>
              <w:rPr>
                <w:rFonts w:cs="Noto Sans"/>
                <w:sz w:val="18"/>
                <w:szCs w:val="18"/>
              </w:rPr>
            </w:pPr>
            <w:r w:rsidRPr="000C060A">
              <w:rPr>
                <w:rFonts w:cs="Noto Sans"/>
                <w:sz w:val="18"/>
                <w:szCs w:val="18"/>
              </w:rPr>
              <w:t xml:space="preserve">The harvest limit set for the commercial fishing sector </w:t>
            </w:r>
            <w:r w:rsidR="00291091" w:rsidRPr="000C060A">
              <w:rPr>
                <w:rFonts w:cs="Noto Sans"/>
                <w:sz w:val="18"/>
                <w:szCs w:val="18"/>
              </w:rPr>
              <w:t xml:space="preserve">is </w:t>
            </w:r>
            <w:r w:rsidRPr="000C060A">
              <w:rPr>
                <w:rFonts w:cs="Noto Sans"/>
                <w:sz w:val="18"/>
                <w:szCs w:val="18"/>
              </w:rPr>
              <w:t>usuall</w:t>
            </w:r>
            <w:r w:rsidR="0021482F" w:rsidRPr="000C060A">
              <w:rPr>
                <w:rFonts w:cs="Noto Sans"/>
                <w:sz w:val="18"/>
                <w:szCs w:val="18"/>
              </w:rPr>
              <w:t>y achieved through setting TACC</w:t>
            </w:r>
            <w:r w:rsidRPr="000C060A">
              <w:rPr>
                <w:rFonts w:cs="Noto Sans"/>
                <w:sz w:val="18"/>
                <w:szCs w:val="18"/>
              </w:rPr>
              <w:t>, but sometimes through input controls</w:t>
            </w:r>
          </w:p>
        </w:tc>
      </w:tr>
      <w:tr w:rsidR="00AC2DA2" w14:paraId="1BB3E704" w14:textId="77777777" w:rsidTr="004573FB">
        <w:trPr>
          <w:tblCellSpacing w:w="6" w:type="dxa"/>
        </w:trPr>
        <w:tc>
          <w:tcPr>
            <w:tcW w:w="2534" w:type="dxa"/>
            <w:tcBorders>
              <w:bottom w:val="single" w:sz="4" w:space="0" w:color="005672"/>
            </w:tcBorders>
            <w:tcMar>
              <w:top w:w="0" w:type="dxa"/>
              <w:left w:w="108" w:type="dxa"/>
              <w:bottom w:w="0" w:type="dxa"/>
              <w:right w:w="108" w:type="dxa"/>
            </w:tcMar>
          </w:tcPr>
          <w:p w14:paraId="4E8B94B8" w14:textId="77777777" w:rsidR="00AC2DA2" w:rsidRPr="000C060A" w:rsidRDefault="00AC2DA2" w:rsidP="000C060A">
            <w:pPr>
              <w:spacing w:before="60" w:after="60" w:line="240" w:lineRule="auto"/>
              <w:rPr>
                <w:rFonts w:cs="Noto Sans"/>
                <w:b/>
                <w:sz w:val="18"/>
                <w:szCs w:val="18"/>
              </w:rPr>
            </w:pPr>
            <w:r w:rsidRPr="000C060A">
              <w:rPr>
                <w:rFonts w:cs="Noto Sans"/>
                <w:b/>
                <w:sz w:val="18"/>
                <w:szCs w:val="18"/>
              </w:rPr>
              <w:t>TMIN, 2TMIN</w:t>
            </w:r>
          </w:p>
        </w:tc>
        <w:tc>
          <w:tcPr>
            <w:tcW w:w="6928" w:type="dxa"/>
            <w:tcBorders>
              <w:bottom w:val="single" w:sz="4" w:space="0" w:color="005672"/>
            </w:tcBorders>
            <w:tcMar>
              <w:top w:w="0" w:type="dxa"/>
              <w:left w:w="108" w:type="dxa"/>
              <w:bottom w:w="0" w:type="dxa"/>
              <w:right w:w="108" w:type="dxa"/>
            </w:tcMar>
          </w:tcPr>
          <w:p w14:paraId="5BD529DD" w14:textId="77777777" w:rsidR="00AC2DA2" w:rsidRPr="000C060A" w:rsidRDefault="00AC2DA2" w:rsidP="000C060A">
            <w:pPr>
              <w:spacing w:before="60" w:after="60" w:line="240" w:lineRule="auto"/>
              <w:rPr>
                <w:rFonts w:cs="Noto Sans"/>
                <w:sz w:val="18"/>
                <w:szCs w:val="18"/>
              </w:rPr>
            </w:pPr>
            <w:r w:rsidRPr="000C060A">
              <w:rPr>
                <w:rFonts w:cs="Noto Sans"/>
                <w:sz w:val="18"/>
                <w:szCs w:val="18"/>
              </w:rPr>
              <w:t>Rebuilding timeframes specified relative to the minimum timeframe for rebuilding in the absence of fishing.</w:t>
            </w:r>
          </w:p>
        </w:tc>
      </w:tr>
    </w:tbl>
    <w:p w14:paraId="10815558" w14:textId="5865C972" w:rsidR="003D3FA1" w:rsidRDefault="003D3FA1">
      <w:pPr>
        <w:rPr>
          <w:rFonts w:asciiTheme="minorHAnsi" w:eastAsia="Calibri" w:hAnsiTheme="minorHAnsi" w:cstheme="minorHAnsi"/>
          <w:sz w:val="22"/>
          <w:szCs w:val="22"/>
        </w:rPr>
      </w:pPr>
    </w:p>
    <w:sectPr w:rsidR="003D3FA1" w:rsidSect="004E4234">
      <w:headerReference w:type="first" r:id="rId30"/>
      <w:footerReference w:type="first" r:id="rId31"/>
      <w:pgSz w:w="11906" w:h="16838" w:code="9"/>
      <w:pgMar w:top="1440" w:right="1440" w:bottom="1701"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Madeleine Glacken" w:date="2025-06-19T09:24:00Z" w:initials="MG">
    <w:p w14:paraId="685E2A6C" w14:textId="585482D0" w:rsidR="00790E35" w:rsidRDefault="00B711EA" w:rsidP="00790E35">
      <w:pPr>
        <w:pStyle w:val="CommentText"/>
      </w:pPr>
      <w:r>
        <w:rPr>
          <w:rStyle w:val="CommentReference"/>
        </w:rPr>
        <w:annotationRef/>
      </w:r>
      <w:r w:rsidR="00790E35">
        <w:t>For WG member feedback - to reduce intra-sectoral conflict risk should FQ consider an SM TACC (net) and SM TACC (line)?</w:t>
      </w:r>
    </w:p>
  </w:comment>
  <w:comment w:id="28" w:author="Madeleine Glacken" w:date="2025-08-04T08:11:00Z" w:initials="MG">
    <w:p w14:paraId="1A5A810E" w14:textId="77777777" w:rsidR="007C6421" w:rsidRDefault="0005407C" w:rsidP="007C6421">
      <w:pPr>
        <w:pStyle w:val="CommentText"/>
      </w:pPr>
      <w:r>
        <w:rPr>
          <w:rStyle w:val="CommentReference"/>
        </w:rPr>
        <w:annotationRef/>
      </w:r>
      <w:r w:rsidR="007C6421">
        <w:t>WG feedback - WG members will need to consider what timeline is acceptable to rebuild KTF to 40% biomass. FQ is undertaking further modelling and will likely discuss this at the next WG meeting.</w:t>
      </w:r>
    </w:p>
  </w:comment>
  <w:comment w:id="33" w:author="Madeleine Glacken" w:date="2025-05-30T10:23:00Z" w:initials="MG">
    <w:p w14:paraId="120550E7" w14:textId="77777777" w:rsidR="00320D8A" w:rsidRDefault="00320B92" w:rsidP="00320D8A">
      <w:pPr>
        <w:pStyle w:val="CommentText"/>
      </w:pPr>
      <w:r>
        <w:rPr>
          <w:rStyle w:val="CommentReference"/>
        </w:rPr>
        <w:annotationRef/>
      </w:r>
      <w:r w:rsidR="00320D8A">
        <w:t>Feedback wanted from WG members - what advance knowledge/notifications can FQ give fishers so they don’t over-run the TACC?</w:t>
      </w:r>
    </w:p>
  </w:comment>
  <w:comment w:id="34" w:author="Madeleine Glacken" w:date="2025-07-29T13:20:00Z" w:initials="MG">
    <w:p w14:paraId="3FAEE971" w14:textId="7452D694" w:rsidR="00320D8A" w:rsidRDefault="00320D8A" w:rsidP="00320D8A">
      <w:pPr>
        <w:pStyle w:val="CommentText"/>
      </w:pPr>
      <w:r>
        <w:rPr>
          <w:rStyle w:val="CommentReference"/>
        </w:rPr>
        <w:annotationRef/>
      </w:r>
      <w:r>
        <w:t>Feedback wanted from WG members - small PCCs may create issues here (e.g. black jewfish). Should we include a rule such as ‘PCC is less than 30t and catch remains below 5%, do nothing. if it is greater than 30t and it exceeds 1%, adjust as per those rules’</w:t>
      </w:r>
    </w:p>
  </w:comment>
  <w:comment w:id="40" w:author="Madeleine Glacken" w:date="2025-07-29T10:32:00Z" w:initials="MG">
    <w:p w14:paraId="28E57FA5" w14:textId="77777777" w:rsidR="00992308" w:rsidRDefault="00992308" w:rsidP="00992308">
      <w:pPr>
        <w:pStyle w:val="CommentText"/>
      </w:pPr>
      <w:r>
        <w:rPr>
          <w:rStyle w:val="CommentReference"/>
        </w:rPr>
        <w:annotationRef/>
      </w:r>
      <w:r>
        <w:t>Still being developed. Workshop will be held during Meeting 10 of the GOCIF WG (October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5E2A6C" w15:done="0"/>
  <w15:commentEx w15:paraId="1A5A810E" w15:done="0"/>
  <w15:commentEx w15:paraId="120550E7" w15:done="0"/>
  <w15:commentEx w15:paraId="3FAEE971" w15:done="0"/>
  <w15:commentEx w15:paraId="28E57F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17A530" w16cex:dateUtc="2025-06-18T23:24:00Z"/>
  <w16cex:commentExtensible w16cex:durableId="1F3296CB" w16cex:dateUtc="2025-08-03T22:11:00Z"/>
  <w16cex:commentExtensible w16cex:durableId="4A85F052" w16cex:dateUtc="2025-05-30T00:23:00Z"/>
  <w16cex:commentExtensible w16cex:durableId="2562D841" w16cex:dateUtc="2025-07-29T03:20:00Z"/>
  <w16cex:commentExtensible w16cex:durableId="18167C79" w16cex:dateUtc="2025-07-29T0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5E2A6C" w16cid:durableId="3D17A530"/>
  <w16cid:commentId w16cid:paraId="1A5A810E" w16cid:durableId="1F3296CB"/>
  <w16cid:commentId w16cid:paraId="120550E7" w16cid:durableId="4A85F052"/>
  <w16cid:commentId w16cid:paraId="3FAEE971" w16cid:durableId="2562D841"/>
  <w16cid:commentId w16cid:paraId="28E57FA5" w16cid:durableId="18167C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B6B8" w14:textId="77777777" w:rsidR="00D15086" w:rsidRDefault="00D15086">
      <w:r>
        <w:separator/>
      </w:r>
    </w:p>
  </w:endnote>
  <w:endnote w:type="continuationSeparator" w:id="0">
    <w:p w14:paraId="7E16BF59" w14:textId="77777777" w:rsidR="00D15086" w:rsidRDefault="00D15086">
      <w:r>
        <w:continuationSeparator/>
      </w:r>
    </w:p>
  </w:endnote>
  <w:endnote w:type="continuationNotice" w:id="1">
    <w:p w14:paraId="287DCCB5" w14:textId="77777777" w:rsidR="00D15086" w:rsidRDefault="00D15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107B" w14:textId="1BBFFD29" w:rsidR="00195915" w:rsidRPr="00302B2E" w:rsidRDefault="00195915" w:rsidP="00302B2E">
    <w:pPr>
      <w:pStyle w:val="Footer"/>
      <w:pBdr>
        <w:top w:val="single" w:sz="4" w:space="1" w:color="005672"/>
      </w:pBdr>
      <w:spacing w:after="0"/>
      <w:rPr>
        <w:rFonts w:cs="Noto Sans"/>
        <w:b/>
        <w:bCs/>
        <w:color w:val="005672"/>
        <w:sz w:val="18"/>
        <w:szCs w:val="18"/>
      </w:rPr>
    </w:pPr>
    <w:r w:rsidRPr="00195915">
      <w:rPr>
        <w:rFonts w:cs="Noto Sans"/>
        <w:b/>
        <w:bCs/>
        <w:color w:val="005672"/>
        <w:sz w:val="18"/>
        <w:szCs w:val="18"/>
      </w:rPr>
      <w:t>Gulf of Carpentaria inshore fishery harvest strategy: 2026–2031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3761" w14:textId="74A4F237" w:rsidR="00195915" w:rsidRPr="00195915" w:rsidRDefault="00CE32FC" w:rsidP="00CE32FC">
    <w:pPr>
      <w:pStyle w:val="Footer"/>
      <w:pBdr>
        <w:top w:val="single" w:sz="4" w:space="1" w:color="005672"/>
      </w:pBdr>
      <w:tabs>
        <w:tab w:val="clear" w:pos="9026"/>
        <w:tab w:val="right" w:pos="9638"/>
      </w:tabs>
      <w:spacing w:after="0"/>
      <w:rPr>
        <w:rFonts w:cs="Noto Sans"/>
        <w:b/>
        <w:bCs/>
        <w:color w:val="005672"/>
        <w:sz w:val="18"/>
        <w:szCs w:val="18"/>
      </w:rPr>
    </w:pPr>
    <w:r w:rsidRPr="00CE32FC">
      <w:rPr>
        <w:rFonts w:cs="Noto Sans"/>
        <w:b/>
        <w:bCs/>
        <w:color w:val="005672"/>
        <w:sz w:val="8"/>
        <w:szCs w:val="8"/>
      </w:rPr>
      <w:br/>
    </w:r>
    <w:r w:rsidR="00195915" w:rsidRPr="00195915">
      <w:rPr>
        <w:rFonts w:cs="Noto Sans"/>
        <w:b/>
        <w:bCs/>
        <w:color w:val="005672"/>
        <w:sz w:val="18"/>
        <w:szCs w:val="18"/>
      </w:rPr>
      <w:t>Gulf of Carpentaria inshore fishery harvest strategy: 2026–2031</w:t>
    </w:r>
    <w:r w:rsidR="00195915">
      <w:rPr>
        <w:rFonts w:cs="Noto Sans"/>
        <w:b/>
        <w:bCs/>
        <w:color w:val="005672"/>
        <w:sz w:val="18"/>
        <w:szCs w:val="18"/>
      </w:rPr>
      <w:tab/>
    </w:r>
    <w:r w:rsidR="00416DC6" w:rsidRPr="00416DC6">
      <w:rPr>
        <w:rFonts w:cs="Noto Sans"/>
        <w:b/>
        <w:bCs/>
        <w:color w:val="005672"/>
        <w:sz w:val="18"/>
        <w:szCs w:val="18"/>
      </w:rPr>
      <w:fldChar w:fldCharType="begin"/>
    </w:r>
    <w:r w:rsidR="00416DC6" w:rsidRPr="00416DC6">
      <w:rPr>
        <w:rFonts w:cs="Noto Sans"/>
        <w:b/>
        <w:bCs/>
        <w:color w:val="005672"/>
        <w:sz w:val="18"/>
        <w:szCs w:val="18"/>
      </w:rPr>
      <w:instrText xml:space="preserve"> PAGE   \* MERGEFORMAT </w:instrText>
    </w:r>
    <w:r w:rsidR="00416DC6" w:rsidRPr="00416DC6">
      <w:rPr>
        <w:rFonts w:cs="Noto Sans"/>
        <w:b/>
        <w:bCs/>
        <w:color w:val="005672"/>
        <w:sz w:val="18"/>
        <w:szCs w:val="18"/>
      </w:rPr>
      <w:fldChar w:fldCharType="separate"/>
    </w:r>
    <w:r w:rsidR="00416DC6" w:rsidRPr="00416DC6">
      <w:rPr>
        <w:rFonts w:cs="Noto Sans"/>
        <w:b/>
        <w:bCs/>
        <w:noProof/>
        <w:color w:val="005672"/>
        <w:sz w:val="18"/>
        <w:szCs w:val="18"/>
      </w:rPr>
      <w:t>1</w:t>
    </w:r>
    <w:r w:rsidR="00416DC6" w:rsidRPr="00416DC6">
      <w:rPr>
        <w:rFonts w:cs="Noto Sans"/>
        <w:b/>
        <w:bCs/>
        <w:noProof/>
        <w:color w:val="005672"/>
        <w:sz w:val="18"/>
        <w:szCs w:val="18"/>
      </w:rPr>
      <w:fldChar w:fldCharType="end"/>
    </w:r>
  </w:p>
  <w:p w14:paraId="7E741E5B" w14:textId="660B528B" w:rsidR="009E4A2A" w:rsidRPr="00195915" w:rsidRDefault="00195915" w:rsidP="00CB33BF">
    <w:pPr>
      <w:pStyle w:val="Footer"/>
      <w:pBdr>
        <w:top w:val="single" w:sz="4" w:space="1" w:color="005672"/>
      </w:pBdr>
      <w:spacing w:after="0"/>
      <w:rPr>
        <w:rFonts w:cs="Noto Sans"/>
        <w:color w:val="005672"/>
        <w:sz w:val="18"/>
        <w:szCs w:val="18"/>
      </w:rPr>
    </w:pPr>
    <w:r w:rsidRPr="00195915">
      <w:rPr>
        <w:rFonts w:cs="Noto Sans"/>
        <w:color w:val="005672"/>
        <w:sz w:val="18"/>
        <w:szCs w:val="18"/>
      </w:rPr>
      <w:t>CONSULTATION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DCE4" w14:textId="77777777" w:rsidR="00D15086" w:rsidRDefault="00D15086" w:rsidP="00B64C88">
      <w:r>
        <w:separator/>
      </w:r>
    </w:p>
  </w:footnote>
  <w:footnote w:type="continuationSeparator" w:id="0">
    <w:p w14:paraId="7A26E769" w14:textId="77777777" w:rsidR="00D15086" w:rsidRDefault="00D15086" w:rsidP="00B64C88">
      <w:r>
        <w:continuationSeparator/>
      </w:r>
    </w:p>
  </w:footnote>
  <w:footnote w:type="continuationNotice" w:id="1">
    <w:p w14:paraId="3052A38F" w14:textId="77777777" w:rsidR="00D15086" w:rsidRDefault="00D15086"/>
  </w:footnote>
  <w:footnote w:id="2">
    <w:p w14:paraId="192ECE23" w14:textId="0C5F9A89" w:rsidR="6C914696" w:rsidRPr="00577D62" w:rsidRDefault="6C914696" w:rsidP="6C914696">
      <w:pPr>
        <w:rPr>
          <w:rFonts w:cs="Noto Sans"/>
          <w:sz w:val="18"/>
          <w:szCs w:val="18"/>
        </w:rPr>
      </w:pPr>
      <w:r w:rsidRPr="00577D62">
        <w:rPr>
          <w:rStyle w:val="FootnoteReference"/>
          <w:rFonts w:cs="Noto Sans"/>
          <w:sz w:val="22"/>
          <w:szCs w:val="22"/>
        </w:rPr>
        <w:footnoteRef/>
      </w:r>
      <w:r w:rsidRPr="00577D62">
        <w:rPr>
          <w:rFonts w:cs="Noto Sans"/>
          <w:sz w:val="18"/>
          <w:szCs w:val="18"/>
        </w:rPr>
        <w:t xml:space="preserve"> Punt AE et al. 2014 ‘Selecting relative abundance proxies for BMSY and BMEY’, </w:t>
      </w:r>
      <w:r w:rsidRPr="00577D62">
        <w:rPr>
          <w:rFonts w:cs="Noto Sans"/>
          <w:i/>
          <w:sz w:val="18"/>
          <w:szCs w:val="18"/>
        </w:rPr>
        <w:t>ICES Journal of Marine science</w:t>
      </w:r>
      <w:r w:rsidRPr="00577D62">
        <w:rPr>
          <w:rFonts w:cs="Noto Sans"/>
          <w:sz w:val="18"/>
          <w:szCs w:val="18"/>
        </w:rPr>
        <w:t xml:space="preserve">, 71: 469–483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186307"/>
      <w:docPartObj>
        <w:docPartGallery w:val="Watermarks"/>
        <w:docPartUnique/>
      </w:docPartObj>
    </w:sdtPr>
    <w:sdtContent>
      <w:p w14:paraId="03EC5EDC" w14:textId="26914015" w:rsidR="009E4A2A" w:rsidRDefault="00000000" w:rsidP="00642807">
        <w:pPr>
          <w:pStyle w:val="Header"/>
          <w:pBdr>
            <w:bottom w:val="single" w:sz="4" w:space="1" w:color="005672"/>
          </w:pBdr>
          <w:spacing w:after="0"/>
        </w:pPr>
        <w:r>
          <w:rPr>
            <w:noProof/>
          </w:rPr>
          <w:pict w14:anchorId="5E09A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0021" w14:textId="77777777" w:rsidR="009E4A2A" w:rsidRDefault="009E4A2A" w:rsidP="00EE6CFA">
    <w:pPr>
      <w:pStyle w:val="Header"/>
      <w:pBdr>
        <w:bottom w:val="single" w:sz="4" w:space="1" w:color="005672"/>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4E98"/>
    <w:multiLevelType w:val="hybridMultilevel"/>
    <w:tmpl w:val="C78823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EE2FA6"/>
    <w:multiLevelType w:val="hybridMultilevel"/>
    <w:tmpl w:val="52E207B8"/>
    <w:lvl w:ilvl="0" w:tplc="6152DC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A67E69"/>
    <w:multiLevelType w:val="hybridMultilevel"/>
    <w:tmpl w:val="ADB46D6C"/>
    <w:lvl w:ilvl="0" w:tplc="C97AED0C">
      <w:start w:val="1"/>
      <w:numFmt w:val="bullet"/>
      <w:lvlText w:val=""/>
      <w:lvlJc w:val="left"/>
      <w:pPr>
        <w:ind w:left="360" w:hanging="360"/>
      </w:pPr>
      <w:rPr>
        <w:rFonts w:ascii="Symbol" w:hAnsi="Symbol" w:hint="default"/>
      </w:rPr>
    </w:lvl>
    <w:lvl w:ilvl="1" w:tplc="8436AF04" w:tentative="1">
      <w:start w:val="1"/>
      <w:numFmt w:val="bullet"/>
      <w:lvlText w:val="o"/>
      <w:lvlJc w:val="left"/>
      <w:pPr>
        <w:ind w:left="1080" w:hanging="360"/>
      </w:pPr>
      <w:rPr>
        <w:rFonts w:ascii="Courier New" w:hAnsi="Courier New" w:cs="Courier New" w:hint="default"/>
      </w:rPr>
    </w:lvl>
    <w:lvl w:ilvl="2" w:tplc="9CCCB792" w:tentative="1">
      <w:start w:val="1"/>
      <w:numFmt w:val="bullet"/>
      <w:lvlText w:val=""/>
      <w:lvlJc w:val="left"/>
      <w:pPr>
        <w:ind w:left="1800" w:hanging="360"/>
      </w:pPr>
      <w:rPr>
        <w:rFonts w:ascii="Wingdings" w:hAnsi="Wingdings" w:hint="default"/>
      </w:rPr>
    </w:lvl>
    <w:lvl w:ilvl="3" w:tplc="12D49368" w:tentative="1">
      <w:start w:val="1"/>
      <w:numFmt w:val="bullet"/>
      <w:lvlText w:val=""/>
      <w:lvlJc w:val="left"/>
      <w:pPr>
        <w:ind w:left="2520" w:hanging="360"/>
      </w:pPr>
      <w:rPr>
        <w:rFonts w:ascii="Symbol" w:hAnsi="Symbol" w:hint="default"/>
      </w:rPr>
    </w:lvl>
    <w:lvl w:ilvl="4" w:tplc="9842B0F6" w:tentative="1">
      <w:start w:val="1"/>
      <w:numFmt w:val="bullet"/>
      <w:lvlText w:val="o"/>
      <w:lvlJc w:val="left"/>
      <w:pPr>
        <w:ind w:left="3240" w:hanging="360"/>
      </w:pPr>
      <w:rPr>
        <w:rFonts w:ascii="Courier New" w:hAnsi="Courier New" w:cs="Courier New" w:hint="default"/>
      </w:rPr>
    </w:lvl>
    <w:lvl w:ilvl="5" w:tplc="6A20B104" w:tentative="1">
      <w:start w:val="1"/>
      <w:numFmt w:val="bullet"/>
      <w:lvlText w:val=""/>
      <w:lvlJc w:val="left"/>
      <w:pPr>
        <w:ind w:left="3960" w:hanging="360"/>
      </w:pPr>
      <w:rPr>
        <w:rFonts w:ascii="Wingdings" w:hAnsi="Wingdings" w:hint="default"/>
      </w:rPr>
    </w:lvl>
    <w:lvl w:ilvl="6" w:tplc="740C8A2C" w:tentative="1">
      <w:start w:val="1"/>
      <w:numFmt w:val="bullet"/>
      <w:lvlText w:val=""/>
      <w:lvlJc w:val="left"/>
      <w:pPr>
        <w:ind w:left="4680" w:hanging="360"/>
      </w:pPr>
      <w:rPr>
        <w:rFonts w:ascii="Symbol" w:hAnsi="Symbol" w:hint="default"/>
      </w:rPr>
    </w:lvl>
    <w:lvl w:ilvl="7" w:tplc="2F3EABB4" w:tentative="1">
      <w:start w:val="1"/>
      <w:numFmt w:val="bullet"/>
      <w:lvlText w:val="o"/>
      <w:lvlJc w:val="left"/>
      <w:pPr>
        <w:ind w:left="5400" w:hanging="360"/>
      </w:pPr>
      <w:rPr>
        <w:rFonts w:ascii="Courier New" w:hAnsi="Courier New" w:cs="Courier New" w:hint="default"/>
      </w:rPr>
    </w:lvl>
    <w:lvl w:ilvl="8" w:tplc="8808FB44" w:tentative="1">
      <w:start w:val="1"/>
      <w:numFmt w:val="bullet"/>
      <w:lvlText w:val=""/>
      <w:lvlJc w:val="left"/>
      <w:pPr>
        <w:ind w:left="6120" w:hanging="360"/>
      </w:pPr>
      <w:rPr>
        <w:rFonts w:ascii="Wingdings" w:hAnsi="Wingdings" w:hint="default"/>
      </w:rPr>
    </w:lvl>
  </w:abstractNum>
  <w:abstractNum w:abstractNumId="3" w15:restartNumberingAfterBreak="0">
    <w:nsid w:val="1FEF58ED"/>
    <w:multiLevelType w:val="hybridMultilevel"/>
    <w:tmpl w:val="74D44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C56421"/>
    <w:multiLevelType w:val="hybridMultilevel"/>
    <w:tmpl w:val="575E076C"/>
    <w:lvl w:ilvl="0" w:tplc="C5E0BBF4">
      <w:start w:val="1"/>
      <w:numFmt w:val="bullet"/>
      <w:lvlText w:val=""/>
      <w:lvlJc w:val="left"/>
      <w:pPr>
        <w:ind w:left="780" w:hanging="360"/>
      </w:pPr>
      <w:rPr>
        <w:rFonts w:ascii="Symbol" w:hAnsi="Symbol" w:hint="default"/>
      </w:rPr>
    </w:lvl>
    <w:lvl w:ilvl="1" w:tplc="17FA1F4A" w:tentative="1">
      <w:start w:val="1"/>
      <w:numFmt w:val="bullet"/>
      <w:lvlText w:val="o"/>
      <w:lvlJc w:val="left"/>
      <w:pPr>
        <w:ind w:left="1500" w:hanging="360"/>
      </w:pPr>
      <w:rPr>
        <w:rFonts w:ascii="Courier New" w:hAnsi="Courier New" w:cs="Courier New" w:hint="default"/>
      </w:rPr>
    </w:lvl>
    <w:lvl w:ilvl="2" w:tplc="E04E9B20" w:tentative="1">
      <w:start w:val="1"/>
      <w:numFmt w:val="bullet"/>
      <w:lvlText w:val=""/>
      <w:lvlJc w:val="left"/>
      <w:pPr>
        <w:ind w:left="2220" w:hanging="360"/>
      </w:pPr>
      <w:rPr>
        <w:rFonts w:ascii="Wingdings" w:hAnsi="Wingdings" w:hint="default"/>
      </w:rPr>
    </w:lvl>
    <w:lvl w:ilvl="3" w:tplc="A704E4A0" w:tentative="1">
      <w:start w:val="1"/>
      <w:numFmt w:val="bullet"/>
      <w:lvlText w:val=""/>
      <w:lvlJc w:val="left"/>
      <w:pPr>
        <w:ind w:left="2940" w:hanging="360"/>
      </w:pPr>
      <w:rPr>
        <w:rFonts w:ascii="Symbol" w:hAnsi="Symbol" w:hint="default"/>
      </w:rPr>
    </w:lvl>
    <w:lvl w:ilvl="4" w:tplc="7F9E3658" w:tentative="1">
      <w:start w:val="1"/>
      <w:numFmt w:val="bullet"/>
      <w:lvlText w:val="o"/>
      <w:lvlJc w:val="left"/>
      <w:pPr>
        <w:ind w:left="3660" w:hanging="360"/>
      </w:pPr>
      <w:rPr>
        <w:rFonts w:ascii="Courier New" w:hAnsi="Courier New" w:cs="Courier New" w:hint="default"/>
      </w:rPr>
    </w:lvl>
    <w:lvl w:ilvl="5" w:tplc="4A66C3C4" w:tentative="1">
      <w:start w:val="1"/>
      <w:numFmt w:val="bullet"/>
      <w:lvlText w:val=""/>
      <w:lvlJc w:val="left"/>
      <w:pPr>
        <w:ind w:left="4380" w:hanging="360"/>
      </w:pPr>
      <w:rPr>
        <w:rFonts w:ascii="Wingdings" w:hAnsi="Wingdings" w:hint="default"/>
      </w:rPr>
    </w:lvl>
    <w:lvl w:ilvl="6" w:tplc="AE407F5A" w:tentative="1">
      <w:start w:val="1"/>
      <w:numFmt w:val="bullet"/>
      <w:lvlText w:val=""/>
      <w:lvlJc w:val="left"/>
      <w:pPr>
        <w:ind w:left="5100" w:hanging="360"/>
      </w:pPr>
      <w:rPr>
        <w:rFonts w:ascii="Symbol" w:hAnsi="Symbol" w:hint="default"/>
      </w:rPr>
    </w:lvl>
    <w:lvl w:ilvl="7" w:tplc="3B34C324" w:tentative="1">
      <w:start w:val="1"/>
      <w:numFmt w:val="bullet"/>
      <w:lvlText w:val="o"/>
      <w:lvlJc w:val="left"/>
      <w:pPr>
        <w:ind w:left="5820" w:hanging="360"/>
      </w:pPr>
      <w:rPr>
        <w:rFonts w:ascii="Courier New" w:hAnsi="Courier New" w:cs="Courier New" w:hint="default"/>
      </w:rPr>
    </w:lvl>
    <w:lvl w:ilvl="8" w:tplc="F4725C02" w:tentative="1">
      <w:start w:val="1"/>
      <w:numFmt w:val="bullet"/>
      <w:lvlText w:val=""/>
      <w:lvlJc w:val="left"/>
      <w:pPr>
        <w:ind w:left="6540" w:hanging="360"/>
      </w:pPr>
      <w:rPr>
        <w:rFonts w:ascii="Wingdings" w:hAnsi="Wingdings" w:hint="default"/>
      </w:rPr>
    </w:lvl>
  </w:abstractNum>
  <w:abstractNum w:abstractNumId="5" w15:restartNumberingAfterBreak="0">
    <w:nsid w:val="2CD647A0"/>
    <w:multiLevelType w:val="multilevel"/>
    <w:tmpl w:val="2932F11C"/>
    <w:lvl w:ilvl="0">
      <w:start w:val="1"/>
      <w:numFmt w:val="decimal"/>
      <w:lvlText w:val="%1.0"/>
      <w:lvlJc w:val="left"/>
      <w:pPr>
        <w:ind w:left="564" w:hanging="564"/>
      </w:pPr>
      <w:rPr>
        <w:rFonts w:eastAsiaTheme="minorEastAsia" w:hint="default"/>
        <w:color w:val="auto"/>
      </w:rPr>
    </w:lvl>
    <w:lvl w:ilvl="1">
      <w:start w:val="1"/>
      <w:numFmt w:val="decimal"/>
      <w:lvlText w:val="%1.%2"/>
      <w:lvlJc w:val="left"/>
      <w:pPr>
        <w:ind w:left="1284" w:hanging="564"/>
      </w:pPr>
      <w:rPr>
        <w:rFonts w:eastAsiaTheme="minorEastAsia" w:hint="default"/>
        <w:b w:val="0"/>
        <w:bCs w:val="0"/>
        <w:color w:val="auto"/>
      </w:rPr>
    </w:lvl>
    <w:lvl w:ilvl="2">
      <w:start w:val="1"/>
      <w:numFmt w:val="decimal"/>
      <w:lvlText w:val="%1.%2.%3"/>
      <w:lvlJc w:val="left"/>
      <w:pPr>
        <w:ind w:left="2160" w:hanging="720"/>
      </w:pPr>
      <w:rPr>
        <w:rFonts w:eastAsiaTheme="minorEastAsia" w:hint="default"/>
        <w:color w:val="auto"/>
      </w:rPr>
    </w:lvl>
    <w:lvl w:ilvl="3">
      <w:start w:val="1"/>
      <w:numFmt w:val="decimal"/>
      <w:lvlText w:val="%1.%2.%3.%4"/>
      <w:lvlJc w:val="left"/>
      <w:pPr>
        <w:ind w:left="2880" w:hanging="720"/>
      </w:pPr>
      <w:rPr>
        <w:rFonts w:eastAsiaTheme="minorEastAsia" w:hint="default"/>
        <w:color w:val="auto"/>
      </w:rPr>
    </w:lvl>
    <w:lvl w:ilvl="4">
      <w:start w:val="1"/>
      <w:numFmt w:val="decimal"/>
      <w:lvlText w:val="%1.%2.%3.%4.%5"/>
      <w:lvlJc w:val="left"/>
      <w:pPr>
        <w:ind w:left="3960" w:hanging="1080"/>
      </w:pPr>
      <w:rPr>
        <w:rFonts w:eastAsiaTheme="minorEastAsia" w:hint="default"/>
        <w:color w:val="auto"/>
      </w:rPr>
    </w:lvl>
    <w:lvl w:ilvl="5">
      <w:start w:val="1"/>
      <w:numFmt w:val="decimal"/>
      <w:lvlText w:val="%1.%2.%3.%4.%5.%6"/>
      <w:lvlJc w:val="left"/>
      <w:pPr>
        <w:ind w:left="4680" w:hanging="1080"/>
      </w:pPr>
      <w:rPr>
        <w:rFonts w:eastAsiaTheme="minorEastAsia" w:hint="default"/>
        <w:color w:val="auto"/>
      </w:rPr>
    </w:lvl>
    <w:lvl w:ilvl="6">
      <w:start w:val="1"/>
      <w:numFmt w:val="decimal"/>
      <w:lvlText w:val="%1.%2.%3.%4.%5.%6.%7"/>
      <w:lvlJc w:val="left"/>
      <w:pPr>
        <w:ind w:left="5760" w:hanging="1440"/>
      </w:pPr>
      <w:rPr>
        <w:rFonts w:eastAsiaTheme="minorEastAsia" w:hint="default"/>
        <w:color w:val="auto"/>
      </w:rPr>
    </w:lvl>
    <w:lvl w:ilvl="7">
      <w:start w:val="1"/>
      <w:numFmt w:val="decimal"/>
      <w:lvlText w:val="%1.%2.%3.%4.%5.%6.%7.%8"/>
      <w:lvlJc w:val="left"/>
      <w:pPr>
        <w:ind w:left="6480" w:hanging="1440"/>
      </w:pPr>
      <w:rPr>
        <w:rFonts w:eastAsiaTheme="minorEastAsia" w:hint="default"/>
        <w:color w:val="auto"/>
      </w:rPr>
    </w:lvl>
    <w:lvl w:ilvl="8">
      <w:start w:val="1"/>
      <w:numFmt w:val="decimal"/>
      <w:lvlText w:val="%1.%2.%3.%4.%5.%6.%7.%8.%9"/>
      <w:lvlJc w:val="left"/>
      <w:pPr>
        <w:ind w:left="7560" w:hanging="1800"/>
      </w:pPr>
      <w:rPr>
        <w:rFonts w:eastAsiaTheme="minorEastAsia" w:hint="default"/>
        <w:color w:val="auto"/>
      </w:rPr>
    </w:lvl>
  </w:abstractNum>
  <w:abstractNum w:abstractNumId="6" w15:restartNumberingAfterBreak="0">
    <w:nsid w:val="305F623E"/>
    <w:multiLevelType w:val="hybridMultilevel"/>
    <w:tmpl w:val="A956B9A6"/>
    <w:lvl w:ilvl="0" w:tplc="6152DC8C">
      <w:start w:val="1"/>
      <w:numFmt w:val="bullet"/>
      <w:lvlText w:val=""/>
      <w:lvlJc w:val="left"/>
      <w:pPr>
        <w:ind w:left="720" w:hanging="360"/>
      </w:pPr>
      <w:rPr>
        <w:rFonts w:ascii="Symbol" w:hAnsi="Symbol" w:hint="default"/>
      </w:rPr>
    </w:lvl>
    <w:lvl w:ilvl="1" w:tplc="8FDEB452" w:tentative="1">
      <w:start w:val="1"/>
      <w:numFmt w:val="bullet"/>
      <w:lvlText w:val="o"/>
      <w:lvlJc w:val="left"/>
      <w:pPr>
        <w:ind w:left="1440" w:hanging="360"/>
      </w:pPr>
      <w:rPr>
        <w:rFonts w:ascii="Courier New" w:hAnsi="Courier New" w:cs="Courier New" w:hint="default"/>
      </w:rPr>
    </w:lvl>
    <w:lvl w:ilvl="2" w:tplc="2410D68A">
      <w:start w:val="1"/>
      <w:numFmt w:val="bullet"/>
      <w:lvlText w:val=""/>
      <w:lvlJc w:val="left"/>
      <w:pPr>
        <w:ind w:left="360" w:hanging="360"/>
      </w:pPr>
      <w:rPr>
        <w:rFonts w:ascii="Symbol" w:hAnsi="Symbol" w:hint="default"/>
      </w:rPr>
    </w:lvl>
    <w:lvl w:ilvl="3" w:tplc="0576BA8E" w:tentative="1">
      <w:start w:val="1"/>
      <w:numFmt w:val="bullet"/>
      <w:lvlText w:val=""/>
      <w:lvlJc w:val="left"/>
      <w:pPr>
        <w:ind w:left="2880" w:hanging="360"/>
      </w:pPr>
      <w:rPr>
        <w:rFonts w:ascii="Symbol" w:hAnsi="Symbol" w:hint="default"/>
      </w:rPr>
    </w:lvl>
    <w:lvl w:ilvl="4" w:tplc="7104172C" w:tentative="1">
      <w:start w:val="1"/>
      <w:numFmt w:val="bullet"/>
      <w:lvlText w:val="o"/>
      <w:lvlJc w:val="left"/>
      <w:pPr>
        <w:ind w:left="3600" w:hanging="360"/>
      </w:pPr>
      <w:rPr>
        <w:rFonts w:ascii="Courier New" w:hAnsi="Courier New" w:cs="Courier New" w:hint="default"/>
      </w:rPr>
    </w:lvl>
    <w:lvl w:ilvl="5" w:tplc="7A5C7928" w:tentative="1">
      <w:start w:val="1"/>
      <w:numFmt w:val="bullet"/>
      <w:lvlText w:val=""/>
      <w:lvlJc w:val="left"/>
      <w:pPr>
        <w:ind w:left="4320" w:hanging="360"/>
      </w:pPr>
      <w:rPr>
        <w:rFonts w:ascii="Wingdings" w:hAnsi="Wingdings" w:hint="default"/>
      </w:rPr>
    </w:lvl>
    <w:lvl w:ilvl="6" w:tplc="85129634" w:tentative="1">
      <w:start w:val="1"/>
      <w:numFmt w:val="bullet"/>
      <w:lvlText w:val=""/>
      <w:lvlJc w:val="left"/>
      <w:pPr>
        <w:ind w:left="5040" w:hanging="360"/>
      </w:pPr>
      <w:rPr>
        <w:rFonts w:ascii="Symbol" w:hAnsi="Symbol" w:hint="default"/>
      </w:rPr>
    </w:lvl>
    <w:lvl w:ilvl="7" w:tplc="DD7442B2" w:tentative="1">
      <w:start w:val="1"/>
      <w:numFmt w:val="bullet"/>
      <w:lvlText w:val="o"/>
      <w:lvlJc w:val="left"/>
      <w:pPr>
        <w:ind w:left="5760" w:hanging="360"/>
      </w:pPr>
      <w:rPr>
        <w:rFonts w:ascii="Courier New" w:hAnsi="Courier New" w:cs="Courier New" w:hint="default"/>
      </w:rPr>
    </w:lvl>
    <w:lvl w:ilvl="8" w:tplc="22AA5E46" w:tentative="1">
      <w:start w:val="1"/>
      <w:numFmt w:val="bullet"/>
      <w:lvlText w:val=""/>
      <w:lvlJc w:val="left"/>
      <w:pPr>
        <w:ind w:left="6480" w:hanging="360"/>
      </w:pPr>
      <w:rPr>
        <w:rFonts w:ascii="Wingdings" w:hAnsi="Wingdings" w:hint="default"/>
      </w:rPr>
    </w:lvl>
  </w:abstractNum>
  <w:abstractNum w:abstractNumId="7" w15:restartNumberingAfterBreak="0">
    <w:nsid w:val="3AF50A2F"/>
    <w:multiLevelType w:val="hybridMultilevel"/>
    <w:tmpl w:val="C59CA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A26F95"/>
    <w:multiLevelType w:val="multilevel"/>
    <w:tmpl w:val="7D0214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1BB707B"/>
    <w:multiLevelType w:val="hybridMultilevel"/>
    <w:tmpl w:val="C708F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6936D0"/>
    <w:multiLevelType w:val="hybridMultilevel"/>
    <w:tmpl w:val="01BAA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867104"/>
    <w:multiLevelType w:val="multilevel"/>
    <w:tmpl w:val="C8063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2EC076"/>
    <w:multiLevelType w:val="hybridMultilevel"/>
    <w:tmpl w:val="BA362080"/>
    <w:lvl w:ilvl="0" w:tplc="1D0A93E0">
      <w:start w:val="1"/>
      <w:numFmt w:val="bullet"/>
      <w:lvlText w:val="-"/>
      <w:lvlJc w:val="left"/>
      <w:pPr>
        <w:ind w:left="720" w:hanging="360"/>
      </w:pPr>
      <w:rPr>
        <w:rFonts w:ascii="Calibri" w:hAnsi="Calibri" w:hint="default"/>
      </w:rPr>
    </w:lvl>
    <w:lvl w:ilvl="1" w:tplc="9A94A530">
      <w:start w:val="1"/>
      <w:numFmt w:val="bullet"/>
      <w:lvlText w:val="o"/>
      <w:lvlJc w:val="left"/>
      <w:pPr>
        <w:ind w:left="1440" w:hanging="360"/>
      </w:pPr>
      <w:rPr>
        <w:rFonts w:ascii="Courier New" w:hAnsi="Courier New" w:hint="default"/>
      </w:rPr>
    </w:lvl>
    <w:lvl w:ilvl="2" w:tplc="D3C2541C">
      <w:start w:val="1"/>
      <w:numFmt w:val="bullet"/>
      <w:lvlText w:val=""/>
      <w:lvlJc w:val="left"/>
      <w:pPr>
        <w:ind w:left="2160" w:hanging="360"/>
      </w:pPr>
      <w:rPr>
        <w:rFonts w:ascii="Wingdings" w:hAnsi="Wingdings" w:hint="default"/>
      </w:rPr>
    </w:lvl>
    <w:lvl w:ilvl="3" w:tplc="3EFCC444">
      <w:start w:val="1"/>
      <w:numFmt w:val="bullet"/>
      <w:lvlText w:val=""/>
      <w:lvlJc w:val="left"/>
      <w:pPr>
        <w:ind w:left="2880" w:hanging="360"/>
      </w:pPr>
      <w:rPr>
        <w:rFonts w:ascii="Symbol" w:hAnsi="Symbol" w:hint="default"/>
      </w:rPr>
    </w:lvl>
    <w:lvl w:ilvl="4" w:tplc="DA9C4FD6">
      <w:start w:val="1"/>
      <w:numFmt w:val="bullet"/>
      <w:lvlText w:val="o"/>
      <w:lvlJc w:val="left"/>
      <w:pPr>
        <w:ind w:left="3600" w:hanging="360"/>
      </w:pPr>
      <w:rPr>
        <w:rFonts w:ascii="Courier New" w:hAnsi="Courier New" w:hint="default"/>
      </w:rPr>
    </w:lvl>
    <w:lvl w:ilvl="5" w:tplc="473C2FD0">
      <w:start w:val="1"/>
      <w:numFmt w:val="bullet"/>
      <w:lvlText w:val=""/>
      <w:lvlJc w:val="left"/>
      <w:pPr>
        <w:ind w:left="4320" w:hanging="360"/>
      </w:pPr>
      <w:rPr>
        <w:rFonts w:ascii="Wingdings" w:hAnsi="Wingdings" w:hint="default"/>
      </w:rPr>
    </w:lvl>
    <w:lvl w:ilvl="6" w:tplc="BFDCF7C8">
      <w:start w:val="1"/>
      <w:numFmt w:val="bullet"/>
      <w:lvlText w:val=""/>
      <w:lvlJc w:val="left"/>
      <w:pPr>
        <w:ind w:left="5040" w:hanging="360"/>
      </w:pPr>
      <w:rPr>
        <w:rFonts w:ascii="Symbol" w:hAnsi="Symbol" w:hint="default"/>
      </w:rPr>
    </w:lvl>
    <w:lvl w:ilvl="7" w:tplc="6438123E">
      <w:start w:val="1"/>
      <w:numFmt w:val="bullet"/>
      <w:lvlText w:val="o"/>
      <w:lvlJc w:val="left"/>
      <w:pPr>
        <w:ind w:left="5760" w:hanging="360"/>
      </w:pPr>
      <w:rPr>
        <w:rFonts w:ascii="Courier New" w:hAnsi="Courier New" w:hint="default"/>
      </w:rPr>
    </w:lvl>
    <w:lvl w:ilvl="8" w:tplc="3738B03A">
      <w:start w:val="1"/>
      <w:numFmt w:val="bullet"/>
      <w:lvlText w:val=""/>
      <w:lvlJc w:val="left"/>
      <w:pPr>
        <w:ind w:left="6480" w:hanging="360"/>
      </w:pPr>
      <w:rPr>
        <w:rFonts w:ascii="Wingdings" w:hAnsi="Wingdings" w:hint="default"/>
      </w:rPr>
    </w:lvl>
  </w:abstractNum>
  <w:abstractNum w:abstractNumId="13" w15:restartNumberingAfterBreak="0">
    <w:nsid w:val="4C6ACB92"/>
    <w:multiLevelType w:val="hybridMultilevel"/>
    <w:tmpl w:val="CFC654D6"/>
    <w:lvl w:ilvl="0" w:tplc="057A8800">
      <w:start w:val="1"/>
      <w:numFmt w:val="bullet"/>
      <w:lvlText w:val=""/>
      <w:lvlJc w:val="left"/>
      <w:pPr>
        <w:ind w:left="720" w:hanging="360"/>
      </w:pPr>
      <w:rPr>
        <w:rFonts w:ascii="Symbol" w:hAnsi="Symbol" w:hint="default"/>
      </w:rPr>
    </w:lvl>
    <w:lvl w:ilvl="1" w:tplc="0B3C7600">
      <w:start w:val="1"/>
      <w:numFmt w:val="bullet"/>
      <w:lvlText w:val="o"/>
      <w:lvlJc w:val="left"/>
      <w:pPr>
        <w:ind w:left="1440" w:hanging="360"/>
      </w:pPr>
      <w:rPr>
        <w:rFonts w:ascii="Courier New" w:hAnsi="Courier New" w:hint="default"/>
      </w:rPr>
    </w:lvl>
    <w:lvl w:ilvl="2" w:tplc="751E648A">
      <w:start w:val="1"/>
      <w:numFmt w:val="bullet"/>
      <w:lvlText w:val=""/>
      <w:lvlJc w:val="left"/>
      <w:pPr>
        <w:ind w:left="2160" w:hanging="360"/>
      </w:pPr>
      <w:rPr>
        <w:rFonts w:ascii="Wingdings" w:hAnsi="Wingdings" w:hint="default"/>
      </w:rPr>
    </w:lvl>
    <w:lvl w:ilvl="3" w:tplc="60FAAED8">
      <w:start w:val="1"/>
      <w:numFmt w:val="bullet"/>
      <w:lvlText w:val=""/>
      <w:lvlJc w:val="left"/>
      <w:pPr>
        <w:ind w:left="2880" w:hanging="360"/>
      </w:pPr>
      <w:rPr>
        <w:rFonts w:ascii="Symbol" w:hAnsi="Symbol" w:hint="default"/>
      </w:rPr>
    </w:lvl>
    <w:lvl w:ilvl="4" w:tplc="10505196">
      <w:start w:val="1"/>
      <w:numFmt w:val="bullet"/>
      <w:lvlText w:val="o"/>
      <w:lvlJc w:val="left"/>
      <w:pPr>
        <w:ind w:left="3600" w:hanging="360"/>
      </w:pPr>
      <w:rPr>
        <w:rFonts w:ascii="Courier New" w:hAnsi="Courier New" w:hint="default"/>
      </w:rPr>
    </w:lvl>
    <w:lvl w:ilvl="5" w:tplc="582AB338">
      <w:start w:val="1"/>
      <w:numFmt w:val="bullet"/>
      <w:lvlText w:val=""/>
      <w:lvlJc w:val="left"/>
      <w:pPr>
        <w:ind w:left="4320" w:hanging="360"/>
      </w:pPr>
      <w:rPr>
        <w:rFonts w:ascii="Wingdings" w:hAnsi="Wingdings" w:hint="default"/>
      </w:rPr>
    </w:lvl>
    <w:lvl w:ilvl="6" w:tplc="F99C8AFA">
      <w:start w:val="1"/>
      <w:numFmt w:val="bullet"/>
      <w:lvlText w:val=""/>
      <w:lvlJc w:val="left"/>
      <w:pPr>
        <w:ind w:left="5040" w:hanging="360"/>
      </w:pPr>
      <w:rPr>
        <w:rFonts w:ascii="Symbol" w:hAnsi="Symbol" w:hint="default"/>
      </w:rPr>
    </w:lvl>
    <w:lvl w:ilvl="7" w:tplc="304AD178">
      <w:start w:val="1"/>
      <w:numFmt w:val="bullet"/>
      <w:lvlText w:val="o"/>
      <w:lvlJc w:val="left"/>
      <w:pPr>
        <w:ind w:left="5760" w:hanging="360"/>
      </w:pPr>
      <w:rPr>
        <w:rFonts w:ascii="Courier New" w:hAnsi="Courier New" w:hint="default"/>
      </w:rPr>
    </w:lvl>
    <w:lvl w:ilvl="8" w:tplc="70F602F4">
      <w:start w:val="1"/>
      <w:numFmt w:val="bullet"/>
      <w:lvlText w:val=""/>
      <w:lvlJc w:val="left"/>
      <w:pPr>
        <w:ind w:left="6480" w:hanging="360"/>
      </w:pPr>
      <w:rPr>
        <w:rFonts w:ascii="Wingdings" w:hAnsi="Wingdings" w:hint="default"/>
      </w:rPr>
    </w:lvl>
  </w:abstractNum>
  <w:abstractNum w:abstractNumId="14" w15:restartNumberingAfterBreak="0">
    <w:nsid w:val="4EA67171"/>
    <w:multiLevelType w:val="hybridMultilevel"/>
    <w:tmpl w:val="76CA8218"/>
    <w:lvl w:ilvl="0" w:tplc="010ED9A4">
      <w:start w:val="1"/>
      <w:numFmt w:val="bullet"/>
      <w:lvlText w:val=""/>
      <w:lvlJc w:val="left"/>
      <w:pPr>
        <w:ind w:left="720" w:hanging="360"/>
      </w:pPr>
      <w:rPr>
        <w:rFonts w:ascii="Symbol" w:hAnsi="Symbol" w:hint="default"/>
      </w:rPr>
    </w:lvl>
    <w:lvl w:ilvl="1" w:tplc="07C09C98" w:tentative="1">
      <w:start w:val="1"/>
      <w:numFmt w:val="bullet"/>
      <w:lvlText w:val="o"/>
      <w:lvlJc w:val="left"/>
      <w:pPr>
        <w:ind w:left="1440" w:hanging="360"/>
      </w:pPr>
      <w:rPr>
        <w:rFonts w:ascii="Courier New" w:hAnsi="Courier New" w:cs="Courier New" w:hint="default"/>
      </w:rPr>
    </w:lvl>
    <w:lvl w:ilvl="2" w:tplc="09D69FC4" w:tentative="1">
      <w:start w:val="1"/>
      <w:numFmt w:val="bullet"/>
      <w:lvlText w:val=""/>
      <w:lvlJc w:val="left"/>
      <w:pPr>
        <w:ind w:left="2160" w:hanging="360"/>
      </w:pPr>
      <w:rPr>
        <w:rFonts w:ascii="Wingdings" w:hAnsi="Wingdings" w:hint="default"/>
      </w:rPr>
    </w:lvl>
    <w:lvl w:ilvl="3" w:tplc="ADEA85DA" w:tentative="1">
      <w:start w:val="1"/>
      <w:numFmt w:val="bullet"/>
      <w:lvlText w:val=""/>
      <w:lvlJc w:val="left"/>
      <w:pPr>
        <w:ind w:left="2880" w:hanging="360"/>
      </w:pPr>
      <w:rPr>
        <w:rFonts w:ascii="Symbol" w:hAnsi="Symbol" w:hint="default"/>
      </w:rPr>
    </w:lvl>
    <w:lvl w:ilvl="4" w:tplc="A4C81B04" w:tentative="1">
      <w:start w:val="1"/>
      <w:numFmt w:val="bullet"/>
      <w:lvlText w:val="o"/>
      <w:lvlJc w:val="left"/>
      <w:pPr>
        <w:ind w:left="3600" w:hanging="360"/>
      </w:pPr>
      <w:rPr>
        <w:rFonts w:ascii="Courier New" w:hAnsi="Courier New" w:cs="Courier New" w:hint="default"/>
      </w:rPr>
    </w:lvl>
    <w:lvl w:ilvl="5" w:tplc="B30A0FD0" w:tentative="1">
      <w:start w:val="1"/>
      <w:numFmt w:val="bullet"/>
      <w:lvlText w:val=""/>
      <w:lvlJc w:val="left"/>
      <w:pPr>
        <w:ind w:left="4320" w:hanging="360"/>
      </w:pPr>
      <w:rPr>
        <w:rFonts w:ascii="Wingdings" w:hAnsi="Wingdings" w:hint="default"/>
      </w:rPr>
    </w:lvl>
    <w:lvl w:ilvl="6" w:tplc="EC62F5B4" w:tentative="1">
      <w:start w:val="1"/>
      <w:numFmt w:val="bullet"/>
      <w:lvlText w:val=""/>
      <w:lvlJc w:val="left"/>
      <w:pPr>
        <w:ind w:left="5040" w:hanging="360"/>
      </w:pPr>
      <w:rPr>
        <w:rFonts w:ascii="Symbol" w:hAnsi="Symbol" w:hint="default"/>
      </w:rPr>
    </w:lvl>
    <w:lvl w:ilvl="7" w:tplc="A1C0D21E" w:tentative="1">
      <w:start w:val="1"/>
      <w:numFmt w:val="bullet"/>
      <w:lvlText w:val="o"/>
      <w:lvlJc w:val="left"/>
      <w:pPr>
        <w:ind w:left="5760" w:hanging="360"/>
      </w:pPr>
      <w:rPr>
        <w:rFonts w:ascii="Courier New" w:hAnsi="Courier New" w:cs="Courier New" w:hint="default"/>
      </w:rPr>
    </w:lvl>
    <w:lvl w:ilvl="8" w:tplc="66A2DC32" w:tentative="1">
      <w:start w:val="1"/>
      <w:numFmt w:val="bullet"/>
      <w:lvlText w:val=""/>
      <w:lvlJc w:val="left"/>
      <w:pPr>
        <w:ind w:left="6480" w:hanging="360"/>
      </w:pPr>
      <w:rPr>
        <w:rFonts w:ascii="Wingdings" w:hAnsi="Wingdings" w:hint="default"/>
      </w:rPr>
    </w:lvl>
  </w:abstractNum>
  <w:abstractNum w:abstractNumId="15" w15:restartNumberingAfterBreak="0">
    <w:nsid w:val="50FC1703"/>
    <w:multiLevelType w:val="multilevel"/>
    <w:tmpl w:val="FF54E89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6" w15:restartNumberingAfterBreak="0">
    <w:nsid w:val="57BDFE0F"/>
    <w:multiLevelType w:val="hybridMultilevel"/>
    <w:tmpl w:val="26E69E74"/>
    <w:lvl w:ilvl="0" w:tplc="6434B3CE">
      <w:start w:val="1"/>
      <w:numFmt w:val="bullet"/>
      <w:lvlText w:val=""/>
      <w:lvlJc w:val="left"/>
      <w:pPr>
        <w:ind w:left="720" w:hanging="360"/>
      </w:pPr>
      <w:rPr>
        <w:rFonts w:ascii="Symbol" w:hAnsi="Symbol" w:hint="default"/>
      </w:rPr>
    </w:lvl>
    <w:lvl w:ilvl="1" w:tplc="99C0F8AC">
      <w:start w:val="1"/>
      <w:numFmt w:val="bullet"/>
      <w:lvlText w:val="o"/>
      <w:lvlJc w:val="left"/>
      <w:pPr>
        <w:ind w:left="1440" w:hanging="360"/>
      </w:pPr>
      <w:rPr>
        <w:rFonts w:ascii="Courier New" w:hAnsi="Courier New" w:hint="default"/>
      </w:rPr>
    </w:lvl>
    <w:lvl w:ilvl="2" w:tplc="98D22A64">
      <w:start w:val="1"/>
      <w:numFmt w:val="bullet"/>
      <w:lvlText w:val=""/>
      <w:lvlJc w:val="left"/>
      <w:pPr>
        <w:ind w:left="2160" w:hanging="360"/>
      </w:pPr>
      <w:rPr>
        <w:rFonts w:ascii="Wingdings" w:hAnsi="Wingdings" w:hint="default"/>
      </w:rPr>
    </w:lvl>
    <w:lvl w:ilvl="3" w:tplc="9BB4D7F2">
      <w:start w:val="1"/>
      <w:numFmt w:val="bullet"/>
      <w:lvlText w:val=""/>
      <w:lvlJc w:val="left"/>
      <w:pPr>
        <w:ind w:left="2880" w:hanging="360"/>
      </w:pPr>
      <w:rPr>
        <w:rFonts w:ascii="Symbol" w:hAnsi="Symbol" w:hint="default"/>
      </w:rPr>
    </w:lvl>
    <w:lvl w:ilvl="4" w:tplc="ED02FAB8">
      <w:start w:val="1"/>
      <w:numFmt w:val="bullet"/>
      <w:lvlText w:val="o"/>
      <w:lvlJc w:val="left"/>
      <w:pPr>
        <w:ind w:left="3600" w:hanging="360"/>
      </w:pPr>
      <w:rPr>
        <w:rFonts w:ascii="Courier New" w:hAnsi="Courier New" w:hint="default"/>
      </w:rPr>
    </w:lvl>
    <w:lvl w:ilvl="5" w:tplc="0B90D432">
      <w:start w:val="1"/>
      <w:numFmt w:val="bullet"/>
      <w:lvlText w:val=""/>
      <w:lvlJc w:val="left"/>
      <w:pPr>
        <w:ind w:left="4320" w:hanging="360"/>
      </w:pPr>
      <w:rPr>
        <w:rFonts w:ascii="Wingdings" w:hAnsi="Wingdings" w:hint="default"/>
      </w:rPr>
    </w:lvl>
    <w:lvl w:ilvl="6" w:tplc="36B2C570">
      <w:start w:val="1"/>
      <w:numFmt w:val="bullet"/>
      <w:lvlText w:val=""/>
      <w:lvlJc w:val="left"/>
      <w:pPr>
        <w:ind w:left="5040" w:hanging="360"/>
      </w:pPr>
      <w:rPr>
        <w:rFonts w:ascii="Symbol" w:hAnsi="Symbol" w:hint="default"/>
      </w:rPr>
    </w:lvl>
    <w:lvl w:ilvl="7" w:tplc="D5A82746">
      <w:start w:val="1"/>
      <w:numFmt w:val="bullet"/>
      <w:lvlText w:val="o"/>
      <w:lvlJc w:val="left"/>
      <w:pPr>
        <w:ind w:left="5760" w:hanging="360"/>
      </w:pPr>
      <w:rPr>
        <w:rFonts w:ascii="Courier New" w:hAnsi="Courier New" w:hint="default"/>
      </w:rPr>
    </w:lvl>
    <w:lvl w:ilvl="8" w:tplc="EC729AC4">
      <w:start w:val="1"/>
      <w:numFmt w:val="bullet"/>
      <w:lvlText w:val=""/>
      <w:lvlJc w:val="left"/>
      <w:pPr>
        <w:ind w:left="6480" w:hanging="360"/>
      </w:pPr>
      <w:rPr>
        <w:rFonts w:ascii="Wingdings" w:hAnsi="Wingdings" w:hint="default"/>
      </w:rPr>
    </w:lvl>
  </w:abstractNum>
  <w:abstractNum w:abstractNumId="17" w15:restartNumberingAfterBreak="0">
    <w:nsid w:val="5A81430F"/>
    <w:multiLevelType w:val="hybridMultilevel"/>
    <w:tmpl w:val="BEB8406E"/>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18" w15:restartNumberingAfterBreak="0">
    <w:nsid w:val="6152485E"/>
    <w:multiLevelType w:val="hybridMultilevel"/>
    <w:tmpl w:val="9844EC24"/>
    <w:lvl w:ilvl="0" w:tplc="C9728FD2">
      <w:start w:val="1"/>
      <w:numFmt w:val="bullet"/>
      <w:lvlText w:val=""/>
      <w:lvlJc w:val="left"/>
      <w:pPr>
        <w:ind w:left="720" w:hanging="360"/>
      </w:pPr>
      <w:rPr>
        <w:rFonts w:ascii="Symbol" w:hAnsi="Symbol" w:hint="default"/>
      </w:rPr>
    </w:lvl>
    <w:lvl w:ilvl="1" w:tplc="018CC466" w:tentative="1">
      <w:start w:val="1"/>
      <w:numFmt w:val="bullet"/>
      <w:lvlText w:val="o"/>
      <w:lvlJc w:val="left"/>
      <w:pPr>
        <w:ind w:left="1440" w:hanging="360"/>
      </w:pPr>
      <w:rPr>
        <w:rFonts w:ascii="Courier New" w:hAnsi="Courier New" w:cs="Courier New" w:hint="default"/>
      </w:rPr>
    </w:lvl>
    <w:lvl w:ilvl="2" w:tplc="2360A498" w:tentative="1">
      <w:start w:val="1"/>
      <w:numFmt w:val="bullet"/>
      <w:lvlText w:val=""/>
      <w:lvlJc w:val="left"/>
      <w:pPr>
        <w:ind w:left="2160" w:hanging="360"/>
      </w:pPr>
      <w:rPr>
        <w:rFonts w:ascii="Wingdings" w:hAnsi="Wingdings" w:hint="default"/>
      </w:rPr>
    </w:lvl>
    <w:lvl w:ilvl="3" w:tplc="D8D862C4" w:tentative="1">
      <w:start w:val="1"/>
      <w:numFmt w:val="bullet"/>
      <w:lvlText w:val=""/>
      <w:lvlJc w:val="left"/>
      <w:pPr>
        <w:ind w:left="2880" w:hanging="360"/>
      </w:pPr>
      <w:rPr>
        <w:rFonts w:ascii="Symbol" w:hAnsi="Symbol" w:hint="default"/>
      </w:rPr>
    </w:lvl>
    <w:lvl w:ilvl="4" w:tplc="63FC2248" w:tentative="1">
      <w:start w:val="1"/>
      <w:numFmt w:val="bullet"/>
      <w:lvlText w:val="o"/>
      <w:lvlJc w:val="left"/>
      <w:pPr>
        <w:ind w:left="3600" w:hanging="360"/>
      </w:pPr>
      <w:rPr>
        <w:rFonts w:ascii="Courier New" w:hAnsi="Courier New" w:cs="Courier New" w:hint="default"/>
      </w:rPr>
    </w:lvl>
    <w:lvl w:ilvl="5" w:tplc="AF666492" w:tentative="1">
      <w:start w:val="1"/>
      <w:numFmt w:val="bullet"/>
      <w:lvlText w:val=""/>
      <w:lvlJc w:val="left"/>
      <w:pPr>
        <w:ind w:left="4320" w:hanging="360"/>
      </w:pPr>
      <w:rPr>
        <w:rFonts w:ascii="Wingdings" w:hAnsi="Wingdings" w:hint="default"/>
      </w:rPr>
    </w:lvl>
    <w:lvl w:ilvl="6" w:tplc="9A149354" w:tentative="1">
      <w:start w:val="1"/>
      <w:numFmt w:val="bullet"/>
      <w:lvlText w:val=""/>
      <w:lvlJc w:val="left"/>
      <w:pPr>
        <w:ind w:left="5040" w:hanging="360"/>
      </w:pPr>
      <w:rPr>
        <w:rFonts w:ascii="Symbol" w:hAnsi="Symbol" w:hint="default"/>
      </w:rPr>
    </w:lvl>
    <w:lvl w:ilvl="7" w:tplc="78FE1014" w:tentative="1">
      <w:start w:val="1"/>
      <w:numFmt w:val="bullet"/>
      <w:lvlText w:val="o"/>
      <w:lvlJc w:val="left"/>
      <w:pPr>
        <w:ind w:left="5760" w:hanging="360"/>
      </w:pPr>
      <w:rPr>
        <w:rFonts w:ascii="Courier New" w:hAnsi="Courier New" w:cs="Courier New" w:hint="default"/>
      </w:rPr>
    </w:lvl>
    <w:lvl w:ilvl="8" w:tplc="4AE49A82" w:tentative="1">
      <w:start w:val="1"/>
      <w:numFmt w:val="bullet"/>
      <w:lvlText w:val=""/>
      <w:lvlJc w:val="left"/>
      <w:pPr>
        <w:ind w:left="6480" w:hanging="360"/>
      </w:pPr>
      <w:rPr>
        <w:rFonts w:ascii="Wingdings" w:hAnsi="Wingdings" w:hint="default"/>
      </w:rPr>
    </w:lvl>
  </w:abstractNum>
  <w:abstractNum w:abstractNumId="19" w15:restartNumberingAfterBreak="0">
    <w:nsid w:val="61E0B0F2"/>
    <w:multiLevelType w:val="hybridMultilevel"/>
    <w:tmpl w:val="692C4868"/>
    <w:lvl w:ilvl="0" w:tplc="1DE0A2D0">
      <w:start w:val="1"/>
      <w:numFmt w:val="bullet"/>
      <w:lvlText w:val="-"/>
      <w:lvlJc w:val="left"/>
      <w:pPr>
        <w:ind w:left="720" w:hanging="360"/>
      </w:pPr>
      <w:rPr>
        <w:rFonts w:ascii="Calibri" w:hAnsi="Calibri" w:hint="default"/>
      </w:rPr>
    </w:lvl>
    <w:lvl w:ilvl="1" w:tplc="94B69438">
      <w:start w:val="1"/>
      <w:numFmt w:val="bullet"/>
      <w:lvlText w:val="o"/>
      <w:lvlJc w:val="left"/>
      <w:pPr>
        <w:ind w:left="1440" w:hanging="360"/>
      </w:pPr>
      <w:rPr>
        <w:rFonts w:ascii="Courier New" w:hAnsi="Courier New" w:hint="default"/>
      </w:rPr>
    </w:lvl>
    <w:lvl w:ilvl="2" w:tplc="BAC6CB0A">
      <w:start w:val="1"/>
      <w:numFmt w:val="bullet"/>
      <w:lvlText w:val=""/>
      <w:lvlJc w:val="left"/>
      <w:pPr>
        <w:ind w:left="2160" w:hanging="360"/>
      </w:pPr>
      <w:rPr>
        <w:rFonts w:ascii="Wingdings" w:hAnsi="Wingdings" w:hint="default"/>
      </w:rPr>
    </w:lvl>
    <w:lvl w:ilvl="3" w:tplc="BEFC3BB2">
      <w:start w:val="1"/>
      <w:numFmt w:val="bullet"/>
      <w:lvlText w:val=""/>
      <w:lvlJc w:val="left"/>
      <w:pPr>
        <w:ind w:left="2880" w:hanging="360"/>
      </w:pPr>
      <w:rPr>
        <w:rFonts w:ascii="Symbol" w:hAnsi="Symbol" w:hint="default"/>
      </w:rPr>
    </w:lvl>
    <w:lvl w:ilvl="4" w:tplc="670E112C">
      <w:start w:val="1"/>
      <w:numFmt w:val="bullet"/>
      <w:lvlText w:val="o"/>
      <w:lvlJc w:val="left"/>
      <w:pPr>
        <w:ind w:left="3600" w:hanging="360"/>
      </w:pPr>
      <w:rPr>
        <w:rFonts w:ascii="Courier New" w:hAnsi="Courier New" w:hint="default"/>
      </w:rPr>
    </w:lvl>
    <w:lvl w:ilvl="5" w:tplc="437E9566">
      <w:start w:val="1"/>
      <w:numFmt w:val="bullet"/>
      <w:lvlText w:val=""/>
      <w:lvlJc w:val="left"/>
      <w:pPr>
        <w:ind w:left="4320" w:hanging="360"/>
      </w:pPr>
      <w:rPr>
        <w:rFonts w:ascii="Wingdings" w:hAnsi="Wingdings" w:hint="default"/>
      </w:rPr>
    </w:lvl>
    <w:lvl w:ilvl="6" w:tplc="CDEC68EC">
      <w:start w:val="1"/>
      <w:numFmt w:val="bullet"/>
      <w:lvlText w:val=""/>
      <w:lvlJc w:val="left"/>
      <w:pPr>
        <w:ind w:left="5040" w:hanging="360"/>
      </w:pPr>
      <w:rPr>
        <w:rFonts w:ascii="Symbol" w:hAnsi="Symbol" w:hint="default"/>
      </w:rPr>
    </w:lvl>
    <w:lvl w:ilvl="7" w:tplc="981CFC56">
      <w:start w:val="1"/>
      <w:numFmt w:val="bullet"/>
      <w:lvlText w:val="o"/>
      <w:lvlJc w:val="left"/>
      <w:pPr>
        <w:ind w:left="5760" w:hanging="360"/>
      </w:pPr>
      <w:rPr>
        <w:rFonts w:ascii="Courier New" w:hAnsi="Courier New" w:hint="default"/>
      </w:rPr>
    </w:lvl>
    <w:lvl w:ilvl="8" w:tplc="0DE8BD7E">
      <w:start w:val="1"/>
      <w:numFmt w:val="bullet"/>
      <w:lvlText w:val=""/>
      <w:lvlJc w:val="left"/>
      <w:pPr>
        <w:ind w:left="6480" w:hanging="360"/>
      </w:pPr>
      <w:rPr>
        <w:rFonts w:ascii="Wingdings" w:hAnsi="Wingdings" w:hint="default"/>
      </w:rPr>
    </w:lvl>
  </w:abstractNum>
  <w:abstractNum w:abstractNumId="20" w15:restartNumberingAfterBreak="0">
    <w:nsid w:val="62FA68B0"/>
    <w:multiLevelType w:val="multilevel"/>
    <w:tmpl w:val="EA5EBE20"/>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5E677BA"/>
    <w:multiLevelType w:val="hybridMultilevel"/>
    <w:tmpl w:val="D4D47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F77954"/>
    <w:multiLevelType w:val="hybridMultilevel"/>
    <w:tmpl w:val="C3DA3E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894674"/>
    <w:multiLevelType w:val="multilevel"/>
    <w:tmpl w:val="3196A2BC"/>
    <w:lvl w:ilvl="0">
      <w:start w:val="1"/>
      <w:numFmt w:val="decimal"/>
      <w:lvlText w:val="%1.0"/>
      <w:lvlJc w:val="left"/>
      <w:pPr>
        <w:ind w:left="564" w:hanging="564"/>
      </w:pPr>
      <w:rPr>
        <w:rFonts w:eastAsiaTheme="minorEastAsia" w:hint="default"/>
        <w:color w:val="auto"/>
      </w:rPr>
    </w:lvl>
    <w:lvl w:ilvl="1">
      <w:start w:val="1"/>
      <w:numFmt w:val="decimal"/>
      <w:lvlText w:val="%1.%2"/>
      <w:lvlJc w:val="left"/>
      <w:pPr>
        <w:ind w:left="1284" w:hanging="564"/>
      </w:pPr>
      <w:rPr>
        <w:rFonts w:eastAsiaTheme="minorEastAsia" w:hint="default"/>
        <w:color w:val="auto"/>
      </w:rPr>
    </w:lvl>
    <w:lvl w:ilvl="2">
      <w:start w:val="1"/>
      <w:numFmt w:val="decimal"/>
      <w:lvlText w:val="%1.%2.%3"/>
      <w:lvlJc w:val="left"/>
      <w:pPr>
        <w:ind w:left="2160" w:hanging="720"/>
      </w:pPr>
      <w:rPr>
        <w:rFonts w:eastAsiaTheme="minorEastAsia" w:hint="default"/>
        <w:color w:val="auto"/>
      </w:rPr>
    </w:lvl>
    <w:lvl w:ilvl="3">
      <w:start w:val="1"/>
      <w:numFmt w:val="decimal"/>
      <w:lvlText w:val="%1.%2.%3.%4"/>
      <w:lvlJc w:val="left"/>
      <w:pPr>
        <w:ind w:left="2880" w:hanging="720"/>
      </w:pPr>
      <w:rPr>
        <w:rFonts w:eastAsiaTheme="minorEastAsia" w:hint="default"/>
        <w:color w:val="auto"/>
      </w:rPr>
    </w:lvl>
    <w:lvl w:ilvl="4">
      <w:start w:val="1"/>
      <w:numFmt w:val="decimal"/>
      <w:lvlText w:val="%1.%2.%3.%4.%5"/>
      <w:lvlJc w:val="left"/>
      <w:pPr>
        <w:ind w:left="3960" w:hanging="1080"/>
      </w:pPr>
      <w:rPr>
        <w:rFonts w:eastAsiaTheme="minorEastAsia" w:hint="default"/>
        <w:color w:val="auto"/>
      </w:rPr>
    </w:lvl>
    <w:lvl w:ilvl="5">
      <w:start w:val="1"/>
      <w:numFmt w:val="decimal"/>
      <w:lvlText w:val="%1.%2.%3.%4.%5.%6"/>
      <w:lvlJc w:val="left"/>
      <w:pPr>
        <w:ind w:left="4680" w:hanging="1080"/>
      </w:pPr>
      <w:rPr>
        <w:rFonts w:eastAsiaTheme="minorEastAsia" w:hint="default"/>
        <w:color w:val="auto"/>
      </w:rPr>
    </w:lvl>
    <w:lvl w:ilvl="6">
      <w:start w:val="1"/>
      <w:numFmt w:val="decimal"/>
      <w:lvlText w:val="%1.%2.%3.%4.%5.%6.%7"/>
      <w:lvlJc w:val="left"/>
      <w:pPr>
        <w:ind w:left="5760" w:hanging="1440"/>
      </w:pPr>
      <w:rPr>
        <w:rFonts w:eastAsiaTheme="minorEastAsia" w:hint="default"/>
        <w:color w:val="auto"/>
      </w:rPr>
    </w:lvl>
    <w:lvl w:ilvl="7">
      <w:start w:val="1"/>
      <w:numFmt w:val="decimal"/>
      <w:lvlText w:val="%1.%2.%3.%4.%5.%6.%7.%8"/>
      <w:lvlJc w:val="left"/>
      <w:pPr>
        <w:ind w:left="6480" w:hanging="1440"/>
      </w:pPr>
      <w:rPr>
        <w:rFonts w:eastAsiaTheme="minorEastAsia" w:hint="default"/>
        <w:color w:val="auto"/>
      </w:rPr>
    </w:lvl>
    <w:lvl w:ilvl="8">
      <w:start w:val="1"/>
      <w:numFmt w:val="decimal"/>
      <w:lvlText w:val="%1.%2.%3.%4.%5.%6.%7.%8.%9"/>
      <w:lvlJc w:val="left"/>
      <w:pPr>
        <w:ind w:left="7560" w:hanging="1800"/>
      </w:pPr>
      <w:rPr>
        <w:rFonts w:eastAsiaTheme="minorEastAsia" w:hint="default"/>
        <w:color w:val="auto"/>
      </w:rPr>
    </w:lvl>
  </w:abstractNum>
  <w:abstractNum w:abstractNumId="24" w15:restartNumberingAfterBreak="0">
    <w:nsid w:val="79F75E70"/>
    <w:multiLevelType w:val="hybridMultilevel"/>
    <w:tmpl w:val="809C562C"/>
    <w:lvl w:ilvl="0" w:tplc="8F66A4A0">
      <w:start w:val="1"/>
      <w:numFmt w:val="bullet"/>
      <w:lvlText w:val=""/>
      <w:lvlJc w:val="left"/>
      <w:pPr>
        <w:ind w:left="360" w:hanging="360"/>
      </w:pPr>
      <w:rPr>
        <w:rFonts w:ascii="Symbol" w:hAnsi="Symbol" w:hint="default"/>
      </w:rPr>
    </w:lvl>
    <w:lvl w:ilvl="1" w:tplc="2C1225A0">
      <w:start w:val="1"/>
      <w:numFmt w:val="bullet"/>
      <w:lvlText w:val="–"/>
      <w:lvlJc w:val="left"/>
      <w:pPr>
        <w:ind w:left="1080" w:hanging="360"/>
      </w:pPr>
      <w:rPr>
        <w:rFonts w:ascii="Calibri" w:hAnsi="Calibri" w:hint="default"/>
      </w:rPr>
    </w:lvl>
    <w:lvl w:ilvl="2" w:tplc="BBC88BF2">
      <w:start w:val="1"/>
      <w:numFmt w:val="bullet"/>
      <w:lvlText w:val=""/>
      <w:lvlJc w:val="left"/>
      <w:pPr>
        <w:ind w:left="1800" w:hanging="360"/>
      </w:pPr>
      <w:rPr>
        <w:rFonts w:ascii="Wingdings" w:hAnsi="Wingdings" w:hint="default"/>
      </w:rPr>
    </w:lvl>
    <w:lvl w:ilvl="3" w:tplc="60A883D6">
      <w:start w:val="1"/>
      <w:numFmt w:val="bullet"/>
      <w:lvlText w:val=""/>
      <w:lvlJc w:val="left"/>
      <w:pPr>
        <w:ind w:left="2520" w:hanging="360"/>
      </w:pPr>
      <w:rPr>
        <w:rFonts w:ascii="Symbol" w:hAnsi="Symbol" w:hint="default"/>
      </w:rPr>
    </w:lvl>
    <w:lvl w:ilvl="4" w:tplc="16BA3352">
      <w:start w:val="1"/>
      <w:numFmt w:val="bullet"/>
      <w:lvlText w:val="o"/>
      <w:lvlJc w:val="left"/>
      <w:pPr>
        <w:ind w:left="3240" w:hanging="360"/>
      </w:pPr>
      <w:rPr>
        <w:rFonts w:ascii="Courier New" w:hAnsi="Courier New" w:cs="Courier New" w:hint="default"/>
      </w:rPr>
    </w:lvl>
    <w:lvl w:ilvl="5" w:tplc="18A4B7E0">
      <w:start w:val="1"/>
      <w:numFmt w:val="bullet"/>
      <w:lvlText w:val=""/>
      <w:lvlJc w:val="left"/>
      <w:pPr>
        <w:ind w:left="3960" w:hanging="360"/>
      </w:pPr>
      <w:rPr>
        <w:rFonts w:ascii="Wingdings" w:hAnsi="Wingdings" w:hint="default"/>
      </w:rPr>
    </w:lvl>
    <w:lvl w:ilvl="6" w:tplc="939655A2">
      <w:start w:val="1"/>
      <w:numFmt w:val="bullet"/>
      <w:lvlText w:val=""/>
      <w:lvlJc w:val="left"/>
      <w:pPr>
        <w:ind w:left="4680" w:hanging="360"/>
      </w:pPr>
      <w:rPr>
        <w:rFonts w:ascii="Symbol" w:hAnsi="Symbol" w:hint="default"/>
      </w:rPr>
    </w:lvl>
    <w:lvl w:ilvl="7" w:tplc="9C003596">
      <w:start w:val="1"/>
      <w:numFmt w:val="bullet"/>
      <w:lvlText w:val="o"/>
      <w:lvlJc w:val="left"/>
      <w:pPr>
        <w:ind w:left="5400" w:hanging="360"/>
      </w:pPr>
      <w:rPr>
        <w:rFonts w:ascii="Courier New" w:hAnsi="Courier New" w:cs="Courier New" w:hint="default"/>
      </w:rPr>
    </w:lvl>
    <w:lvl w:ilvl="8" w:tplc="1856F81A">
      <w:start w:val="1"/>
      <w:numFmt w:val="bullet"/>
      <w:lvlText w:val=""/>
      <w:lvlJc w:val="left"/>
      <w:pPr>
        <w:ind w:left="6120" w:hanging="360"/>
      </w:pPr>
      <w:rPr>
        <w:rFonts w:ascii="Wingdings" w:hAnsi="Wingdings" w:hint="default"/>
      </w:rPr>
    </w:lvl>
  </w:abstractNum>
  <w:abstractNum w:abstractNumId="25" w15:restartNumberingAfterBreak="0">
    <w:nsid w:val="7C66231F"/>
    <w:multiLevelType w:val="hybridMultilevel"/>
    <w:tmpl w:val="0F466A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5871379">
    <w:abstractNumId w:val="13"/>
  </w:num>
  <w:num w:numId="2" w16cid:durableId="767429970">
    <w:abstractNumId w:val="19"/>
  </w:num>
  <w:num w:numId="3" w16cid:durableId="1093015316">
    <w:abstractNumId w:val="12"/>
  </w:num>
  <w:num w:numId="4" w16cid:durableId="1477137889">
    <w:abstractNumId w:val="16"/>
  </w:num>
  <w:num w:numId="5" w16cid:durableId="1001010014">
    <w:abstractNumId w:val="4"/>
  </w:num>
  <w:num w:numId="6" w16cid:durableId="1209680737">
    <w:abstractNumId w:val="14"/>
  </w:num>
  <w:num w:numId="7" w16cid:durableId="1359231474">
    <w:abstractNumId w:val="18"/>
  </w:num>
  <w:num w:numId="8" w16cid:durableId="948241688">
    <w:abstractNumId w:val="24"/>
  </w:num>
  <w:num w:numId="9" w16cid:durableId="2095086837">
    <w:abstractNumId w:val="11"/>
  </w:num>
  <w:num w:numId="10" w16cid:durableId="266424734">
    <w:abstractNumId w:val="20"/>
  </w:num>
  <w:num w:numId="11" w16cid:durableId="330181204">
    <w:abstractNumId w:val="6"/>
  </w:num>
  <w:num w:numId="12" w16cid:durableId="644970503">
    <w:abstractNumId w:val="2"/>
  </w:num>
  <w:num w:numId="13" w16cid:durableId="121850784">
    <w:abstractNumId w:val="8"/>
  </w:num>
  <w:num w:numId="14" w16cid:durableId="1539197654">
    <w:abstractNumId w:val="15"/>
  </w:num>
  <w:num w:numId="15" w16cid:durableId="790129580">
    <w:abstractNumId w:val="22"/>
  </w:num>
  <w:num w:numId="16" w16cid:durableId="1155335420">
    <w:abstractNumId w:val="23"/>
  </w:num>
  <w:num w:numId="17" w16cid:durableId="928733033">
    <w:abstractNumId w:val="5"/>
  </w:num>
  <w:num w:numId="18" w16cid:durableId="1364667660">
    <w:abstractNumId w:val="0"/>
  </w:num>
  <w:num w:numId="19" w16cid:durableId="1961112376">
    <w:abstractNumId w:val="1"/>
  </w:num>
  <w:num w:numId="20" w16cid:durableId="298531266">
    <w:abstractNumId w:val="25"/>
  </w:num>
  <w:num w:numId="21" w16cid:durableId="113260017">
    <w:abstractNumId w:val="3"/>
  </w:num>
  <w:num w:numId="22" w16cid:durableId="2131391931">
    <w:abstractNumId w:val="17"/>
  </w:num>
  <w:num w:numId="23" w16cid:durableId="1612276116">
    <w:abstractNumId w:val="9"/>
  </w:num>
  <w:num w:numId="24" w16cid:durableId="611978178">
    <w:abstractNumId w:val="7"/>
  </w:num>
  <w:num w:numId="25" w16cid:durableId="458567968">
    <w:abstractNumId w:val="10"/>
  </w:num>
  <w:num w:numId="26" w16cid:durableId="1393112269">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eleine Glacken">
    <w15:presenceInfo w15:providerId="AD" w15:userId="S::Madeleine.Glacken@dpi.qld.gov.au::fadb12f8-5012-497d-a8b0-4c7ce4a34a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E70"/>
    <w:rsid w:val="00000578"/>
    <w:rsid w:val="000006D1"/>
    <w:rsid w:val="000007DE"/>
    <w:rsid w:val="0000167B"/>
    <w:rsid w:val="00001870"/>
    <w:rsid w:val="00001C44"/>
    <w:rsid w:val="00002604"/>
    <w:rsid w:val="000034DB"/>
    <w:rsid w:val="00003807"/>
    <w:rsid w:val="000038C0"/>
    <w:rsid w:val="00003D76"/>
    <w:rsid w:val="00004697"/>
    <w:rsid w:val="00004C21"/>
    <w:rsid w:val="00004EAC"/>
    <w:rsid w:val="0000528B"/>
    <w:rsid w:val="00006846"/>
    <w:rsid w:val="00006EA8"/>
    <w:rsid w:val="00007FC3"/>
    <w:rsid w:val="00010F86"/>
    <w:rsid w:val="00012191"/>
    <w:rsid w:val="00012228"/>
    <w:rsid w:val="00012A71"/>
    <w:rsid w:val="00013181"/>
    <w:rsid w:val="0001335D"/>
    <w:rsid w:val="00013E1F"/>
    <w:rsid w:val="0001459A"/>
    <w:rsid w:val="000152D7"/>
    <w:rsid w:val="0001569C"/>
    <w:rsid w:val="000156C5"/>
    <w:rsid w:val="00016090"/>
    <w:rsid w:val="000164E4"/>
    <w:rsid w:val="000164F7"/>
    <w:rsid w:val="00016B6F"/>
    <w:rsid w:val="00017161"/>
    <w:rsid w:val="000172BD"/>
    <w:rsid w:val="00017E86"/>
    <w:rsid w:val="00020969"/>
    <w:rsid w:val="00020CE0"/>
    <w:rsid w:val="00020E30"/>
    <w:rsid w:val="0002174A"/>
    <w:rsid w:val="00022765"/>
    <w:rsid w:val="000228A2"/>
    <w:rsid w:val="00023B83"/>
    <w:rsid w:val="00024946"/>
    <w:rsid w:val="0002505D"/>
    <w:rsid w:val="00025300"/>
    <w:rsid w:val="0002533F"/>
    <w:rsid w:val="000257D2"/>
    <w:rsid w:val="00026B2F"/>
    <w:rsid w:val="000305CC"/>
    <w:rsid w:val="0003067B"/>
    <w:rsid w:val="000308F5"/>
    <w:rsid w:val="000313A6"/>
    <w:rsid w:val="00031A9C"/>
    <w:rsid w:val="00031AB2"/>
    <w:rsid w:val="00031DC8"/>
    <w:rsid w:val="00031FEB"/>
    <w:rsid w:val="000328CC"/>
    <w:rsid w:val="000330C1"/>
    <w:rsid w:val="0003319C"/>
    <w:rsid w:val="00033749"/>
    <w:rsid w:val="00033A27"/>
    <w:rsid w:val="0003418F"/>
    <w:rsid w:val="0003430D"/>
    <w:rsid w:val="00034370"/>
    <w:rsid w:val="00034BD0"/>
    <w:rsid w:val="00035400"/>
    <w:rsid w:val="00035444"/>
    <w:rsid w:val="00035D88"/>
    <w:rsid w:val="00035F4B"/>
    <w:rsid w:val="00036094"/>
    <w:rsid w:val="000363B8"/>
    <w:rsid w:val="00037B47"/>
    <w:rsid w:val="00037CA7"/>
    <w:rsid w:val="00037FCB"/>
    <w:rsid w:val="0004003D"/>
    <w:rsid w:val="000400F2"/>
    <w:rsid w:val="000405B1"/>
    <w:rsid w:val="0004087F"/>
    <w:rsid w:val="000408C5"/>
    <w:rsid w:val="000410BC"/>
    <w:rsid w:val="00041781"/>
    <w:rsid w:val="00041922"/>
    <w:rsid w:val="00044029"/>
    <w:rsid w:val="000446B2"/>
    <w:rsid w:val="00044831"/>
    <w:rsid w:val="00044E41"/>
    <w:rsid w:val="000453FC"/>
    <w:rsid w:val="00045755"/>
    <w:rsid w:val="00045A6F"/>
    <w:rsid w:val="00045DCF"/>
    <w:rsid w:val="00045FB0"/>
    <w:rsid w:val="00046185"/>
    <w:rsid w:val="00046F60"/>
    <w:rsid w:val="00047CDD"/>
    <w:rsid w:val="00050DAA"/>
    <w:rsid w:val="00050E2D"/>
    <w:rsid w:val="00051209"/>
    <w:rsid w:val="0005125A"/>
    <w:rsid w:val="000518EC"/>
    <w:rsid w:val="00051DF1"/>
    <w:rsid w:val="00052D0B"/>
    <w:rsid w:val="00053613"/>
    <w:rsid w:val="00053AC8"/>
    <w:rsid w:val="00053B84"/>
    <w:rsid w:val="00053E65"/>
    <w:rsid w:val="00053F23"/>
    <w:rsid w:val="00053FF3"/>
    <w:rsid w:val="0005407C"/>
    <w:rsid w:val="00055D27"/>
    <w:rsid w:val="00056975"/>
    <w:rsid w:val="0005698A"/>
    <w:rsid w:val="00056EB1"/>
    <w:rsid w:val="00057503"/>
    <w:rsid w:val="00057B42"/>
    <w:rsid w:val="00061CF8"/>
    <w:rsid w:val="00063E77"/>
    <w:rsid w:val="00064674"/>
    <w:rsid w:val="000646B7"/>
    <w:rsid w:val="000652B7"/>
    <w:rsid w:val="000658CE"/>
    <w:rsid w:val="00065C6E"/>
    <w:rsid w:val="00066140"/>
    <w:rsid w:val="00066370"/>
    <w:rsid w:val="00066A1F"/>
    <w:rsid w:val="00066FF6"/>
    <w:rsid w:val="00067217"/>
    <w:rsid w:val="00067838"/>
    <w:rsid w:val="000703D0"/>
    <w:rsid w:val="00071179"/>
    <w:rsid w:val="0007126B"/>
    <w:rsid w:val="00072477"/>
    <w:rsid w:val="00072942"/>
    <w:rsid w:val="00074590"/>
    <w:rsid w:val="000747F1"/>
    <w:rsid w:val="00074D9E"/>
    <w:rsid w:val="00075700"/>
    <w:rsid w:val="00075B74"/>
    <w:rsid w:val="00076689"/>
    <w:rsid w:val="000766DC"/>
    <w:rsid w:val="0007758C"/>
    <w:rsid w:val="00077EAB"/>
    <w:rsid w:val="000801A1"/>
    <w:rsid w:val="00080457"/>
    <w:rsid w:val="00080C0E"/>
    <w:rsid w:val="00080D23"/>
    <w:rsid w:val="0008132D"/>
    <w:rsid w:val="000826F6"/>
    <w:rsid w:val="00082A46"/>
    <w:rsid w:val="00082B96"/>
    <w:rsid w:val="00082D01"/>
    <w:rsid w:val="00082E06"/>
    <w:rsid w:val="00082E97"/>
    <w:rsid w:val="00084297"/>
    <w:rsid w:val="000849DC"/>
    <w:rsid w:val="00084EC2"/>
    <w:rsid w:val="000857A8"/>
    <w:rsid w:val="00085FD6"/>
    <w:rsid w:val="00087923"/>
    <w:rsid w:val="000916A7"/>
    <w:rsid w:val="00091BF8"/>
    <w:rsid w:val="000926CF"/>
    <w:rsid w:val="00092B26"/>
    <w:rsid w:val="00093A61"/>
    <w:rsid w:val="00094872"/>
    <w:rsid w:val="00095F0D"/>
    <w:rsid w:val="000962D7"/>
    <w:rsid w:val="0009656C"/>
    <w:rsid w:val="0009728B"/>
    <w:rsid w:val="00097483"/>
    <w:rsid w:val="000978B8"/>
    <w:rsid w:val="00097947"/>
    <w:rsid w:val="00097DC0"/>
    <w:rsid w:val="00097E51"/>
    <w:rsid w:val="000A2B29"/>
    <w:rsid w:val="000A38BE"/>
    <w:rsid w:val="000A3EBB"/>
    <w:rsid w:val="000A57B4"/>
    <w:rsid w:val="000A57FD"/>
    <w:rsid w:val="000A7185"/>
    <w:rsid w:val="000A79D0"/>
    <w:rsid w:val="000A7B43"/>
    <w:rsid w:val="000A7F38"/>
    <w:rsid w:val="000A7FFE"/>
    <w:rsid w:val="000B05C1"/>
    <w:rsid w:val="000B0C69"/>
    <w:rsid w:val="000B101D"/>
    <w:rsid w:val="000B1412"/>
    <w:rsid w:val="000B15D3"/>
    <w:rsid w:val="000B1873"/>
    <w:rsid w:val="000B1EF9"/>
    <w:rsid w:val="000B224A"/>
    <w:rsid w:val="000B2786"/>
    <w:rsid w:val="000B2B90"/>
    <w:rsid w:val="000B3441"/>
    <w:rsid w:val="000B3720"/>
    <w:rsid w:val="000B3F9E"/>
    <w:rsid w:val="000B45BF"/>
    <w:rsid w:val="000B4666"/>
    <w:rsid w:val="000B4F2D"/>
    <w:rsid w:val="000B515B"/>
    <w:rsid w:val="000B694B"/>
    <w:rsid w:val="000B700C"/>
    <w:rsid w:val="000B7B76"/>
    <w:rsid w:val="000B7E1F"/>
    <w:rsid w:val="000C060A"/>
    <w:rsid w:val="000C0BAE"/>
    <w:rsid w:val="000C121D"/>
    <w:rsid w:val="000C1227"/>
    <w:rsid w:val="000C1659"/>
    <w:rsid w:val="000C1820"/>
    <w:rsid w:val="000C1849"/>
    <w:rsid w:val="000C1951"/>
    <w:rsid w:val="000C1D5F"/>
    <w:rsid w:val="000C26B6"/>
    <w:rsid w:val="000C26EB"/>
    <w:rsid w:val="000C2D2B"/>
    <w:rsid w:val="000C2E59"/>
    <w:rsid w:val="000C2FAD"/>
    <w:rsid w:val="000C339D"/>
    <w:rsid w:val="000C3BC9"/>
    <w:rsid w:val="000C3E5C"/>
    <w:rsid w:val="000C51B4"/>
    <w:rsid w:val="000C520F"/>
    <w:rsid w:val="000C5D55"/>
    <w:rsid w:val="000C76C4"/>
    <w:rsid w:val="000C7E58"/>
    <w:rsid w:val="000D0A96"/>
    <w:rsid w:val="000D0CB9"/>
    <w:rsid w:val="000D0F17"/>
    <w:rsid w:val="000D1B9C"/>
    <w:rsid w:val="000D228A"/>
    <w:rsid w:val="000D2963"/>
    <w:rsid w:val="000D2C3F"/>
    <w:rsid w:val="000D49A2"/>
    <w:rsid w:val="000D4B3F"/>
    <w:rsid w:val="000D58EF"/>
    <w:rsid w:val="000D5A37"/>
    <w:rsid w:val="000D5D9E"/>
    <w:rsid w:val="000D5F45"/>
    <w:rsid w:val="000D6F33"/>
    <w:rsid w:val="000E090A"/>
    <w:rsid w:val="000E0B10"/>
    <w:rsid w:val="000E10A7"/>
    <w:rsid w:val="000E124F"/>
    <w:rsid w:val="000E1665"/>
    <w:rsid w:val="000E27C6"/>
    <w:rsid w:val="000E354F"/>
    <w:rsid w:val="000E35C5"/>
    <w:rsid w:val="000E40AF"/>
    <w:rsid w:val="000E5181"/>
    <w:rsid w:val="000E75D0"/>
    <w:rsid w:val="000E7A91"/>
    <w:rsid w:val="000F0089"/>
    <w:rsid w:val="000F01A6"/>
    <w:rsid w:val="000F0287"/>
    <w:rsid w:val="000F04FF"/>
    <w:rsid w:val="000F0C0C"/>
    <w:rsid w:val="000F0F5B"/>
    <w:rsid w:val="000F1B0F"/>
    <w:rsid w:val="000F212B"/>
    <w:rsid w:val="000F29E9"/>
    <w:rsid w:val="000F2B26"/>
    <w:rsid w:val="000F2EB1"/>
    <w:rsid w:val="000F32D7"/>
    <w:rsid w:val="000F340D"/>
    <w:rsid w:val="000F3FEC"/>
    <w:rsid w:val="000F408F"/>
    <w:rsid w:val="000F4CD2"/>
    <w:rsid w:val="000F50A6"/>
    <w:rsid w:val="000F574C"/>
    <w:rsid w:val="000F608A"/>
    <w:rsid w:val="000F6296"/>
    <w:rsid w:val="000F6483"/>
    <w:rsid w:val="000F66EC"/>
    <w:rsid w:val="00100212"/>
    <w:rsid w:val="00100DD7"/>
    <w:rsid w:val="0010104B"/>
    <w:rsid w:val="001013F8"/>
    <w:rsid w:val="00101AF0"/>
    <w:rsid w:val="00101CEC"/>
    <w:rsid w:val="00102D27"/>
    <w:rsid w:val="00103F8B"/>
    <w:rsid w:val="00104432"/>
    <w:rsid w:val="0010470F"/>
    <w:rsid w:val="00104756"/>
    <w:rsid w:val="001052F7"/>
    <w:rsid w:val="001059BE"/>
    <w:rsid w:val="0010723D"/>
    <w:rsid w:val="00110A47"/>
    <w:rsid w:val="00110A67"/>
    <w:rsid w:val="001114DC"/>
    <w:rsid w:val="00112854"/>
    <w:rsid w:val="00112F60"/>
    <w:rsid w:val="001137BD"/>
    <w:rsid w:val="00113E39"/>
    <w:rsid w:val="00114F27"/>
    <w:rsid w:val="00115007"/>
    <w:rsid w:val="001155BF"/>
    <w:rsid w:val="001165FF"/>
    <w:rsid w:val="00117622"/>
    <w:rsid w:val="00117E88"/>
    <w:rsid w:val="001201EE"/>
    <w:rsid w:val="0012042B"/>
    <w:rsid w:val="001207EF"/>
    <w:rsid w:val="00120A4E"/>
    <w:rsid w:val="00120C7A"/>
    <w:rsid w:val="0012158F"/>
    <w:rsid w:val="00121D1A"/>
    <w:rsid w:val="00122D6A"/>
    <w:rsid w:val="00122EC2"/>
    <w:rsid w:val="00122F46"/>
    <w:rsid w:val="00123716"/>
    <w:rsid w:val="00123D11"/>
    <w:rsid w:val="00124493"/>
    <w:rsid w:val="001249BC"/>
    <w:rsid w:val="00125255"/>
    <w:rsid w:val="00125279"/>
    <w:rsid w:val="00125613"/>
    <w:rsid w:val="00126885"/>
    <w:rsid w:val="0013002D"/>
    <w:rsid w:val="00130680"/>
    <w:rsid w:val="001308BF"/>
    <w:rsid w:val="00131364"/>
    <w:rsid w:val="001316BF"/>
    <w:rsid w:val="001325FE"/>
    <w:rsid w:val="00132FA6"/>
    <w:rsid w:val="0013324B"/>
    <w:rsid w:val="00133644"/>
    <w:rsid w:val="0013445C"/>
    <w:rsid w:val="001348F3"/>
    <w:rsid w:val="00134C39"/>
    <w:rsid w:val="00134EDD"/>
    <w:rsid w:val="00135229"/>
    <w:rsid w:val="00135275"/>
    <w:rsid w:val="00135622"/>
    <w:rsid w:val="00136BC4"/>
    <w:rsid w:val="00136DC9"/>
    <w:rsid w:val="00137272"/>
    <w:rsid w:val="00137AB2"/>
    <w:rsid w:val="0014020E"/>
    <w:rsid w:val="001404DE"/>
    <w:rsid w:val="00140655"/>
    <w:rsid w:val="00141527"/>
    <w:rsid w:val="00142AEA"/>
    <w:rsid w:val="00143745"/>
    <w:rsid w:val="001437FE"/>
    <w:rsid w:val="001438EB"/>
    <w:rsid w:val="00144E48"/>
    <w:rsid w:val="00145747"/>
    <w:rsid w:val="001458BF"/>
    <w:rsid w:val="00145A95"/>
    <w:rsid w:val="0014689A"/>
    <w:rsid w:val="00147004"/>
    <w:rsid w:val="0014705F"/>
    <w:rsid w:val="00147708"/>
    <w:rsid w:val="00147870"/>
    <w:rsid w:val="00147F84"/>
    <w:rsid w:val="00150470"/>
    <w:rsid w:val="0015086E"/>
    <w:rsid w:val="001511C9"/>
    <w:rsid w:val="0015139D"/>
    <w:rsid w:val="00151A90"/>
    <w:rsid w:val="0015204C"/>
    <w:rsid w:val="00152AB7"/>
    <w:rsid w:val="00152BCD"/>
    <w:rsid w:val="00153259"/>
    <w:rsid w:val="001535A8"/>
    <w:rsid w:val="001539B3"/>
    <w:rsid w:val="00153A2D"/>
    <w:rsid w:val="001546C5"/>
    <w:rsid w:val="0015480D"/>
    <w:rsid w:val="001565D7"/>
    <w:rsid w:val="00156BE9"/>
    <w:rsid w:val="00156C14"/>
    <w:rsid w:val="001573C9"/>
    <w:rsid w:val="0015799D"/>
    <w:rsid w:val="00157B6C"/>
    <w:rsid w:val="00157C81"/>
    <w:rsid w:val="00160AB4"/>
    <w:rsid w:val="001616CC"/>
    <w:rsid w:val="001623C5"/>
    <w:rsid w:val="0016283B"/>
    <w:rsid w:val="0016473E"/>
    <w:rsid w:val="0016493B"/>
    <w:rsid w:val="0016577C"/>
    <w:rsid w:val="00165DDA"/>
    <w:rsid w:val="0017107D"/>
    <w:rsid w:val="00171A24"/>
    <w:rsid w:val="00171DC9"/>
    <w:rsid w:val="0017290B"/>
    <w:rsid w:val="00173386"/>
    <w:rsid w:val="00173B56"/>
    <w:rsid w:val="00173FE3"/>
    <w:rsid w:val="0017417A"/>
    <w:rsid w:val="00174CB8"/>
    <w:rsid w:val="0017548B"/>
    <w:rsid w:val="001757A0"/>
    <w:rsid w:val="0017618D"/>
    <w:rsid w:val="001765A1"/>
    <w:rsid w:val="00176874"/>
    <w:rsid w:val="0017732E"/>
    <w:rsid w:val="001774F3"/>
    <w:rsid w:val="00177DE6"/>
    <w:rsid w:val="001802BD"/>
    <w:rsid w:val="001802CD"/>
    <w:rsid w:val="001806F1"/>
    <w:rsid w:val="00182A83"/>
    <w:rsid w:val="00183095"/>
    <w:rsid w:val="0018334B"/>
    <w:rsid w:val="0018359C"/>
    <w:rsid w:val="00183769"/>
    <w:rsid w:val="001855BF"/>
    <w:rsid w:val="00185734"/>
    <w:rsid w:val="00185AA5"/>
    <w:rsid w:val="00185E63"/>
    <w:rsid w:val="001867A1"/>
    <w:rsid w:val="00186877"/>
    <w:rsid w:val="0019015A"/>
    <w:rsid w:val="00191801"/>
    <w:rsid w:val="00192E76"/>
    <w:rsid w:val="0019317B"/>
    <w:rsid w:val="00193181"/>
    <w:rsid w:val="00193669"/>
    <w:rsid w:val="00193C64"/>
    <w:rsid w:val="0019460F"/>
    <w:rsid w:val="00194C4F"/>
    <w:rsid w:val="001952CE"/>
    <w:rsid w:val="001957A5"/>
    <w:rsid w:val="00195915"/>
    <w:rsid w:val="00195CCA"/>
    <w:rsid w:val="00195D66"/>
    <w:rsid w:val="00195E08"/>
    <w:rsid w:val="00195F75"/>
    <w:rsid w:val="001962F8"/>
    <w:rsid w:val="00196C30"/>
    <w:rsid w:val="00196E94"/>
    <w:rsid w:val="00197B1A"/>
    <w:rsid w:val="00197D86"/>
    <w:rsid w:val="001A09AC"/>
    <w:rsid w:val="001A10FD"/>
    <w:rsid w:val="001A157E"/>
    <w:rsid w:val="001A1F57"/>
    <w:rsid w:val="001A1F68"/>
    <w:rsid w:val="001A2212"/>
    <w:rsid w:val="001A647C"/>
    <w:rsid w:val="001A66A5"/>
    <w:rsid w:val="001A72F6"/>
    <w:rsid w:val="001A7BC8"/>
    <w:rsid w:val="001B0816"/>
    <w:rsid w:val="001B082C"/>
    <w:rsid w:val="001B0976"/>
    <w:rsid w:val="001B0C17"/>
    <w:rsid w:val="001B0F5B"/>
    <w:rsid w:val="001B1524"/>
    <w:rsid w:val="001B1DFE"/>
    <w:rsid w:val="001B2026"/>
    <w:rsid w:val="001B2439"/>
    <w:rsid w:val="001B28B0"/>
    <w:rsid w:val="001B2B67"/>
    <w:rsid w:val="001B33EF"/>
    <w:rsid w:val="001B3402"/>
    <w:rsid w:val="001B37B0"/>
    <w:rsid w:val="001B3A10"/>
    <w:rsid w:val="001B3B73"/>
    <w:rsid w:val="001B42F9"/>
    <w:rsid w:val="001B4D94"/>
    <w:rsid w:val="001B5FEE"/>
    <w:rsid w:val="001B6030"/>
    <w:rsid w:val="001B655D"/>
    <w:rsid w:val="001B74CA"/>
    <w:rsid w:val="001B79CA"/>
    <w:rsid w:val="001B7AAF"/>
    <w:rsid w:val="001B7DA2"/>
    <w:rsid w:val="001B7E63"/>
    <w:rsid w:val="001C0C27"/>
    <w:rsid w:val="001C12EA"/>
    <w:rsid w:val="001C16A4"/>
    <w:rsid w:val="001C1766"/>
    <w:rsid w:val="001C2937"/>
    <w:rsid w:val="001C3073"/>
    <w:rsid w:val="001C3850"/>
    <w:rsid w:val="001C4B8F"/>
    <w:rsid w:val="001C4CDF"/>
    <w:rsid w:val="001C5367"/>
    <w:rsid w:val="001C555F"/>
    <w:rsid w:val="001C5A28"/>
    <w:rsid w:val="001C6727"/>
    <w:rsid w:val="001D067E"/>
    <w:rsid w:val="001D0681"/>
    <w:rsid w:val="001D1324"/>
    <w:rsid w:val="001D2F42"/>
    <w:rsid w:val="001D33CF"/>
    <w:rsid w:val="001D3936"/>
    <w:rsid w:val="001D435E"/>
    <w:rsid w:val="001D4BE7"/>
    <w:rsid w:val="001D5258"/>
    <w:rsid w:val="001D539C"/>
    <w:rsid w:val="001D54F5"/>
    <w:rsid w:val="001D5577"/>
    <w:rsid w:val="001D5913"/>
    <w:rsid w:val="001D5DDC"/>
    <w:rsid w:val="001D6247"/>
    <w:rsid w:val="001D6311"/>
    <w:rsid w:val="001D6405"/>
    <w:rsid w:val="001D6E96"/>
    <w:rsid w:val="001D7632"/>
    <w:rsid w:val="001D79D1"/>
    <w:rsid w:val="001E0712"/>
    <w:rsid w:val="001E1296"/>
    <w:rsid w:val="001E1461"/>
    <w:rsid w:val="001E1CCD"/>
    <w:rsid w:val="001E2A56"/>
    <w:rsid w:val="001E3C7A"/>
    <w:rsid w:val="001E3E35"/>
    <w:rsid w:val="001E5495"/>
    <w:rsid w:val="001E59AC"/>
    <w:rsid w:val="001E7259"/>
    <w:rsid w:val="001E7E74"/>
    <w:rsid w:val="001F0F39"/>
    <w:rsid w:val="001F104C"/>
    <w:rsid w:val="001F142C"/>
    <w:rsid w:val="001F22C0"/>
    <w:rsid w:val="001F24A0"/>
    <w:rsid w:val="001F24BC"/>
    <w:rsid w:val="001F34F6"/>
    <w:rsid w:val="001F4040"/>
    <w:rsid w:val="001F41B9"/>
    <w:rsid w:val="001F43DD"/>
    <w:rsid w:val="001F4D8A"/>
    <w:rsid w:val="001F4F19"/>
    <w:rsid w:val="001F700A"/>
    <w:rsid w:val="00200E6B"/>
    <w:rsid w:val="00201341"/>
    <w:rsid w:val="002016DE"/>
    <w:rsid w:val="002019FF"/>
    <w:rsid w:val="00202EBF"/>
    <w:rsid w:val="00202F5D"/>
    <w:rsid w:val="00203065"/>
    <w:rsid w:val="002031C1"/>
    <w:rsid w:val="002034CF"/>
    <w:rsid w:val="002038A4"/>
    <w:rsid w:val="00203A1B"/>
    <w:rsid w:val="00203B15"/>
    <w:rsid w:val="00203B27"/>
    <w:rsid w:val="00203B43"/>
    <w:rsid w:val="00203B71"/>
    <w:rsid w:val="00203BB3"/>
    <w:rsid w:val="00204731"/>
    <w:rsid w:val="00204CB6"/>
    <w:rsid w:val="00205287"/>
    <w:rsid w:val="00205784"/>
    <w:rsid w:val="00205D1F"/>
    <w:rsid w:val="002063E9"/>
    <w:rsid w:val="0020728A"/>
    <w:rsid w:val="002072E2"/>
    <w:rsid w:val="00207808"/>
    <w:rsid w:val="0020798B"/>
    <w:rsid w:val="00210A0E"/>
    <w:rsid w:val="00211329"/>
    <w:rsid w:val="00211802"/>
    <w:rsid w:val="00211A86"/>
    <w:rsid w:val="002125CF"/>
    <w:rsid w:val="002130C9"/>
    <w:rsid w:val="00214168"/>
    <w:rsid w:val="0021482F"/>
    <w:rsid w:val="00214AF7"/>
    <w:rsid w:val="00214D3B"/>
    <w:rsid w:val="002165BD"/>
    <w:rsid w:val="002169EF"/>
    <w:rsid w:val="002177B9"/>
    <w:rsid w:val="00217D42"/>
    <w:rsid w:val="0022122F"/>
    <w:rsid w:val="002216A6"/>
    <w:rsid w:val="00221BBB"/>
    <w:rsid w:val="00221CE4"/>
    <w:rsid w:val="00221E6E"/>
    <w:rsid w:val="00222974"/>
    <w:rsid w:val="00222F17"/>
    <w:rsid w:val="00223076"/>
    <w:rsid w:val="0022329B"/>
    <w:rsid w:val="002233AA"/>
    <w:rsid w:val="0022346D"/>
    <w:rsid w:val="002236A2"/>
    <w:rsid w:val="00223758"/>
    <w:rsid w:val="0022392B"/>
    <w:rsid w:val="00223FAC"/>
    <w:rsid w:val="00224DC9"/>
    <w:rsid w:val="00225F20"/>
    <w:rsid w:val="00226086"/>
    <w:rsid w:val="00226B45"/>
    <w:rsid w:val="00226FCF"/>
    <w:rsid w:val="00227ECE"/>
    <w:rsid w:val="002305A6"/>
    <w:rsid w:val="002306A6"/>
    <w:rsid w:val="00230E99"/>
    <w:rsid w:val="00231514"/>
    <w:rsid w:val="002330D2"/>
    <w:rsid w:val="002343A1"/>
    <w:rsid w:val="00235BCE"/>
    <w:rsid w:val="002363DD"/>
    <w:rsid w:val="0023643A"/>
    <w:rsid w:val="00236836"/>
    <w:rsid w:val="002371C2"/>
    <w:rsid w:val="0023749E"/>
    <w:rsid w:val="00237909"/>
    <w:rsid w:val="002403E4"/>
    <w:rsid w:val="00240A51"/>
    <w:rsid w:val="00240F73"/>
    <w:rsid w:val="00241CF8"/>
    <w:rsid w:val="00241D87"/>
    <w:rsid w:val="00241EA6"/>
    <w:rsid w:val="00242053"/>
    <w:rsid w:val="002426D2"/>
    <w:rsid w:val="0024292E"/>
    <w:rsid w:val="00242FF7"/>
    <w:rsid w:val="002430D9"/>
    <w:rsid w:val="002433B9"/>
    <w:rsid w:val="002433E9"/>
    <w:rsid w:val="00243933"/>
    <w:rsid w:val="00244522"/>
    <w:rsid w:val="00244C26"/>
    <w:rsid w:val="002457A7"/>
    <w:rsid w:val="00245800"/>
    <w:rsid w:val="00245F1D"/>
    <w:rsid w:val="002460D4"/>
    <w:rsid w:val="002461A2"/>
    <w:rsid w:val="00246AA7"/>
    <w:rsid w:val="00246FFC"/>
    <w:rsid w:val="00250210"/>
    <w:rsid w:val="002504F0"/>
    <w:rsid w:val="00250677"/>
    <w:rsid w:val="0025092B"/>
    <w:rsid w:val="002512F4"/>
    <w:rsid w:val="00252066"/>
    <w:rsid w:val="0025253D"/>
    <w:rsid w:val="00252815"/>
    <w:rsid w:val="002528BD"/>
    <w:rsid w:val="00252E03"/>
    <w:rsid w:val="00252EB1"/>
    <w:rsid w:val="002537E1"/>
    <w:rsid w:val="00254B47"/>
    <w:rsid w:val="00255238"/>
    <w:rsid w:val="0025626B"/>
    <w:rsid w:val="00257BEF"/>
    <w:rsid w:val="00257D33"/>
    <w:rsid w:val="002600CB"/>
    <w:rsid w:val="002631DB"/>
    <w:rsid w:val="0026383F"/>
    <w:rsid w:val="00263956"/>
    <w:rsid w:val="00263C9B"/>
    <w:rsid w:val="0026483B"/>
    <w:rsid w:val="00264A5C"/>
    <w:rsid w:val="002661C3"/>
    <w:rsid w:val="002663C6"/>
    <w:rsid w:val="0027064F"/>
    <w:rsid w:val="0027065F"/>
    <w:rsid w:val="00270ECB"/>
    <w:rsid w:val="00271678"/>
    <w:rsid w:val="00271CD3"/>
    <w:rsid w:val="00271F3A"/>
    <w:rsid w:val="002720A5"/>
    <w:rsid w:val="00273339"/>
    <w:rsid w:val="00274BB0"/>
    <w:rsid w:val="00274DB6"/>
    <w:rsid w:val="00275003"/>
    <w:rsid w:val="00275086"/>
    <w:rsid w:val="00275542"/>
    <w:rsid w:val="00275992"/>
    <w:rsid w:val="00276E82"/>
    <w:rsid w:val="00277F69"/>
    <w:rsid w:val="00280212"/>
    <w:rsid w:val="002804F2"/>
    <w:rsid w:val="0028099A"/>
    <w:rsid w:val="00280B1D"/>
    <w:rsid w:val="00280D75"/>
    <w:rsid w:val="00281B8D"/>
    <w:rsid w:val="00282435"/>
    <w:rsid w:val="00282834"/>
    <w:rsid w:val="00282BF6"/>
    <w:rsid w:val="00283EEB"/>
    <w:rsid w:val="002843A9"/>
    <w:rsid w:val="00284711"/>
    <w:rsid w:val="00285DD8"/>
    <w:rsid w:val="00285E41"/>
    <w:rsid w:val="002868DA"/>
    <w:rsid w:val="00286A40"/>
    <w:rsid w:val="0028711C"/>
    <w:rsid w:val="002874E0"/>
    <w:rsid w:val="00287678"/>
    <w:rsid w:val="002878E6"/>
    <w:rsid w:val="00287B30"/>
    <w:rsid w:val="00287D05"/>
    <w:rsid w:val="00290CC2"/>
    <w:rsid w:val="00291091"/>
    <w:rsid w:val="0029111A"/>
    <w:rsid w:val="00291195"/>
    <w:rsid w:val="002915E6"/>
    <w:rsid w:val="002917A9"/>
    <w:rsid w:val="002920B7"/>
    <w:rsid w:val="002921FA"/>
    <w:rsid w:val="002924B5"/>
    <w:rsid w:val="002929E0"/>
    <w:rsid w:val="00293B8B"/>
    <w:rsid w:val="00294E18"/>
    <w:rsid w:val="00295154"/>
    <w:rsid w:val="00295838"/>
    <w:rsid w:val="00295AAD"/>
    <w:rsid w:val="0029652E"/>
    <w:rsid w:val="002969A6"/>
    <w:rsid w:val="0029755E"/>
    <w:rsid w:val="002A0178"/>
    <w:rsid w:val="002A02B4"/>
    <w:rsid w:val="002A07F7"/>
    <w:rsid w:val="002A0C2C"/>
    <w:rsid w:val="002A0FE0"/>
    <w:rsid w:val="002A1FC4"/>
    <w:rsid w:val="002A2277"/>
    <w:rsid w:val="002A38C3"/>
    <w:rsid w:val="002A3921"/>
    <w:rsid w:val="002A3FD4"/>
    <w:rsid w:val="002A49C4"/>
    <w:rsid w:val="002A4A55"/>
    <w:rsid w:val="002A4A6A"/>
    <w:rsid w:val="002A4E84"/>
    <w:rsid w:val="002A4F79"/>
    <w:rsid w:val="002A5110"/>
    <w:rsid w:val="002A56E7"/>
    <w:rsid w:val="002A5D07"/>
    <w:rsid w:val="002A5ED0"/>
    <w:rsid w:val="002A5F8A"/>
    <w:rsid w:val="002A62B0"/>
    <w:rsid w:val="002A6400"/>
    <w:rsid w:val="002A6B82"/>
    <w:rsid w:val="002A73DB"/>
    <w:rsid w:val="002A7601"/>
    <w:rsid w:val="002A76AD"/>
    <w:rsid w:val="002B00CC"/>
    <w:rsid w:val="002B0113"/>
    <w:rsid w:val="002B06EA"/>
    <w:rsid w:val="002B07D4"/>
    <w:rsid w:val="002B1CF8"/>
    <w:rsid w:val="002B1D71"/>
    <w:rsid w:val="002B2928"/>
    <w:rsid w:val="002B2B52"/>
    <w:rsid w:val="002B2F2B"/>
    <w:rsid w:val="002B320C"/>
    <w:rsid w:val="002B37E1"/>
    <w:rsid w:val="002B3E0E"/>
    <w:rsid w:val="002B436A"/>
    <w:rsid w:val="002B5433"/>
    <w:rsid w:val="002B56FD"/>
    <w:rsid w:val="002B597C"/>
    <w:rsid w:val="002B5B2D"/>
    <w:rsid w:val="002B7509"/>
    <w:rsid w:val="002B7848"/>
    <w:rsid w:val="002B7978"/>
    <w:rsid w:val="002B7A75"/>
    <w:rsid w:val="002B7B50"/>
    <w:rsid w:val="002C25EB"/>
    <w:rsid w:val="002C4128"/>
    <w:rsid w:val="002C445B"/>
    <w:rsid w:val="002C4EB5"/>
    <w:rsid w:val="002C5220"/>
    <w:rsid w:val="002C57E7"/>
    <w:rsid w:val="002C600D"/>
    <w:rsid w:val="002C6195"/>
    <w:rsid w:val="002C658F"/>
    <w:rsid w:val="002C678A"/>
    <w:rsid w:val="002C71D4"/>
    <w:rsid w:val="002D064C"/>
    <w:rsid w:val="002D1374"/>
    <w:rsid w:val="002D1BAA"/>
    <w:rsid w:val="002D211B"/>
    <w:rsid w:val="002D2960"/>
    <w:rsid w:val="002D2D6E"/>
    <w:rsid w:val="002D37C1"/>
    <w:rsid w:val="002D39AB"/>
    <w:rsid w:val="002D4E89"/>
    <w:rsid w:val="002D55A1"/>
    <w:rsid w:val="002D6120"/>
    <w:rsid w:val="002D6370"/>
    <w:rsid w:val="002D6BB3"/>
    <w:rsid w:val="002E1225"/>
    <w:rsid w:val="002E12D6"/>
    <w:rsid w:val="002E1784"/>
    <w:rsid w:val="002E198E"/>
    <w:rsid w:val="002E19DF"/>
    <w:rsid w:val="002E1EE3"/>
    <w:rsid w:val="002E22A1"/>
    <w:rsid w:val="002E2D1E"/>
    <w:rsid w:val="002E2D9D"/>
    <w:rsid w:val="002E3374"/>
    <w:rsid w:val="002E35BC"/>
    <w:rsid w:val="002E462B"/>
    <w:rsid w:val="002E6730"/>
    <w:rsid w:val="002E677E"/>
    <w:rsid w:val="002E6956"/>
    <w:rsid w:val="002E6F4F"/>
    <w:rsid w:val="002E7976"/>
    <w:rsid w:val="002E7CCE"/>
    <w:rsid w:val="002E7FAD"/>
    <w:rsid w:val="002F0D47"/>
    <w:rsid w:val="002F1A35"/>
    <w:rsid w:val="002F2377"/>
    <w:rsid w:val="002F267A"/>
    <w:rsid w:val="002F26CB"/>
    <w:rsid w:val="002F2854"/>
    <w:rsid w:val="002F441B"/>
    <w:rsid w:val="002F550E"/>
    <w:rsid w:val="002F5662"/>
    <w:rsid w:val="002F5709"/>
    <w:rsid w:val="002F5BD7"/>
    <w:rsid w:val="002F5D9F"/>
    <w:rsid w:val="002F7328"/>
    <w:rsid w:val="002F7BE7"/>
    <w:rsid w:val="002F7C35"/>
    <w:rsid w:val="00300105"/>
    <w:rsid w:val="00301989"/>
    <w:rsid w:val="00301A31"/>
    <w:rsid w:val="003023D9"/>
    <w:rsid w:val="00302423"/>
    <w:rsid w:val="00302B2E"/>
    <w:rsid w:val="00302C4F"/>
    <w:rsid w:val="00302CFB"/>
    <w:rsid w:val="00302E05"/>
    <w:rsid w:val="0030301A"/>
    <w:rsid w:val="00303424"/>
    <w:rsid w:val="00303609"/>
    <w:rsid w:val="00303A98"/>
    <w:rsid w:val="003041A9"/>
    <w:rsid w:val="00304315"/>
    <w:rsid w:val="00304A00"/>
    <w:rsid w:val="003052AC"/>
    <w:rsid w:val="003056DA"/>
    <w:rsid w:val="00305790"/>
    <w:rsid w:val="00305D25"/>
    <w:rsid w:val="0030763A"/>
    <w:rsid w:val="00310631"/>
    <w:rsid w:val="00310CB9"/>
    <w:rsid w:val="003113CF"/>
    <w:rsid w:val="0031158C"/>
    <w:rsid w:val="00311BCB"/>
    <w:rsid w:val="00312233"/>
    <w:rsid w:val="00312518"/>
    <w:rsid w:val="00312633"/>
    <w:rsid w:val="0031379C"/>
    <w:rsid w:val="00313DF5"/>
    <w:rsid w:val="0031410E"/>
    <w:rsid w:val="00314248"/>
    <w:rsid w:val="003143C3"/>
    <w:rsid w:val="003147A7"/>
    <w:rsid w:val="00314CBA"/>
    <w:rsid w:val="00315768"/>
    <w:rsid w:val="00315811"/>
    <w:rsid w:val="0031707B"/>
    <w:rsid w:val="00317EEA"/>
    <w:rsid w:val="003206CE"/>
    <w:rsid w:val="00320B92"/>
    <w:rsid w:val="00320D8A"/>
    <w:rsid w:val="00321026"/>
    <w:rsid w:val="003217CF"/>
    <w:rsid w:val="00321BD7"/>
    <w:rsid w:val="00321D2D"/>
    <w:rsid w:val="0032275B"/>
    <w:rsid w:val="00322FC0"/>
    <w:rsid w:val="00323B57"/>
    <w:rsid w:val="00323BB5"/>
    <w:rsid w:val="00323D5E"/>
    <w:rsid w:val="0032595F"/>
    <w:rsid w:val="003264E5"/>
    <w:rsid w:val="00326E0B"/>
    <w:rsid w:val="0033003C"/>
    <w:rsid w:val="00331AD0"/>
    <w:rsid w:val="00333216"/>
    <w:rsid w:val="00333FCA"/>
    <w:rsid w:val="003348A9"/>
    <w:rsid w:val="00334D96"/>
    <w:rsid w:val="0033608A"/>
    <w:rsid w:val="003363AA"/>
    <w:rsid w:val="003371C9"/>
    <w:rsid w:val="003373DC"/>
    <w:rsid w:val="00340173"/>
    <w:rsid w:val="00341ACF"/>
    <w:rsid w:val="00341EB9"/>
    <w:rsid w:val="00342F79"/>
    <w:rsid w:val="00343007"/>
    <w:rsid w:val="0034439F"/>
    <w:rsid w:val="003453CC"/>
    <w:rsid w:val="0034542F"/>
    <w:rsid w:val="0034559C"/>
    <w:rsid w:val="00345705"/>
    <w:rsid w:val="00346714"/>
    <w:rsid w:val="00346925"/>
    <w:rsid w:val="0034699D"/>
    <w:rsid w:val="00346F7A"/>
    <w:rsid w:val="00346F96"/>
    <w:rsid w:val="00347BF0"/>
    <w:rsid w:val="00350271"/>
    <w:rsid w:val="003509C8"/>
    <w:rsid w:val="00351A46"/>
    <w:rsid w:val="00351BE4"/>
    <w:rsid w:val="00351DFC"/>
    <w:rsid w:val="00352F2F"/>
    <w:rsid w:val="00353167"/>
    <w:rsid w:val="00353A4B"/>
    <w:rsid w:val="00353D43"/>
    <w:rsid w:val="00354791"/>
    <w:rsid w:val="00354B20"/>
    <w:rsid w:val="0035518C"/>
    <w:rsid w:val="003558D2"/>
    <w:rsid w:val="00355D2C"/>
    <w:rsid w:val="00356322"/>
    <w:rsid w:val="003566CB"/>
    <w:rsid w:val="003570D2"/>
    <w:rsid w:val="00360003"/>
    <w:rsid w:val="00361DBC"/>
    <w:rsid w:val="0036291E"/>
    <w:rsid w:val="00363F2D"/>
    <w:rsid w:val="003641F3"/>
    <w:rsid w:val="00364625"/>
    <w:rsid w:val="00364756"/>
    <w:rsid w:val="0036563E"/>
    <w:rsid w:val="003658B8"/>
    <w:rsid w:val="003663E4"/>
    <w:rsid w:val="0036685F"/>
    <w:rsid w:val="00367699"/>
    <w:rsid w:val="00367827"/>
    <w:rsid w:val="00367F62"/>
    <w:rsid w:val="00367FDC"/>
    <w:rsid w:val="003713E7"/>
    <w:rsid w:val="0037166B"/>
    <w:rsid w:val="00373C5B"/>
    <w:rsid w:val="00373D24"/>
    <w:rsid w:val="00373FA1"/>
    <w:rsid w:val="00374ECC"/>
    <w:rsid w:val="00374FB9"/>
    <w:rsid w:val="00375EAC"/>
    <w:rsid w:val="00377112"/>
    <w:rsid w:val="003773C4"/>
    <w:rsid w:val="003800F3"/>
    <w:rsid w:val="0038034B"/>
    <w:rsid w:val="00380947"/>
    <w:rsid w:val="00380B3C"/>
    <w:rsid w:val="003812BA"/>
    <w:rsid w:val="00381C99"/>
    <w:rsid w:val="003823C1"/>
    <w:rsid w:val="0038252F"/>
    <w:rsid w:val="003825E6"/>
    <w:rsid w:val="003833EA"/>
    <w:rsid w:val="0038397D"/>
    <w:rsid w:val="003842BC"/>
    <w:rsid w:val="0038474C"/>
    <w:rsid w:val="003849CE"/>
    <w:rsid w:val="00385630"/>
    <w:rsid w:val="00386283"/>
    <w:rsid w:val="00386B74"/>
    <w:rsid w:val="00387916"/>
    <w:rsid w:val="00387BA6"/>
    <w:rsid w:val="00387F00"/>
    <w:rsid w:val="00390030"/>
    <w:rsid w:val="00390359"/>
    <w:rsid w:val="003904BB"/>
    <w:rsid w:val="00390A01"/>
    <w:rsid w:val="00390CD4"/>
    <w:rsid w:val="00391A49"/>
    <w:rsid w:val="00391AC1"/>
    <w:rsid w:val="00391C8B"/>
    <w:rsid w:val="00391EEB"/>
    <w:rsid w:val="00392418"/>
    <w:rsid w:val="003929F5"/>
    <w:rsid w:val="00392BA6"/>
    <w:rsid w:val="00394733"/>
    <w:rsid w:val="003948FB"/>
    <w:rsid w:val="003949CD"/>
    <w:rsid w:val="00397521"/>
    <w:rsid w:val="00397575"/>
    <w:rsid w:val="003A071A"/>
    <w:rsid w:val="003A0801"/>
    <w:rsid w:val="003A0B0D"/>
    <w:rsid w:val="003A0F09"/>
    <w:rsid w:val="003A1601"/>
    <w:rsid w:val="003A1B51"/>
    <w:rsid w:val="003A2147"/>
    <w:rsid w:val="003A234B"/>
    <w:rsid w:val="003A26DF"/>
    <w:rsid w:val="003A2D34"/>
    <w:rsid w:val="003A3407"/>
    <w:rsid w:val="003A3EAF"/>
    <w:rsid w:val="003A3FF4"/>
    <w:rsid w:val="003A443A"/>
    <w:rsid w:val="003A47CC"/>
    <w:rsid w:val="003A49B5"/>
    <w:rsid w:val="003A5251"/>
    <w:rsid w:val="003A5A09"/>
    <w:rsid w:val="003A5AB0"/>
    <w:rsid w:val="003A5EBE"/>
    <w:rsid w:val="003A6615"/>
    <w:rsid w:val="003A6DA1"/>
    <w:rsid w:val="003A6E03"/>
    <w:rsid w:val="003A7DE1"/>
    <w:rsid w:val="003B0428"/>
    <w:rsid w:val="003B07AA"/>
    <w:rsid w:val="003B099C"/>
    <w:rsid w:val="003B1245"/>
    <w:rsid w:val="003B1C92"/>
    <w:rsid w:val="003B2D22"/>
    <w:rsid w:val="003B36BA"/>
    <w:rsid w:val="003B37B7"/>
    <w:rsid w:val="003B42E0"/>
    <w:rsid w:val="003B46DC"/>
    <w:rsid w:val="003B506E"/>
    <w:rsid w:val="003B58D2"/>
    <w:rsid w:val="003B634F"/>
    <w:rsid w:val="003B6C4B"/>
    <w:rsid w:val="003B71FC"/>
    <w:rsid w:val="003B756C"/>
    <w:rsid w:val="003C0028"/>
    <w:rsid w:val="003C04FE"/>
    <w:rsid w:val="003C1AF8"/>
    <w:rsid w:val="003C1DFD"/>
    <w:rsid w:val="003C2CC1"/>
    <w:rsid w:val="003C2D9E"/>
    <w:rsid w:val="003C317C"/>
    <w:rsid w:val="003C3601"/>
    <w:rsid w:val="003C3B0F"/>
    <w:rsid w:val="003C4172"/>
    <w:rsid w:val="003C479D"/>
    <w:rsid w:val="003C4BE5"/>
    <w:rsid w:val="003C4F9B"/>
    <w:rsid w:val="003C50AE"/>
    <w:rsid w:val="003C6168"/>
    <w:rsid w:val="003C67EF"/>
    <w:rsid w:val="003C6D52"/>
    <w:rsid w:val="003C6F4C"/>
    <w:rsid w:val="003D027D"/>
    <w:rsid w:val="003D03DB"/>
    <w:rsid w:val="003D0CEE"/>
    <w:rsid w:val="003D1367"/>
    <w:rsid w:val="003D16DC"/>
    <w:rsid w:val="003D287F"/>
    <w:rsid w:val="003D313C"/>
    <w:rsid w:val="003D386C"/>
    <w:rsid w:val="003D3D34"/>
    <w:rsid w:val="003D3F76"/>
    <w:rsid w:val="003D3FA1"/>
    <w:rsid w:val="003D408C"/>
    <w:rsid w:val="003D446D"/>
    <w:rsid w:val="003D44D2"/>
    <w:rsid w:val="003D49A2"/>
    <w:rsid w:val="003D5808"/>
    <w:rsid w:val="003D61F6"/>
    <w:rsid w:val="003D79AD"/>
    <w:rsid w:val="003D7EF3"/>
    <w:rsid w:val="003E07BC"/>
    <w:rsid w:val="003E140F"/>
    <w:rsid w:val="003E33CD"/>
    <w:rsid w:val="003E3984"/>
    <w:rsid w:val="003E4325"/>
    <w:rsid w:val="003E440D"/>
    <w:rsid w:val="003E46F5"/>
    <w:rsid w:val="003E4D9C"/>
    <w:rsid w:val="003E4EF8"/>
    <w:rsid w:val="003E5BD7"/>
    <w:rsid w:val="003E623E"/>
    <w:rsid w:val="003E6B2D"/>
    <w:rsid w:val="003E6BB2"/>
    <w:rsid w:val="003E6C5B"/>
    <w:rsid w:val="003E6CFF"/>
    <w:rsid w:val="003E7081"/>
    <w:rsid w:val="003E766B"/>
    <w:rsid w:val="003E797D"/>
    <w:rsid w:val="003E7CA6"/>
    <w:rsid w:val="003F01F7"/>
    <w:rsid w:val="003F0556"/>
    <w:rsid w:val="003F0A54"/>
    <w:rsid w:val="003F228A"/>
    <w:rsid w:val="003F24AA"/>
    <w:rsid w:val="003F3634"/>
    <w:rsid w:val="003F41BB"/>
    <w:rsid w:val="003F4636"/>
    <w:rsid w:val="003F4F7D"/>
    <w:rsid w:val="003F502C"/>
    <w:rsid w:val="003F5554"/>
    <w:rsid w:val="003F583B"/>
    <w:rsid w:val="003F5B3E"/>
    <w:rsid w:val="003F5C69"/>
    <w:rsid w:val="003F6088"/>
    <w:rsid w:val="003F6930"/>
    <w:rsid w:val="003F6B44"/>
    <w:rsid w:val="003F6C66"/>
    <w:rsid w:val="003F70B6"/>
    <w:rsid w:val="003F7207"/>
    <w:rsid w:val="003F77EE"/>
    <w:rsid w:val="00400DA7"/>
    <w:rsid w:val="00402830"/>
    <w:rsid w:val="00403537"/>
    <w:rsid w:val="00403CE0"/>
    <w:rsid w:val="004048A2"/>
    <w:rsid w:val="00404F62"/>
    <w:rsid w:val="00405D72"/>
    <w:rsid w:val="004060C5"/>
    <w:rsid w:val="004064A4"/>
    <w:rsid w:val="00406ED4"/>
    <w:rsid w:val="00407212"/>
    <w:rsid w:val="004076D8"/>
    <w:rsid w:val="0040797F"/>
    <w:rsid w:val="00410095"/>
    <w:rsid w:val="00410A2E"/>
    <w:rsid w:val="00410DBE"/>
    <w:rsid w:val="00410F72"/>
    <w:rsid w:val="0041163A"/>
    <w:rsid w:val="004119B0"/>
    <w:rsid w:val="0041213A"/>
    <w:rsid w:val="0041287C"/>
    <w:rsid w:val="004129ED"/>
    <w:rsid w:val="00412B6B"/>
    <w:rsid w:val="00413022"/>
    <w:rsid w:val="00413974"/>
    <w:rsid w:val="00413E00"/>
    <w:rsid w:val="004140BC"/>
    <w:rsid w:val="004141C2"/>
    <w:rsid w:val="00414431"/>
    <w:rsid w:val="004149A8"/>
    <w:rsid w:val="00415C69"/>
    <w:rsid w:val="00415EAA"/>
    <w:rsid w:val="00416DC6"/>
    <w:rsid w:val="00417F12"/>
    <w:rsid w:val="0042009F"/>
    <w:rsid w:val="00420380"/>
    <w:rsid w:val="00420800"/>
    <w:rsid w:val="00420B82"/>
    <w:rsid w:val="004212FE"/>
    <w:rsid w:val="0042198F"/>
    <w:rsid w:val="00421C13"/>
    <w:rsid w:val="00421F64"/>
    <w:rsid w:val="00421F7C"/>
    <w:rsid w:val="004221FF"/>
    <w:rsid w:val="004224DD"/>
    <w:rsid w:val="0042306E"/>
    <w:rsid w:val="004239D8"/>
    <w:rsid w:val="00423D23"/>
    <w:rsid w:val="00423D6F"/>
    <w:rsid w:val="004251D7"/>
    <w:rsid w:val="00425434"/>
    <w:rsid w:val="0042685A"/>
    <w:rsid w:val="004269B9"/>
    <w:rsid w:val="00426A34"/>
    <w:rsid w:val="004273CA"/>
    <w:rsid w:val="004273CF"/>
    <w:rsid w:val="004276BB"/>
    <w:rsid w:val="00427CB3"/>
    <w:rsid w:val="00427FD9"/>
    <w:rsid w:val="0043016C"/>
    <w:rsid w:val="00430206"/>
    <w:rsid w:val="00430835"/>
    <w:rsid w:val="00430B7E"/>
    <w:rsid w:val="004311C7"/>
    <w:rsid w:val="00431484"/>
    <w:rsid w:val="00431935"/>
    <w:rsid w:val="00434262"/>
    <w:rsid w:val="0043478E"/>
    <w:rsid w:val="00434B93"/>
    <w:rsid w:val="00434E77"/>
    <w:rsid w:val="004350C2"/>
    <w:rsid w:val="004356C3"/>
    <w:rsid w:val="00436D40"/>
    <w:rsid w:val="00437E2C"/>
    <w:rsid w:val="0044087A"/>
    <w:rsid w:val="00440994"/>
    <w:rsid w:val="004409E4"/>
    <w:rsid w:val="00440D30"/>
    <w:rsid w:val="0044129D"/>
    <w:rsid w:val="004419F3"/>
    <w:rsid w:val="00441AAC"/>
    <w:rsid w:val="00441B3B"/>
    <w:rsid w:val="0044235D"/>
    <w:rsid w:val="004430A6"/>
    <w:rsid w:val="00443CA9"/>
    <w:rsid w:val="004444B7"/>
    <w:rsid w:val="00445183"/>
    <w:rsid w:val="00445C10"/>
    <w:rsid w:val="00446565"/>
    <w:rsid w:val="004472C0"/>
    <w:rsid w:val="00447746"/>
    <w:rsid w:val="00447DF5"/>
    <w:rsid w:val="0045015A"/>
    <w:rsid w:val="00450EE5"/>
    <w:rsid w:val="00451FEB"/>
    <w:rsid w:val="00452465"/>
    <w:rsid w:val="0045251F"/>
    <w:rsid w:val="00452C91"/>
    <w:rsid w:val="00453BE1"/>
    <w:rsid w:val="00454AA5"/>
    <w:rsid w:val="0045575A"/>
    <w:rsid w:val="00455902"/>
    <w:rsid w:val="004573FB"/>
    <w:rsid w:val="0045774F"/>
    <w:rsid w:val="0045793D"/>
    <w:rsid w:val="00457FFA"/>
    <w:rsid w:val="004602D3"/>
    <w:rsid w:val="00460DC9"/>
    <w:rsid w:val="004612C4"/>
    <w:rsid w:val="0046148F"/>
    <w:rsid w:val="00461714"/>
    <w:rsid w:val="00461A75"/>
    <w:rsid w:val="00462147"/>
    <w:rsid w:val="0046229E"/>
    <w:rsid w:val="00462D09"/>
    <w:rsid w:val="0046321F"/>
    <w:rsid w:val="00463342"/>
    <w:rsid w:val="00463E0C"/>
    <w:rsid w:val="0046456E"/>
    <w:rsid w:val="00464EAF"/>
    <w:rsid w:val="00465F01"/>
    <w:rsid w:val="004662FF"/>
    <w:rsid w:val="0046633B"/>
    <w:rsid w:val="004667E1"/>
    <w:rsid w:val="00466A54"/>
    <w:rsid w:val="00466A9A"/>
    <w:rsid w:val="00466B7E"/>
    <w:rsid w:val="00466E4E"/>
    <w:rsid w:val="0046716F"/>
    <w:rsid w:val="004673A9"/>
    <w:rsid w:val="00467467"/>
    <w:rsid w:val="00467CC8"/>
    <w:rsid w:val="0047022B"/>
    <w:rsid w:val="00470C83"/>
    <w:rsid w:val="00470EA2"/>
    <w:rsid w:val="00471A6A"/>
    <w:rsid w:val="00471DD9"/>
    <w:rsid w:val="004721D5"/>
    <w:rsid w:val="004726F0"/>
    <w:rsid w:val="00473097"/>
    <w:rsid w:val="00473CA6"/>
    <w:rsid w:val="004746B3"/>
    <w:rsid w:val="004753FB"/>
    <w:rsid w:val="004764FB"/>
    <w:rsid w:val="00476551"/>
    <w:rsid w:val="00476AC5"/>
    <w:rsid w:val="0048041B"/>
    <w:rsid w:val="0048078F"/>
    <w:rsid w:val="00480D0A"/>
    <w:rsid w:val="004811DD"/>
    <w:rsid w:val="004822F3"/>
    <w:rsid w:val="00482F8C"/>
    <w:rsid w:val="0048316B"/>
    <w:rsid w:val="004838BE"/>
    <w:rsid w:val="0048415D"/>
    <w:rsid w:val="0048508B"/>
    <w:rsid w:val="00485C3D"/>
    <w:rsid w:val="00485FA2"/>
    <w:rsid w:val="004864F1"/>
    <w:rsid w:val="004869D7"/>
    <w:rsid w:val="00486E7D"/>
    <w:rsid w:val="0048700D"/>
    <w:rsid w:val="004913B3"/>
    <w:rsid w:val="00491AFC"/>
    <w:rsid w:val="00491C07"/>
    <w:rsid w:val="004925A8"/>
    <w:rsid w:val="00493E14"/>
    <w:rsid w:val="00494A9D"/>
    <w:rsid w:val="004955BB"/>
    <w:rsid w:val="00495C4A"/>
    <w:rsid w:val="00495D3F"/>
    <w:rsid w:val="004967C6"/>
    <w:rsid w:val="00497458"/>
    <w:rsid w:val="0049767B"/>
    <w:rsid w:val="004A0323"/>
    <w:rsid w:val="004A07BF"/>
    <w:rsid w:val="004A121F"/>
    <w:rsid w:val="004A1DC9"/>
    <w:rsid w:val="004A2622"/>
    <w:rsid w:val="004A30CA"/>
    <w:rsid w:val="004A72D4"/>
    <w:rsid w:val="004A7C5D"/>
    <w:rsid w:val="004A7C62"/>
    <w:rsid w:val="004A7FB1"/>
    <w:rsid w:val="004B071F"/>
    <w:rsid w:val="004B40D3"/>
    <w:rsid w:val="004B46E5"/>
    <w:rsid w:val="004B4820"/>
    <w:rsid w:val="004B505B"/>
    <w:rsid w:val="004B641D"/>
    <w:rsid w:val="004B6D1A"/>
    <w:rsid w:val="004B6DBF"/>
    <w:rsid w:val="004B70D9"/>
    <w:rsid w:val="004B7409"/>
    <w:rsid w:val="004B747D"/>
    <w:rsid w:val="004B7AFF"/>
    <w:rsid w:val="004B7E30"/>
    <w:rsid w:val="004C0454"/>
    <w:rsid w:val="004C072B"/>
    <w:rsid w:val="004C0D32"/>
    <w:rsid w:val="004C2F2A"/>
    <w:rsid w:val="004C320B"/>
    <w:rsid w:val="004C3D5B"/>
    <w:rsid w:val="004C5F59"/>
    <w:rsid w:val="004C6123"/>
    <w:rsid w:val="004C6FA5"/>
    <w:rsid w:val="004C72F7"/>
    <w:rsid w:val="004C745D"/>
    <w:rsid w:val="004C75BF"/>
    <w:rsid w:val="004C7A66"/>
    <w:rsid w:val="004D01C3"/>
    <w:rsid w:val="004D1059"/>
    <w:rsid w:val="004D18C5"/>
    <w:rsid w:val="004D1A12"/>
    <w:rsid w:val="004D26F9"/>
    <w:rsid w:val="004D2B2F"/>
    <w:rsid w:val="004D2C8F"/>
    <w:rsid w:val="004D3435"/>
    <w:rsid w:val="004D3F94"/>
    <w:rsid w:val="004D4EF1"/>
    <w:rsid w:val="004D6F2B"/>
    <w:rsid w:val="004D7242"/>
    <w:rsid w:val="004D755F"/>
    <w:rsid w:val="004D7653"/>
    <w:rsid w:val="004E0727"/>
    <w:rsid w:val="004E0F02"/>
    <w:rsid w:val="004E13ED"/>
    <w:rsid w:val="004E14B5"/>
    <w:rsid w:val="004E1AA2"/>
    <w:rsid w:val="004E2161"/>
    <w:rsid w:val="004E23AF"/>
    <w:rsid w:val="004E2471"/>
    <w:rsid w:val="004E2617"/>
    <w:rsid w:val="004E2D96"/>
    <w:rsid w:val="004E4234"/>
    <w:rsid w:val="004E455F"/>
    <w:rsid w:val="004E48BA"/>
    <w:rsid w:val="004E5CA3"/>
    <w:rsid w:val="004E5F49"/>
    <w:rsid w:val="004E6261"/>
    <w:rsid w:val="004E65B1"/>
    <w:rsid w:val="004E6AA3"/>
    <w:rsid w:val="004E7207"/>
    <w:rsid w:val="004E737E"/>
    <w:rsid w:val="004E779A"/>
    <w:rsid w:val="004F1035"/>
    <w:rsid w:val="004F23F4"/>
    <w:rsid w:val="004F2830"/>
    <w:rsid w:val="004F290F"/>
    <w:rsid w:val="004F2EE1"/>
    <w:rsid w:val="004F322E"/>
    <w:rsid w:val="004F4224"/>
    <w:rsid w:val="004F4678"/>
    <w:rsid w:val="004F5573"/>
    <w:rsid w:val="004F5935"/>
    <w:rsid w:val="004F5AD4"/>
    <w:rsid w:val="004F67EB"/>
    <w:rsid w:val="004F6A9B"/>
    <w:rsid w:val="004F773E"/>
    <w:rsid w:val="004F7E15"/>
    <w:rsid w:val="005002C7"/>
    <w:rsid w:val="00500399"/>
    <w:rsid w:val="005003A3"/>
    <w:rsid w:val="0050095C"/>
    <w:rsid w:val="005018EF"/>
    <w:rsid w:val="005019AB"/>
    <w:rsid w:val="005019BE"/>
    <w:rsid w:val="00501D11"/>
    <w:rsid w:val="00502F29"/>
    <w:rsid w:val="00502F75"/>
    <w:rsid w:val="00503915"/>
    <w:rsid w:val="00504085"/>
    <w:rsid w:val="0050442B"/>
    <w:rsid w:val="00504BBB"/>
    <w:rsid w:val="00506220"/>
    <w:rsid w:val="005066E7"/>
    <w:rsid w:val="00506CB1"/>
    <w:rsid w:val="00506D4A"/>
    <w:rsid w:val="00506E04"/>
    <w:rsid w:val="00506EBF"/>
    <w:rsid w:val="0051075A"/>
    <w:rsid w:val="005123D4"/>
    <w:rsid w:val="00513747"/>
    <w:rsid w:val="0051383C"/>
    <w:rsid w:val="00513C2B"/>
    <w:rsid w:val="00513D81"/>
    <w:rsid w:val="0051404E"/>
    <w:rsid w:val="00514263"/>
    <w:rsid w:val="0051506E"/>
    <w:rsid w:val="00515670"/>
    <w:rsid w:val="00515B0D"/>
    <w:rsid w:val="00515DB6"/>
    <w:rsid w:val="005164AB"/>
    <w:rsid w:val="00516E4A"/>
    <w:rsid w:val="00517CCF"/>
    <w:rsid w:val="00517DFB"/>
    <w:rsid w:val="00520645"/>
    <w:rsid w:val="00520C35"/>
    <w:rsid w:val="00522E4A"/>
    <w:rsid w:val="0052313B"/>
    <w:rsid w:val="00524906"/>
    <w:rsid w:val="00525474"/>
    <w:rsid w:val="005255F0"/>
    <w:rsid w:val="00525E01"/>
    <w:rsid w:val="00526730"/>
    <w:rsid w:val="00526759"/>
    <w:rsid w:val="00526884"/>
    <w:rsid w:val="00527BFF"/>
    <w:rsid w:val="00530EDA"/>
    <w:rsid w:val="00532831"/>
    <w:rsid w:val="00532C7B"/>
    <w:rsid w:val="00533E0C"/>
    <w:rsid w:val="0053495F"/>
    <w:rsid w:val="00534F54"/>
    <w:rsid w:val="00535029"/>
    <w:rsid w:val="00535353"/>
    <w:rsid w:val="005354F6"/>
    <w:rsid w:val="00537134"/>
    <w:rsid w:val="00537A1C"/>
    <w:rsid w:val="00537E8E"/>
    <w:rsid w:val="00540170"/>
    <w:rsid w:val="00540281"/>
    <w:rsid w:val="00540796"/>
    <w:rsid w:val="0054169D"/>
    <w:rsid w:val="00542983"/>
    <w:rsid w:val="00543487"/>
    <w:rsid w:val="005442AB"/>
    <w:rsid w:val="005443D5"/>
    <w:rsid w:val="00544B73"/>
    <w:rsid w:val="00545699"/>
    <w:rsid w:val="005459B8"/>
    <w:rsid w:val="00545A5C"/>
    <w:rsid w:val="00545A5E"/>
    <w:rsid w:val="00545B29"/>
    <w:rsid w:val="00545C57"/>
    <w:rsid w:val="005461D1"/>
    <w:rsid w:val="00546ADC"/>
    <w:rsid w:val="00546B3C"/>
    <w:rsid w:val="00546F4C"/>
    <w:rsid w:val="00547710"/>
    <w:rsid w:val="00547DD5"/>
    <w:rsid w:val="00551073"/>
    <w:rsid w:val="005513EC"/>
    <w:rsid w:val="00551B97"/>
    <w:rsid w:val="00553BB7"/>
    <w:rsid w:val="00554631"/>
    <w:rsid w:val="00554B56"/>
    <w:rsid w:val="00556A61"/>
    <w:rsid w:val="005575D0"/>
    <w:rsid w:val="00557E60"/>
    <w:rsid w:val="005601FB"/>
    <w:rsid w:val="005605E9"/>
    <w:rsid w:val="005619D5"/>
    <w:rsid w:val="00561A2F"/>
    <w:rsid w:val="00561B22"/>
    <w:rsid w:val="00561C5D"/>
    <w:rsid w:val="0056284A"/>
    <w:rsid w:val="005632BF"/>
    <w:rsid w:val="00563316"/>
    <w:rsid w:val="0056388A"/>
    <w:rsid w:val="005646DA"/>
    <w:rsid w:val="0056479F"/>
    <w:rsid w:val="00564E71"/>
    <w:rsid w:val="005650A2"/>
    <w:rsid w:val="005650EF"/>
    <w:rsid w:val="005653FA"/>
    <w:rsid w:val="00565C3D"/>
    <w:rsid w:val="00566F03"/>
    <w:rsid w:val="00566F41"/>
    <w:rsid w:val="00567704"/>
    <w:rsid w:val="00567BE6"/>
    <w:rsid w:val="00570696"/>
    <w:rsid w:val="005709AC"/>
    <w:rsid w:val="00570D30"/>
    <w:rsid w:val="00570E82"/>
    <w:rsid w:val="00571357"/>
    <w:rsid w:val="00571873"/>
    <w:rsid w:val="00571C81"/>
    <w:rsid w:val="00571D88"/>
    <w:rsid w:val="00572A4C"/>
    <w:rsid w:val="0057324B"/>
    <w:rsid w:val="00573619"/>
    <w:rsid w:val="00574127"/>
    <w:rsid w:val="0057427C"/>
    <w:rsid w:val="00575869"/>
    <w:rsid w:val="005766E9"/>
    <w:rsid w:val="0057769E"/>
    <w:rsid w:val="00577D62"/>
    <w:rsid w:val="00580A14"/>
    <w:rsid w:val="00581A05"/>
    <w:rsid w:val="00581AFB"/>
    <w:rsid w:val="00581EB7"/>
    <w:rsid w:val="005837B3"/>
    <w:rsid w:val="00583904"/>
    <w:rsid w:val="00584193"/>
    <w:rsid w:val="00584246"/>
    <w:rsid w:val="00584A4E"/>
    <w:rsid w:val="00584E4C"/>
    <w:rsid w:val="005850E9"/>
    <w:rsid w:val="005859A1"/>
    <w:rsid w:val="00585B82"/>
    <w:rsid w:val="00585BB9"/>
    <w:rsid w:val="00586014"/>
    <w:rsid w:val="00586322"/>
    <w:rsid w:val="00586F1A"/>
    <w:rsid w:val="00587358"/>
    <w:rsid w:val="00590A3D"/>
    <w:rsid w:val="00591B1C"/>
    <w:rsid w:val="005930FA"/>
    <w:rsid w:val="005932D6"/>
    <w:rsid w:val="00593EA9"/>
    <w:rsid w:val="00594C10"/>
    <w:rsid w:val="00596BF0"/>
    <w:rsid w:val="00596D8B"/>
    <w:rsid w:val="0059724D"/>
    <w:rsid w:val="005973D8"/>
    <w:rsid w:val="00597D62"/>
    <w:rsid w:val="00597E81"/>
    <w:rsid w:val="005A0F15"/>
    <w:rsid w:val="005A14F1"/>
    <w:rsid w:val="005A202A"/>
    <w:rsid w:val="005A22D8"/>
    <w:rsid w:val="005A26EE"/>
    <w:rsid w:val="005A3309"/>
    <w:rsid w:val="005A3603"/>
    <w:rsid w:val="005A380C"/>
    <w:rsid w:val="005A57AD"/>
    <w:rsid w:val="005A5822"/>
    <w:rsid w:val="005A5A8E"/>
    <w:rsid w:val="005A60EF"/>
    <w:rsid w:val="005A6311"/>
    <w:rsid w:val="005A67D5"/>
    <w:rsid w:val="005A6ABC"/>
    <w:rsid w:val="005A6BF1"/>
    <w:rsid w:val="005A7530"/>
    <w:rsid w:val="005B0E73"/>
    <w:rsid w:val="005B0ED3"/>
    <w:rsid w:val="005B0EF9"/>
    <w:rsid w:val="005B135C"/>
    <w:rsid w:val="005B155D"/>
    <w:rsid w:val="005B2B51"/>
    <w:rsid w:val="005B2D7C"/>
    <w:rsid w:val="005B3ACB"/>
    <w:rsid w:val="005B3E5D"/>
    <w:rsid w:val="005B3FDA"/>
    <w:rsid w:val="005B4A2A"/>
    <w:rsid w:val="005B4BB8"/>
    <w:rsid w:val="005B629E"/>
    <w:rsid w:val="005B641A"/>
    <w:rsid w:val="005B6A59"/>
    <w:rsid w:val="005B6C78"/>
    <w:rsid w:val="005B7A07"/>
    <w:rsid w:val="005C0CFD"/>
    <w:rsid w:val="005C0F3A"/>
    <w:rsid w:val="005C12DD"/>
    <w:rsid w:val="005C1B88"/>
    <w:rsid w:val="005C2CA1"/>
    <w:rsid w:val="005C34C5"/>
    <w:rsid w:val="005C36E4"/>
    <w:rsid w:val="005C3E4B"/>
    <w:rsid w:val="005C4228"/>
    <w:rsid w:val="005C48EB"/>
    <w:rsid w:val="005C4A4C"/>
    <w:rsid w:val="005C5277"/>
    <w:rsid w:val="005C56F5"/>
    <w:rsid w:val="005C57C5"/>
    <w:rsid w:val="005C5922"/>
    <w:rsid w:val="005C598E"/>
    <w:rsid w:val="005C6AF4"/>
    <w:rsid w:val="005C6E4A"/>
    <w:rsid w:val="005C72BE"/>
    <w:rsid w:val="005C7711"/>
    <w:rsid w:val="005D1324"/>
    <w:rsid w:val="005D1620"/>
    <w:rsid w:val="005D1F94"/>
    <w:rsid w:val="005D617E"/>
    <w:rsid w:val="005D6B85"/>
    <w:rsid w:val="005D6C66"/>
    <w:rsid w:val="005D6C74"/>
    <w:rsid w:val="005D742F"/>
    <w:rsid w:val="005D7575"/>
    <w:rsid w:val="005D7A4E"/>
    <w:rsid w:val="005D7A5F"/>
    <w:rsid w:val="005D7E0A"/>
    <w:rsid w:val="005E1826"/>
    <w:rsid w:val="005E1CC4"/>
    <w:rsid w:val="005E20EC"/>
    <w:rsid w:val="005E2258"/>
    <w:rsid w:val="005E2894"/>
    <w:rsid w:val="005E2E16"/>
    <w:rsid w:val="005E31E7"/>
    <w:rsid w:val="005E3202"/>
    <w:rsid w:val="005E3216"/>
    <w:rsid w:val="005E3B64"/>
    <w:rsid w:val="005E3C0F"/>
    <w:rsid w:val="005E4907"/>
    <w:rsid w:val="005E4D2C"/>
    <w:rsid w:val="005E5179"/>
    <w:rsid w:val="005E55A6"/>
    <w:rsid w:val="005E5697"/>
    <w:rsid w:val="005E59EC"/>
    <w:rsid w:val="005E5AE9"/>
    <w:rsid w:val="005E5C0B"/>
    <w:rsid w:val="005E6858"/>
    <w:rsid w:val="005E6DCF"/>
    <w:rsid w:val="005E78BA"/>
    <w:rsid w:val="005E7EC4"/>
    <w:rsid w:val="005F1B76"/>
    <w:rsid w:val="005F1F2C"/>
    <w:rsid w:val="005F2235"/>
    <w:rsid w:val="005F4953"/>
    <w:rsid w:val="005F5242"/>
    <w:rsid w:val="005F53ED"/>
    <w:rsid w:val="005F5BCE"/>
    <w:rsid w:val="005F5C4A"/>
    <w:rsid w:val="005F5E75"/>
    <w:rsid w:val="005F5F01"/>
    <w:rsid w:val="005F63A2"/>
    <w:rsid w:val="005F778F"/>
    <w:rsid w:val="00600287"/>
    <w:rsid w:val="006011FC"/>
    <w:rsid w:val="00601465"/>
    <w:rsid w:val="006018C5"/>
    <w:rsid w:val="00601A9B"/>
    <w:rsid w:val="00602291"/>
    <w:rsid w:val="00602EFF"/>
    <w:rsid w:val="00603D92"/>
    <w:rsid w:val="00603F1B"/>
    <w:rsid w:val="006042A2"/>
    <w:rsid w:val="006051F3"/>
    <w:rsid w:val="0060595F"/>
    <w:rsid w:val="00605B44"/>
    <w:rsid w:val="00606167"/>
    <w:rsid w:val="0060663B"/>
    <w:rsid w:val="0060729F"/>
    <w:rsid w:val="00611155"/>
    <w:rsid w:val="00612418"/>
    <w:rsid w:val="0061292D"/>
    <w:rsid w:val="0061344A"/>
    <w:rsid w:val="0061411F"/>
    <w:rsid w:val="0061417A"/>
    <w:rsid w:val="00614292"/>
    <w:rsid w:val="006142A9"/>
    <w:rsid w:val="006142F8"/>
    <w:rsid w:val="006145D5"/>
    <w:rsid w:val="00614DEC"/>
    <w:rsid w:val="0061550B"/>
    <w:rsid w:val="00616253"/>
    <w:rsid w:val="00616690"/>
    <w:rsid w:val="00617322"/>
    <w:rsid w:val="006204EE"/>
    <w:rsid w:val="00620AB3"/>
    <w:rsid w:val="00620F4E"/>
    <w:rsid w:val="00621210"/>
    <w:rsid w:val="00621E70"/>
    <w:rsid w:val="0062279B"/>
    <w:rsid w:val="00624B6E"/>
    <w:rsid w:val="006250A9"/>
    <w:rsid w:val="00626005"/>
    <w:rsid w:val="00627806"/>
    <w:rsid w:val="0062782D"/>
    <w:rsid w:val="00627886"/>
    <w:rsid w:val="00627D64"/>
    <w:rsid w:val="00630171"/>
    <w:rsid w:val="0063027A"/>
    <w:rsid w:val="00630413"/>
    <w:rsid w:val="006306ED"/>
    <w:rsid w:val="0063165E"/>
    <w:rsid w:val="0063208A"/>
    <w:rsid w:val="00632322"/>
    <w:rsid w:val="0063232B"/>
    <w:rsid w:val="006327FD"/>
    <w:rsid w:val="00632887"/>
    <w:rsid w:val="00632D1D"/>
    <w:rsid w:val="00633984"/>
    <w:rsid w:val="00634644"/>
    <w:rsid w:val="006350BF"/>
    <w:rsid w:val="00636A20"/>
    <w:rsid w:val="00636AA1"/>
    <w:rsid w:val="00636E9B"/>
    <w:rsid w:val="00637EA0"/>
    <w:rsid w:val="00637F2C"/>
    <w:rsid w:val="00641FED"/>
    <w:rsid w:val="0064222E"/>
    <w:rsid w:val="00642807"/>
    <w:rsid w:val="00642A29"/>
    <w:rsid w:val="00642AB1"/>
    <w:rsid w:val="00642B82"/>
    <w:rsid w:val="00643C70"/>
    <w:rsid w:val="00644260"/>
    <w:rsid w:val="0064474B"/>
    <w:rsid w:val="0064495F"/>
    <w:rsid w:val="006457F5"/>
    <w:rsid w:val="00645B74"/>
    <w:rsid w:val="00645E16"/>
    <w:rsid w:val="00645E3F"/>
    <w:rsid w:val="0064682C"/>
    <w:rsid w:val="0064701A"/>
    <w:rsid w:val="00650330"/>
    <w:rsid w:val="00650472"/>
    <w:rsid w:val="0065084B"/>
    <w:rsid w:val="00650F06"/>
    <w:rsid w:val="00651FCD"/>
    <w:rsid w:val="006523A0"/>
    <w:rsid w:val="00652613"/>
    <w:rsid w:val="00652D75"/>
    <w:rsid w:val="00652ECE"/>
    <w:rsid w:val="0065476D"/>
    <w:rsid w:val="00654B26"/>
    <w:rsid w:val="0065584A"/>
    <w:rsid w:val="00655B69"/>
    <w:rsid w:val="00656937"/>
    <w:rsid w:val="00656B5F"/>
    <w:rsid w:val="00656D1D"/>
    <w:rsid w:val="00657773"/>
    <w:rsid w:val="00657E69"/>
    <w:rsid w:val="00660FCA"/>
    <w:rsid w:val="00661230"/>
    <w:rsid w:val="00661898"/>
    <w:rsid w:val="00661A4C"/>
    <w:rsid w:val="00661B59"/>
    <w:rsid w:val="006632F4"/>
    <w:rsid w:val="00663D35"/>
    <w:rsid w:val="006646FB"/>
    <w:rsid w:val="00665849"/>
    <w:rsid w:val="00665A86"/>
    <w:rsid w:val="00667015"/>
    <w:rsid w:val="00667AFC"/>
    <w:rsid w:val="00667D99"/>
    <w:rsid w:val="00670854"/>
    <w:rsid w:val="00670EE6"/>
    <w:rsid w:val="00670F5F"/>
    <w:rsid w:val="00671258"/>
    <w:rsid w:val="00671A0D"/>
    <w:rsid w:val="00671AA9"/>
    <w:rsid w:val="00671B7B"/>
    <w:rsid w:val="0067210F"/>
    <w:rsid w:val="0067348B"/>
    <w:rsid w:val="00674BCA"/>
    <w:rsid w:val="0067504E"/>
    <w:rsid w:val="006753A8"/>
    <w:rsid w:val="00675AAE"/>
    <w:rsid w:val="00675D01"/>
    <w:rsid w:val="00675F50"/>
    <w:rsid w:val="00675F70"/>
    <w:rsid w:val="0067692E"/>
    <w:rsid w:val="00680056"/>
    <w:rsid w:val="0068009D"/>
    <w:rsid w:val="0068032F"/>
    <w:rsid w:val="00680397"/>
    <w:rsid w:val="006804DA"/>
    <w:rsid w:val="00680788"/>
    <w:rsid w:val="0068089F"/>
    <w:rsid w:val="00680EDE"/>
    <w:rsid w:val="006817EE"/>
    <w:rsid w:val="00681DCE"/>
    <w:rsid w:val="00682DE8"/>
    <w:rsid w:val="0068322B"/>
    <w:rsid w:val="006834D6"/>
    <w:rsid w:val="0068385D"/>
    <w:rsid w:val="006848B7"/>
    <w:rsid w:val="006848BD"/>
    <w:rsid w:val="00685B1A"/>
    <w:rsid w:val="006860C4"/>
    <w:rsid w:val="006861E5"/>
    <w:rsid w:val="0068717A"/>
    <w:rsid w:val="006871CB"/>
    <w:rsid w:val="00687C9E"/>
    <w:rsid w:val="00687FA5"/>
    <w:rsid w:val="006902C7"/>
    <w:rsid w:val="00690E7A"/>
    <w:rsid w:val="00690EA4"/>
    <w:rsid w:val="00690FC1"/>
    <w:rsid w:val="006911C8"/>
    <w:rsid w:val="006914C6"/>
    <w:rsid w:val="00691DE6"/>
    <w:rsid w:val="00692784"/>
    <w:rsid w:val="006934DA"/>
    <w:rsid w:val="00693A7E"/>
    <w:rsid w:val="00693C3B"/>
    <w:rsid w:val="0069431B"/>
    <w:rsid w:val="00695440"/>
    <w:rsid w:val="00695940"/>
    <w:rsid w:val="006962C8"/>
    <w:rsid w:val="00696589"/>
    <w:rsid w:val="00697D30"/>
    <w:rsid w:val="006A0715"/>
    <w:rsid w:val="006A0C79"/>
    <w:rsid w:val="006A11E9"/>
    <w:rsid w:val="006A1FAD"/>
    <w:rsid w:val="006A33AD"/>
    <w:rsid w:val="006A34AB"/>
    <w:rsid w:val="006A3B9E"/>
    <w:rsid w:val="006A3D08"/>
    <w:rsid w:val="006A4070"/>
    <w:rsid w:val="006A5149"/>
    <w:rsid w:val="006A608E"/>
    <w:rsid w:val="006A60A6"/>
    <w:rsid w:val="006A78E3"/>
    <w:rsid w:val="006A7ED7"/>
    <w:rsid w:val="006B212A"/>
    <w:rsid w:val="006B2C5F"/>
    <w:rsid w:val="006B367F"/>
    <w:rsid w:val="006B3831"/>
    <w:rsid w:val="006B3C63"/>
    <w:rsid w:val="006B414F"/>
    <w:rsid w:val="006B5B65"/>
    <w:rsid w:val="006B5F81"/>
    <w:rsid w:val="006B70E3"/>
    <w:rsid w:val="006B713A"/>
    <w:rsid w:val="006C0606"/>
    <w:rsid w:val="006C0BA7"/>
    <w:rsid w:val="006C173F"/>
    <w:rsid w:val="006C1C11"/>
    <w:rsid w:val="006C1F56"/>
    <w:rsid w:val="006C2184"/>
    <w:rsid w:val="006C2B1F"/>
    <w:rsid w:val="006C2FD1"/>
    <w:rsid w:val="006C317C"/>
    <w:rsid w:val="006C389E"/>
    <w:rsid w:val="006C3A65"/>
    <w:rsid w:val="006C6239"/>
    <w:rsid w:val="006C6915"/>
    <w:rsid w:val="006C73CF"/>
    <w:rsid w:val="006D0077"/>
    <w:rsid w:val="006D106F"/>
    <w:rsid w:val="006D27FD"/>
    <w:rsid w:val="006D3181"/>
    <w:rsid w:val="006D391B"/>
    <w:rsid w:val="006D399C"/>
    <w:rsid w:val="006D3AA0"/>
    <w:rsid w:val="006D44C3"/>
    <w:rsid w:val="006D5040"/>
    <w:rsid w:val="006D5238"/>
    <w:rsid w:val="006D535E"/>
    <w:rsid w:val="006D5621"/>
    <w:rsid w:val="006D590B"/>
    <w:rsid w:val="006D7BD3"/>
    <w:rsid w:val="006E04FD"/>
    <w:rsid w:val="006E098F"/>
    <w:rsid w:val="006E0DEC"/>
    <w:rsid w:val="006E1691"/>
    <w:rsid w:val="006E3436"/>
    <w:rsid w:val="006E4984"/>
    <w:rsid w:val="006E58C8"/>
    <w:rsid w:val="006E6D97"/>
    <w:rsid w:val="006E796E"/>
    <w:rsid w:val="006F0E2A"/>
    <w:rsid w:val="006F1021"/>
    <w:rsid w:val="006F1994"/>
    <w:rsid w:val="006F1AE8"/>
    <w:rsid w:val="006F4CAF"/>
    <w:rsid w:val="006F5A10"/>
    <w:rsid w:val="006F5AC4"/>
    <w:rsid w:val="006F5D8E"/>
    <w:rsid w:val="006F77E8"/>
    <w:rsid w:val="006F7C09"/>
    <w:rsid w:val="0070030F"/>
    <w:rsid w:val="0070044D"/>
    <w:rsid w:val="007004AA"/>
    <w:rsid w:val="00700AFC"/>
    <w:rsid w:val="007018DC"/>
    <w:rsid w:val="00702C43"/>
    <w:rsid w:val="0070303C"/>
    <w:rsid w:val="0070310A"/>
    <w:rsid w:val="00703D8B"/>
    <w:rsid w:val="00703EC2"/>
    <w:rsid w:val="00704904"/>
    <w:rsid w:val="0070510C"/>
    <w:rsid w:val="00705497"/>
    <w:rsid w:val="007061D6"/>
    <w:rsid w:val="0070660F"/>
    <w:rsid w:val="007068AD"/>
    <w:rsid w:val="00706D51"/>
    <w:rsid w:val="00707AB3"/>
    <w:rsid w:val="00707B5F"/>
    <w:rsid w:val="00707CB7"/>
    <w:rsid w:val="00707D94"/>
    <w:rsid w:val="00707FBE"/>
    <w:rsid w:val="00710057"/>
    <w:rsid w:val="00711E24"/>
    <w:rsid w:val="00713817"/>
    <w:rsid w:val="00713AE9"/>
    <w:rsid w:val="00713CC7"/>
    <w:rsid w:val="00714088"/>
    <w:rsid w:val="007142F5"/>
    <w:rsid w:val="00714A03"/>
    <w:rsid w:val="007155BE"/>
    <w:rsid w:val="00715D00"/>
    <w:rsid w:val="007161B8"/>
    <w:rsid w:val="007162C5"/>
    <w:rsid w:val="00720A62"/>
    <w:rsid w:val="00720FFD"/>
    <w:rsid w:val="00721569"/>
    <w:rsid w:val="007217F4"/>
    <w:rsid w:val="00721E8D"/>
    <w:rsid w:val="007222CF"/>
    <w:rsid w:val="00722592"/>
    <w:rsid w:val="0072270F"/>
    <w:rsid w:val="00722A69"/>
    <w:rsid w:val="00722ADC"/>
    <w:rsid w:val="00724AA6"/>
    <w:rsid w:val="007251A9"/>
    <w:rsid w:val="0072543A"/>
    <w:rsid w:val="007255A8"/>
    <w:rsid w:val="00725FCA"/>
    <w:rsid w:val="00726B0D"/>
    <w:rsid w:val="00727738"/>
    <w:rsid w:val="0072790B"/>
    <w:rsid w:val="00727C2D"/>
    <w:rsid w:val="007306BA"/>
    <w:rsid w:val="00730AE2"/>
    <w:rsid w:val="007310B3"/>
    <w:rsid w:val="007310D6"/>
    <w:rsid w:val="0073165D"/>
    <w:rsid w:val="00732626"/>
    <w:rsid w:val="00732869"/>
    <w:rsid w:val="00732E3D"/>
    <w:rsid w:val="00732FA5"/>
    <w:rsid w:val="00733281"/>
    <w:rsid w:val="00733616"/>
    <w:rsid w:val="00734332"/>
    <w:rsid w:val="007350C8"/>
    <w:rsid w:val="0073547F"/>
    <w:rsid w:val="007354F8"/>
    <w:rsid w:val="00735DB9"/>
    <w:rsid w:val="00735ED2"/>
    <w:rsid w:val="00736948"/>
    <w:rsid w:val="00736BE6"/>
    <w:rsid w:val="00736C8D"/>
    <w:rsid w:val="00737227"/>
    <w:rsid w:val="00737478"/>
    <w:rsid w:val="00737DA0"/>
    <w:rsid w:val="007419B4"/>
    <w:rsid w:val="00742997"/>
    <w:rsid w:val="00742B95"/>
    <w:rsid w:val="00742BB4"/>
    <w:rsid w:val="00742C59"/>
    <w:rsid w:val="00743345"/>
    <w:rsid w:val="00743388"/>
    <w:rsid w:val="00744957"/>
    <w:rsid w:val="00745ACB"/>
    <w:rsid w:val="00746197"/>
    <w:rsid w:val="007462B0"/>
    <w:rsid w:val="00746AEB"/>
    <w:rsid w:val="00747948"/>
    <w:rsid w:val="00747990"/>
    <w:rsid w:val="00747D8E"/>
    <w:rsid w:val="00747E23"/>
    <w:rsid w:val="00750170"/>
    <w:rsid w:val="00751B24"/>
    <w:rsid w:val="00751C7C"/>
    <w:rsid w:val="00751F56"/>
    <w:rsid w:val="00752617"/>
    <w:rsid w:val="0075275C"/>
    <w:rsid w:val="00752786"/>
    <w:rsid w:val="0075388A"/>
    <w:rsid w:val="0075422A"/>
    <w:rsid w:val="0075428E"/>
    <w:rsid w:val="007548F1"/>
    <w:rsid w:val="00754ADD"/>
    <w:rsid w:val="00754D74"/>
    <w:rsid w:val="00754F06"/>
    <w:rsid w:val="00755A43"/>
    <w:rsid w:val="00755BC2"/>
    <w:rsid w:val="00755FF7"/>
    <w:rsid w:val="00757052"/>
    <w:rsid w:val="0075752C"/>
    <w:rsid w:val="00757815"/>
    <w:rsid w:val="00757ECC"/>
    <w:rsid w:val="0076026A"/>
    <w:rsid w:val="0076100F"/>
    <w:rsid w:val="00761978"/>
    <w:rsid w:val="00762500"/>
    <w:rsid w:val="00762516"/>
    <w:rsid w:val="007627F8"/>
    <w:rsid w:val="007628A1"/>
    <w:rsid w:val="00763495"/>
    <w:rsid w:val="00763E2B"/>
    <w:rsid w:val="0076444F"/>
    <w:rsid w:val="007645BA"/>
    <w:rsid w:val="00764A39"/>
    <w:rsid w:val="00764C8D"/>
    <w:rsid w:val="007652A7"/>
    <w:rsid w:val="007654AB"/>
    <w:rsid w:val="00765533"/>
    <w:rsid w:val="00766ADD"/>
    <w:rsid w:val="0077033E"/>
    <w:rsid w:val="00770599"/>
    <w:rsid w:val="0077074C"/>
    <w:rsid w:val="00770B84"/>
    <w:rsid w:val="00771079"/>
    <w:rsid w:val="007717C8"/>
    <w:rsid w:val="007723C1"/>
    <w:rsid w:val="0077264F"/>
    <w:rsid w:val="00773688"/>
    <w:rsid w:val="007745ED"/>
    <w:rsid w:val="0077672B"/>
    <w:rsid w:val="0077720F"/>
    <w:rsid w:val="0078005B"/>
    <w:rsid w:val="0078072B"/>
    <w:rsid w:val="00781736"/>
    <w:rsid w:val="00782D1E"/>
    <w:rsid w:val="00782DC0"/>
    <w:rsid w:val="007830E9"/>
    <w:rsid w:val="0078385A"/>
    <w:rsid w:val="00783E95"/>
    <w:rsid w:val="007855BD"/>
    <w:rsid w:val="0078656B"/>
    <w:rsid w:val="00786687"/>
    <w:rsid w:val="00790059"/>
    <w:rsid w:val="00790374"/>
    <w:rsid w:val="00790B92"/>
    <w:rsid w:val="00790E35"/>
    <w:rsid w:val="0079140A"/>
    <w:rsid w:val="0079232F"/>
    <w:rsid w:val="00792507"/>
    <w:rsid w:val="00792F3E"/>
    <w:rsid w:val="0079343A"/>
    <w:rsid w:val="007935E0"/>
    <w:rsid w:val="00793791"/>
    <w:rsid w:val="007938D6"/>
    <w:rsid w:val="007940C0"/>
    <w:rsid w:val="0079453E"/>
    <w:rsid w:val="00794777"/>
    <w:rsid w:val="007950D4"/>
    <w:rsid w:val="007950D6"/>
    <w:rsid w:val="007956DA"/>
    <w:rsid w:val="00795B67"/>
    <w:rsid w:val="00796F36"/>
    <w:rsid w:val="0079729F"/>
    <w:rsid w:val="007A188F"/>
    <w:rsid w:val="007A1D11"/>
    <w:rsid w:val="007A1D35"/>
    <w:rsid w:val="007A29A4"/>
    <w:rsid w:val="007A35CE"/>
    <w:rsid w:val="007A42E2"/>
    <w:rsid w:val="007A430E"/>
    <w:rsid w:val="007A4611"/>
    <w:rsid w:val="007A5298"/>
    <w:rsid w:val="007A5981"/>
    <w:rsid w:val="007A5FB1"/>
    <w:rsid w:val="007A6D3A"/>
    <w:rsid w:val="007A6D87"/>
    <w:rsid w:val="007A7131"/>
    <w:rsid w:val="007B169D"/>
    <w:rsid w:val="007B1FFC"/>
    <w:rsid w:val="007B22F9"/>
    <w:rsid w:val="007B2D90"/>
    <w:rsid w:val="007B3E2E"/>
    <w:rsid w:val="007B3F5F"/>
    <w:rsid w:val="007B3FEF"/>
    <w:rsid w:val="007B4309"/>
    <w:rsid w:val="007B4588"/>
    <w:rsid w:val="007B4B49"/>
    <w:rsid w:val="007B4CC4"/>
    <w:rsid w:val="007B519D"/>
    <w:rsid w:val="007B6CB2"/>
    <w:rsid w:val="007B6E12"/>
    <w:rsid w:val="007B70F0"/>
    <w:rsid w:val="007B74DF"/>
    <w:rsid w:val="007B7757"/>
    <w:rsid w:val="007C0226"/>
    <w:rsid w:val="007C027B"/>
    <w:rsid w:val="007C1102"/>
    <w:rsid w:val="007C1788"/>
    <w:rsid w:val="007C1E74"/>
    <w:rsid w:val="007C1F06"/>
    <w:rsid w:val="007C203B"/>
    <w:rsid w:val="007C28D5"/>
    <w:rsid w:val="007C2A01"/>
    <w:rsid w:val="007C31A8"/>
    <w:rsid w:val="007C36B1"/>
    <w:rsid w:val="007C4496"/>
    <w:rsid w:val="007C45CD"/>
    <w:rsid w:val="007C488F"/>
    <w:rsid w:val="007C491E"/>
    <w:rsid w:val="007C5037"/>
    <w:rsid w:val="007C544E"/>
    <w:rsid w:val="007C5A05"/>
    <w:rsid w:val="007C5FCC"/>
    <w:rsid w:val="007C6421"/>
    <w:rsid w:val="007C6472"/>
    <w:rsid w:val="007C743A"/>
    <w:rsid w:val="007C7BD2"/>
    <w:rsid w:val="007D08D3"/>
    <w:rsid w:val="007D0C06"/>
    <w:rsid w:val="007D1558"/>
    <w:rsid w:val="007D1AD5"/>
    <w:rsid w:val="007D1C1A"/>
    <w:rsid w:val="007D1F5D"/>
    <w:rsid w:val="007D21D9"/>
    <w:rsid w:val="007D246F"/>
    <w:rsid w:val="007D32FF"/>
    <w:rsid w:val="007D38E7"/>
    <w:rsid w:val="007D3996"/>
    <w:rsid w:val="007D3B6F"/>
    <w:rsid w:val="007D42CB"/>
    <w:rsid w:val="007D4F2C"/>
    <w:rsid w:val="007D55A2"/>
    <w:rsid w:val="007D5C8E"/>
    <w:rsid w:val="007D603E"/>
    <w:rsid w:val="007D6BA2"/>
    <w:rsid w:val="007D6FE5"/>
    <w:rsid w:val="007D723E"/>
    <w:rsid w:val="007D7312"/>
    <w:rsid w:val="007D77E4"/>
    <w:rsid w:val="007D78F5"/>
    <w:rsid w:val="007D7E6A"/>
    <w:rsid w:val="007D7FED"/>
    <w:rsid w:val="007E12E0"/>
    <w:rsid w:val="007E1961"/>
    <w:rsid w:val="007E1A88"/>
    <w:rsid w:val="007E2876"/>
    <w:rsid w:val="007E45F1"/>
    <w:rsid w:val="007E460C"/>
    <w:rsid w:val="007E4D7A"/>
    <w:rsid w:val="007E5444"/>
    <w:rsid w:val="007E57F4"/>
    <w:rsid w:val="007E5BA8"/>
    <w:rsid w:val="007E5BB3"/>
    <w:rsid w:val="007E5E4C"/>
    <w:rsid w:val="007F09AA"/>
    <w:rsid w:val="007F0B96"/>
    <w:rsid w:val="007F134C"/>
    <w:rsid w:val="007F1A2E"/>
    <w:rsid w:val="007F1C07"/>
    <w:rsid w:val="007F1EB5"/>
    <w:rsid w:val="007F4AA8"/>
    <w:rsid w:val="007F56D9"/>
    <w:rsid w:val="007F5AC0"/>
    <w:rsid w:val="007F5BC8"/>
    <w:rsid w:val="007F5F25"/>
    <w:rsid w:val="007F6239"/>
    <w:rsid w:val="007F629D"/>
    <w:rsid w:val="007F7B3B"/>
    <w:rsid w:val="00800EE2"/>
    <w:rsid w:val="008015A8"/>
    <w:rsid w:val="0080175A"/>
    <w:rsid w:val="00801857"/>
    <w:rsid w:val="00801C5C"/>
    <w:rsid w:val="008020D7"/>
    <w:rsid w:val="00802182"/>
    <w:rsid w:val="008023AA"/>
    <w:rsid w:val="008023D6"/>
    <w:rsid w:val="00802F26"/>
    <w:rsid w:val="00803688"/>
    <w:rsid w:val="00803846"/>
    <w:rsid w:val="00803E91"/>
    <w:rsid w:val="0080475E"/>
    <w:rsid w:val="00804B93"/>
    <w:rsid w:val="00805733"/>
    <w:rsid w:val="00805EBA"/>
    <w:rsid w:val="00806D20"/>
    <w:rsid w:val="008122DC"/>
    <w:rsid w:val="00812971"/>
    <w:rsid w:val="00813282"/>
    <w:rsid w:val="0081337F"/>
    <w:rsid w:val="008135CE"/>
    <w:rsid w:val="008138DF"/>
    <w:rsid w:val="00813E3E"/>
    <w:rsid w:val="00815931"/>
    <w:rsid w:val="00816467"/>
    <w:rsid w:val="00817281"/>
    <w:rsid w:val="00817509"/>
    <w:rsid w:val="00817535"/>
    <w:rsid w:val="00817CD9"/>
    <w:rsid w:val="0082028C"/>
    <w:rsid w:val="0082071B"/>
    <w:rsid w:val="00820F84"/>
    <w:rsid w:val="00820F9B"/>
    <w:rsid w:val="00821FC7"/>
    <w:rsid w:val="00823555"/>
    <w:rsid w:val="00823B9A"/>
    <w:rsid w:val="00823ED7"/>
    <w:rsid w:val="00823FD4"/>
    <w:rsid w:val="008246F8"/>
    <w:rsid w:val="00824C2E"/>
    <w:rsid w:val="00824DED"/>
    <w:rsid w:val="008253A6"/>
    <w:rsid w:val="00825D5D"/>
    <w:rsid w:val="008270AD"/>
    <w:rsid w:val="00827B42"/>
    <w:rsid w:val="0083099B"/>
    <w:rsid w:val="0083117C"/>
    <w:rsid w:val="00831973"/>
    <w:rsid w:val="0083199A"/>
    <w:rsid w:val="00831D53"/>
    <w:rsid w:val="008323F0"/>
    <w:rsid w:val="008326C7"/>
    <w:rsid w:val="00833458"/>
    <w:rsid w:val="00833590"/>
    <w:rsid w:val="00834233"/>
    <w:rsid w:val="00836960"/>
    <w:rsid w:val="008378DC"/>
    <w:rsid w:val="00837B42"/>
    <w:rsid w:val="0084046D"/>
    <w:rsid w:val="00842CBF"/>
    <w:rsid w:val="008430F8"/>
    <w:rsid w:val="00843226"/>
    <w:rsid w:val="008439B6"/>
    <w:rsid w:val="00843CFB"/>
    <w:rsid w:val="00844377"/>
    <w:rsid w:val="0084444B"/>
    <w:rsid w:val="0084532F"/>
    <w:rsid w:val="008455BA"/>
    <w:rsid w:val="00845AEC"/>
    <w:rsid w:val="00847002"/>
    <w:rsid w:val="00847283"/>
    <w:rsid w:val="00847E21"/>
    <w:rsid w:val="00850542"/>
    <w:rsid w:val="008508C7"/>
    <w:rsid w:val="00850C88"/>
    <w:rsid w:val="00850F9E"/>
    <w:rsid w:val="00851C45"/>
    <w:rsid w:val="00851E9F"/>
    <w:rsid w:val="008520F8"/>
    <w:rsid w:val="00852365"/>
    <w:rsid w:val="008525CB"/>
    <w:rsid w:val="00852951"/>
    <w:rsid w:val="00853174"/>
    <w:rsid w:val="00854B5B"/>
    <w:rsid w:val="0085592C"/>
    <w:rsid w:val="00856749"/>
    <w:rsid w:val="00856EE1"/>
    <w:rsid w:val="00857AB3"/>
    <w:rsid w:val="00861270"/>
    <w:rsid w:val="00863406"/>
    <w:rsid w:val="00863D5F"/>
    <w:rsid w:val="0086444B"/>
    <w:rsid w:val="008647B6"/>
    <w:rsid w:val="0086485E"/>
    <w:rsid w:val="00866339"/>
    <w:rsid w:val="008664F7"/>
    <w:rsid w:val="0086742B"/>
    <w:rsid w:val="008675F0"/>
    <w:rsid w:val="008679DC"/>
    <w:rsid w:val="00870286"/>
    <w:rsid w:val="00870412"/>
    <w:rsid w:val="0087208E"/>
    <w:rsid w:val="008723B8"/>
    <w:rsid w:val="008730F1"/>
    <w:rsid w:val="00873137"/>
    <w:rsid w:val="008735ED"/>
    <w:rsid w:val="00874459"/>
    <w:rsid w:val="00874ABD"/>
    <w:rsid w:val="00875C76"/>
    <w:rsid w:val="00876FF8"/>
    <w:rsid w:val="00877566"/>
    <w:rsid w:val="008803AD"/>
    <w:rsid w:val="00880FE2"/>
    <w:rsid w:val="0088110E"/>
    <w:rsid w:val="0088139E"/>
    <w:rsid w:val="00881C0B"/>
    <w:rsid w:val="0088219D"/>
    <w:rsid w:val="008827BE"/>
    <w:rsid w:val="00882942"/>
    <w:rsid w:val="008834B4"/>
    <w:rsid w:val="0088387E"/>
    <w:rsid w:val="00883AC5"/>
    <w:rsid w:val="00883F28"/>
    <w:rsid w:val="00883FAD"/>
    <w:rsid w:val="00884708"/>
    <w:rsid w:val="00884896"/>
    <w:rsid w:val="00884BE8"/>
    <w:rsid w:val="00884F4C"/>
    <w:rsid w:val="00885418"/>
    <w:rsid w:val="00885C89"/>
    <w:rsid w:val="00885FE8"/>
    <w:rsid w:val="00886631"/>
    <w:rsid w:val="0088703D"/>
    <w:rsid w:val="0089010A"/>
    <w:rsid w:val="00890752"/>
    <w:rsid w:val="008929FD"/>
    <w:rsid w:val="008931E1"/>
    <w:rsid w:val="00893367"/>
    <w:rsid w:val="00893487"/>
    <w:rsid w:val="0089351A"/>
    <w:rsid w:val="0089428E"/>
    <w:rsid w:val="00894A2E"/>
    <w:rsid w:val="00895300"/>
    <w:rsid w:val="0089542C"/>
    <w:rsid w:val="00896508"/>
    <w:rsid w:val="008976DC"/>
    <w:rsid w:val="008A0076"/>
    <w:rsid w:val="008A0163"/>
    <w:rsid w:val="008A06C0"/>
    <w:rsid w:val="008A1396"/>
    <w:rsid w:val="008A1517"/>
    <w:rsid w:val="008A20C2"/>
    <w:rsid w:val="008A2129"/>
    <w:rsid w:val="008A2887"/>
    <w:rsid w:val="008A359D"/>
    <w:rsid w:val="008A406B"/>
    <w:rsid w:val="008A4951"/>
    <w:rsid w:val="008A4AC4"/>
    <w:rsid w:val="008A4EBA"/>
    <w:rsid w:val="008A50B2"/>
    <w:rsid w:val="008A61F2"/>
    <w:rsid w:val="008A662F"/>
    <w:rsid w:val="008A68C3"/>
    <w:rsid w:val="008A75B5"/>
    <w:rsid w:val="008A7908"/>
    <w:rsid w:val="008A7B2B"/>
    <w:rsid w:val="008B0521"/>
    <w:rsid w:val="008B1BDE"/>
    <w:rsid w:val="008B1D52"/>
    <w:rsid w:val="008B2358"/>
    <w:rsid w:val="008B244B"/>
    <w:rsid w:val="008B3272"/>
    <w:rsid w:val="008B3277"/>
    <w:rsid w:val="008B3AB7"/>
    <w:rsid w:val="008B4556"/>
    <w:rsid w:val="008B4F42"/>
    <w:rsid w:val="008B51D1"/>
    <w:rsid w:val="008B56FD"/>
    <w:rsid w:val="008B6E46"/>
    <w:rsid w:val="008C02E7"/>
    <w:rsid w:val="008C0438"/>
    <w:rsid w:val="008C04A9"/>
    <w:rsid w:val="008C0E85"/>
    <w:rsid w:val="008C1983"/>
    <w:rsid w:val="008C1CB0"/>
    <w:rsid w:val="008C22BE"/>
    <w:rsid w:val="008C2924"/>
    <w:rsid w:val="008C329E"/>
    <w:rsid w:val="008C42C5"/>
    <w:rsid w:val="008C4ACE"/>
    <w:rsid w:val="008C59A1"/>
    <w:rsid w:val="008C6300"/>
    <w:rsid w:val="008C640E"/>
    <w:rsid w:val="008C711E"/>
    <w:rsid w:val="008C7C6F"/>
    <w:rsid w:val="008D036D"/>
    <w:rsid w:val="008D06EB"/>
    <w:rsid w:val="008D113B"/>
    <w:rsid w:val="008D21F7"/>
    <w:rsid w:val="008D39FB"/>
    <w:rsid w:val="008D48E3"/>
    <w:rsid w:val="008D4AA9"/>
    <w:rsid w:val="008D590D"/>
    <w:rsid w:val="008D7BC7"/>
    <w:rsid w:val="008E01CF"/>
    <w:rsid w:val="008E0B31"/>
    <w:rsid w:val="008E0D4F"/>
    <w:rsid w:val="008E1759"/>
    <w:rsid w:val="008E1ECA"/>
    <w:rsid w:val="008E2BFA"/>
    <w:rsid w:val="008E3898"/>
    <w:rsid w:val="008E449A"/>
    <w:rsid w:val="008E4CCF"/>
    <w:rsid w:val="008E4DDA"/>
    <w:rsid w:val="008E59E5"/>
    <w:rsid w:val="008E6DBB"/>
    <w:rsid w:val="008E731A"/>
    <w:rsid w:val="008E7C1D"/>
    <w:rsid w:val="008F00F7"/>
    <w:rsid w:val="008F0253"/>
    <w:rsid w:val="008F0D65"/>
    <w:rsid w:val="008F126B"/>
    <w:rsid w:val="008F1451"/>
    <w:rsid w:val="008F2033"/>
    <w:rsid w:val="008F29B8"/>
    <w:rsid w:val="008F3711"/>
    <w:rsid w:val="008F3AE7"/>
    <w:rsid w:val="008F3D08"/>
    <w:rsid w:val="008F44A8"/>
    <w:rsid w:val="008F592F"/>
    <w:rsid w:val="008F651C"/>
    <w:rsid w:val="008F6E3A"/>
    <w:rsid w:val="008F7124"/>
    <w:rsid w:val="008F75CA"/>
    <w:rsid w:val="008F7696"/>
    <w:rsid w:val="00900CB9"/>
    <w:rsid w:val="00900DEA"/>
    <w:rsid w:val="00901CF9"/>
    <w:rsid w:val="00901FFD"/>
    <w:rsid w:val="00902193"/>
    <w:rsid w:val="00902F38"/>
    <w:rsid w:val="009032A1"/>
    <w:rsid w:val="00903E43"/>
    <w:rsid w:val="00904239"/>
    <w:rsid w:val="00906018"/>
    <w:rsid w:val="00906B03"/>
    <w:rsid w:val="00906BAA"/>
    <w:rsid w:val="00907E65"/>
    <w:rsid w:val="0091018E"/>
    <w:rsid w:val="00910B05"/>
    <w:rsid w:val="00910C02"/>
    <w:rsid w:val="00911961"/>
    <w:rsid w:val="00911E37"/>
    <w:rsid w:val="00914A02"/>
    <w:rsid w:val="0091505E"/>
    <w:rsid w:val="009150F0"/>
    <w:rsid w:val="00915799"/>
    <w:rsid w:val="009166BF"/>
    <w:rsid w:val="00917530"/>
    <w:rsid w:val="00917A02"/>
    <w:rsid w:val="00917BE1"/>
    <w:rsid w:val="0092017D"/>
    <w:rsid w:val="009207AD"/>
    <w:rsid w:val="0092147F"/>
    <w:rsid w:val="00921972"/>
    <w:rsid w:val="00922EC9"/>
    <w:rsid w:val="009232B6"/>
    <w:rsid w:val="0092385E"/>
    <w:rsid w:val="009238F9"/>
    <w:rsid w:val="00924D62"/>
    <w:rsid w:val="0092555C"/>
    <w:rsid w:val="00925994"/>
    <w:rsid w:val="00925D36"/>
    <w:rsid w:val="00926BED"/>
    <w:rsid w:val="00926C2E"/>
    <w:rsid w:val="009273F5"/>
    <w:rsid w:val="0093115E"/>
    <w:rsid w:val="009313A4"/>
    <w:rsid w:val="00931C5E"/>
    <w:rsid w:val="0093285E"/>
    <w:rsid w:val="00932E54"/>
    <w:rsid w:val="00932F73"/>
    <w:rsid w:val="009331C0"/>
    <w:rsid w:val="009343B5"/>
    <w:rsid w:val="00935910"/>
    <w:rsid w:val="00936DB6"/>
    <w:rsid w:val="009371AC"/>
    <w:rsid w:val="00937292"/>
    <w:rsid w:val="00937F47"/>
    <w:rsid w:val="009406F7"/>
    <w:rsid w:val="00940F6C"/>
    <w:rsid w:val="00941495"/>
    <w:rsid w:val="009417D6"/>
    <w:rsid w:val="00941F9F"/>
    <w:rsid w:val="009420D7"/>
    <w:rsid w:val="00943896"/>
    <w:rsid w:val="00944075"/>
    <w:rsid w:val="0094566D"/>
    <w:rsid w:val="009458BB"/>
    <w:rsid w:val="00945DA4"/>
    <w:rsid w:val="00947A2D"/>
    <w:rsid w:val="00947A8E"/>
    <w:rsid w:val="00947CCE"/>
    <w:rsid w:val="00950FFE"/>
    <w:rsid w:val="0095127A"/>
    <w:rsid w:val="009518F6"/>
    <w:rsid w:val="00951B92"/>
    <w:rsid w:val="00951DF5"/>
    <w:rsid w:val="009524C9"/>
    <w:rsid w:val="00953587"/>
    <w:rsid w:val="009536AE"/>
    <w:rsid w:val="00953780"/>
    <w:rsid w:val="00953A78"/>
    <w:rsid w:val="009548CE"/>
    <w:rsid w:val="00954D35"/>
    <w:rsid w:val="00954E0A"/>
    <w:rsid w:val="00956CA5"/>
    <w:rsid w:val="0095778B"/>
    <w:rsid w:val="00960083"/>
    <w:rsid w:val="00960220"/>
    <w:rsid w:val="00960508"/>
    <w:rsid w:val="0096058C"/>
    <w:rsid w:val="00961647"/>
    <w:rsid w:val="00961EAA"/>
    <w:rsid w:val="00963406"/>
    <w:rsid w:val="00964B0F"/>
    <w:rsid w:val="0096511B"/>
    <w:rsid w:val="0096567B"/>
    <w:rsid w:val="00965DE6"/>
    <w:rsid w:val="00966A44"/>
    <w:rsid w:val="00966F9B"/>
    <w:rsid w:val="0096719F"/>
    <w:rsid w:val="0096768B"/>
    <w:rsid w:val="00967901"/>
    <w:rsid w:val="00970936"/>
    <w:rsid w:val="0097287B"/>
    <w:rsid w:val="009734FD"/>
    <w:rsid w:val="0097370D"/>
    <w:rsid w:val="00973908"/>
    <w:rsid w:val="00974AD1"/>
    <w:rsid w:val="00974CE0"/>
    <w:rsid w:val="00975198"/>
    <w:rsid w:val="00975A6A"/>
    <w:rsid w:val="009766FA"/>
    <w:rsid w:val="00976A78"/>
    <w:rsid w:val="00976BDC"/>
    <w:rsid w:val="00976DA5"/>
    <w:rsid w:val="0097760F"/>
    <w:rsid w:val="0097792C"/>
    <w:rsid w:val="00977B5F"/>
    <w:rsid w:val="00980685"/>
    <w:rsid w:val="009809A7"/>
    <w:rsid w:val="00980DE7"/>
    <w:rsid w:val="0098174C"/>
    <w:rsid w:val="00981FA6"/>
    <w:rsid w:val="00982B9D"/>
    <w:rsid w:val="009832F3"/>
    <w:rsid w:val="00983B4C"/>
    <w:rsid w:val="00984BA2"/>
    <w:rsid w:val="00984DD2"/>
    <w:rsid w:val="009853D7"/>
    <w:rsid w:val="00985542"/>
    <w:rsid w:val="0098616F"/>
    <w:rsid w:val="00986BDF"/>
    <w:rsid w:val="00987C56"/>
    <w:rsid w:val="00987FB3"/>
    <w:rsid w:val="009907D5"/>
    <w:rsid w:val="009916D6"/>
    <w:rsid w:val="00991A14"/>
    <w:rsid w:val="0099205E"/>
    <w:rsid w:val="00992308"/>
    <w:rsid w:val="0099283D"/>
    <w:rsid w:val="00992D05"/>
    <w:rsid w:val="009936B3"/>
    <w:rsid w:val="00993B2C"/>
    <w:rsid w:val="00994BD1"/>
    <w:rsid w:val="00994CE0"/>
    <w:rsid w:val="00995CA8"/>
    <w:rsid w:val="00996554"/>
    <w:rsid w:val="0099703C"/>
    <w:rsid w:val="00997054"/>
    <w:rsid w:val="0099754C"/>
    <w:rsid w:val="00997C9D"/>
    <w:rsid w:val="00997F77"/>
    <w:rsid w:val="009A0375"/>
    <w:rsid w:val="009A060F"/>
    <w:rsid w:val="009A0BF4"/>
    <w:rsid w:val="009A1E81"/>
    <w:rsid w:val="009A2084"/>
    <w:rsid w:val="009A28DE"/>
    <w:rsid w:val="009A2941"/>
    <w:rsid w:val="009A34ED"/>
    <w:rsid w:val="009A3B60"/>
    <w:rsid w:val="009A3E6F"/>
    <w:rsid w:val="009A468E"/>
    <w:rsid w:val="009A486A"/>
    <w:rsid w:val="009A5BC0"/>
    <w:rsid w:val="009A6162"/>
    <w:rsid w:val="009A6233"/>
    <w:rsid w:val="009A6366"/>
    <w:rsid w:val="009A6D8A"/>
    <w:rsid w:val="009A6FD9"/>
    <w:rsid w:val="009A798B"/>
    <w:rsid w:val="009A79DC"/>
    <w:rsid w:val="009A7C90"/>
    <w:rsid w:val="009B0108"/>
    <w:rsid w:val="009B057C"/>
    <w:rsid w:val="009B1549"/>
    <w:rsid w:val="009B1610"/>
    <w:rsid w:val="009B1C7C"/>
    <w:rsid w:val="009B1CA0"/>
    <w:rsid w:val="009B1E7F"/>
    <w:rsid w:val="009B2867"/>
    <w:rsid w:val="009B2A24"/>
    <w:rsid w:val="009B3AF2"/>
    <w:rsid w:val="009B3B8F"/>
    <w:rsid w:val="009B5471"/>
    <w:rsid w:val="009B5855"/>
    <w:rsid w:val="009B5CC2"/>
    <w:rsid w:val="009B6377"/>
    <w:rsid w:val="009B6D5C"/>
    <w:rsid w:val="009B70F5"/>
    <w:rsid w:val="009B77E2"/>
    <w:rsid w:val="009C04A2"/>
    <w:rsid w:val="009C0675"/>
    <w:rsid w:val="009C0BE1"/>
    <w:rsid w:val="009C0E75"/>
    <w:rsid w:val="009C100B"/>
    <w:rsid w:val="009C248A"/>
    <w:rsid w:val="009C24F4"/>
    <w:rsid w:val="009C26AB"/>
    <w:rsid w:val="009C2B77"/>
    <w:rsid w:val="009C4734"/>
    <w:rsid w:val="009C4D63"/>
    <w:rsid w:val="009C66CA"/>
    <w:rsid w:val="009C69E6"/>
    <w:rsid w:val="009C6ECC"/>
    <w:rsid w:val="009C77B6"/>
    <w:rsid w:val="009C78F0"/>
    <w:rsid w:val="009C7A22"/>
    <w:rsid w:val="009D06F3"/>
    <w:rsid w:val="009D0957"/>
    <w:rsid w:val="009D0F24"/>
    <w:rsid w:val="009D10D7"/>
    <w:rsid w:val="009D1169"/>
    <w:rsid w:val="009D181E"/>
    <w:rsid w:val="009D1C62"/>
    <w:rsid w:val="009D1C8F"/>
    <w:rsid w:val="009D2EF4"/>
    <w:rsid w:val="009D3378"/>
    <w:rsid w:val="009D358F"/>
    <w:rsid w:val="009D3B19"/>
    <w:rsid w:val="009D5ACC"/>
    <w:rsid w:val="009D5B33"/>
    <w:rsid w:val="009D66EF"/>
    <w:rsid w:val="009D6CB7"/>
    <w:rsid w:val="009D7016"/>
    <w:rsid w:val="009D7660"/>
    <w:rsid w:val="009D7754"/>
    <w:rsid w:val="009E01AF"/>
    <w:rsid w:val="009E0B5A"/>
    <w:rsid w:val="009E1881"/>
    <w:rsid w:val="009E273F"/>
    <w:rsid w:val="009E277E"/>
    <w:rsid w:val="009E3086"/>
    <w:rsid w:val="009E3389"/>
    <w:rsid w:val="009E3F2B"/>
    <w:rsid w:val="009E4A2A"/>
    <w:rsid w:val="009E4F9D"/>
    <w:rsid w:val="009E5768"/>
    <w:rsid w:val="009E5C55"/>
    <w:rsid w:val="009E627A"/>
    <w:rsid w:val="009E63DA"/>
    <w:rsid w:val="009E75AB"/>
    <w:rsid w:val="009F018A"/>
    <w:rsid w:val="009F0293"/>
    <w:rsid w:val="009F0467"/>
    <w:rsid w:val="009F1C54"/>
    <w:rsid w:val="009F1D34"/>
    <w:rsid w:val="009F1D5E"/>
    <w:rsid w:val="009F1E61"/>
    <w:rsid w:val="009F2331"/>
    <w:rsid w:val="009F2E39"/>
    <w:rsid w:val="009F32C2"/>
    <w:rsid w:val="009F3393"/>
    <w:rsid w:val="009F3540"/>
    <w:rsid w:val="009F3883"/>
    <w:rsid w:val="009F3DC7"/>
    <w:rsid w:val="009F3DED"/>
    <w:rsid w:val="009F4F0C"/>
    <w:rsid w:val="009F536C"/>
    <w:rsid w:val="009F5801"/>
    <w:rsid w:val="009F7029"/>
    <w:rsid w:val="009F7216"/>
    <w:rsid w:val="009F7E7D"/>
    <w:rsid w:val="00A009C9"/>
    <w:rsid w:val="00A00A08"/>
    <w:rsid w:val="00A00B73"/>
    <w:rsid w:val="00A00BED"/>
    <w:rsid w:val="00A00E53"/>
    <w:rsid w:val="00A01251"/>
    <w:rsid w:val="00A0194C"/>
    <w:rsid w:val="00A02F07"/>
    <w:rsid w:val="00A0338D"/>
    <w:rsid w:val="00A044F6"/>
    <w:rsid w:val="00A05B65"/>
    <w:rsid w:val="00A05C1A"/>
    <w:rsid w:val="00A05D45"/>
    <w:rsid w:val="00A06290"/>
    <w:rsid w:val="00A0716A"/>
    <w:rsid w:val="00A07C43"/>
    <w:rsid w:val="00A11040"/>
    <w:rsid w:val="00A110FF"/>
    <w:rsid w:val="00A12479"/>
    <w:rsid w:val="00A12EC6"/>
    <w:rsid w:val="00A13049"/>
    <w:rsid w:val="00A13747"/>
    <w:rsid w:val="00A148F6"/>
    <w:rsid w:val="00A149FF"/>
    <w:rsid w:val="00A14A67"/>
    <w:rsid w:val="00A14CBF"/>
    <w:rsid w:val="00A14F04"/>
    <w:rsid w:val="00A172A1"/>
    <w:rsid w:val="00A174F5"/>
    <w:rsid w:val="00A1753C"/>
    <w:rsid w:val="00A202E9"/>
    <w:rsid w:val="00A203D9"/>
    <w:rsid w:val="00A208AB"/>
    <w:rsid w:val="00A20A1D"/>
    <w:rsid w:val="00A20DFB"/>
    <w:rsid w:val="00A21167"/>
    <w:rsid w:val="00A215B1"/>
    <w:rsid w:val="00A21936"/>
    <w:rsid w:val="00A21F66"/>
    <w:rsid w:val="00A220E6"/>
    <w:rsid w:val="00A24A21"/>
    <w:rsid w:val="00A24BB8"/>
    <w:rsid w:val="00A24CC4"/>
    <w:rsid w:val="00A2530D"/>
    <w:rsid w:val="00A2635E"/>
    <w:rsid w:val="00A2638A"/>
    <w:rsid w:val="00A30AC2"/>
    <w:rsid w:val="00A310C3"/>
    <w:rsid w:val="00A316DE"/>
    <w:rsid w:val="00A32196"/>
    <w:rsid w:val="00A32531"/>
    <w:rsid w:val="00A32992"/>
    <w:rsid w:val="00A32F33"/>
    <w:rsid w:val="00A33A29"/>
    <w:rsid w:val="00A33BD0"/>
    <w:rsid w:val="00A340F9"/>
    <w:rsid w:val="00A34432"/>
    <w:rsid w:val="00A3518B"/>
    <w:rsid w:val="00A35743"/>
    <w:rsid w:val="00A35A30"/>
    <w:rsid w:val="00A35F4C"/>
    <w:rsid w:val="00A36857"/>
    <w:rsid w:val="00A36D8F"/>
    <w:rsid w:val="00A36EEF"/>
    <w:rsid w:val="00A37471"/>
    <w:rsid w:val="00A411D0"/>
    <w:rsid w:val="00A412E0"/>
    <w:rsid w:val="00A42029"/>
    <w:rsid w:val="00A4213C"/>
    <w:rsid w:val="00A427D1"/>
    <w:rsid w:val="00A42C8D"/>
    <w:rsid w:val="00A42FEA"/>
    <w:rsid w:val="00A43037"/>
    <w:rsid w:val="00A43239"/>
    <w:rsid w:val="00A436DE"/>
    <w:rsid w:val="00A43D22"/>
    <w:rsid w:val="00A446FF"/>
    <w:rsid w:val="00A44887"/>
    <w:rsid w:val="00A459A2"/>
    <w:rsid w:val="00A462C6"/>
    <w:rsid w:val="00A4641E"/>
    <w:rsid w:val="00A466A2"/>
    <w:rsid w:val="00A46704"/>
    <w:rsid w:val="00A46ED3"/>
    <w:rsid w:val="00A46EE1"/>
    <w:rsid w:val="00A46F35"/>
    <w:rsid w:val="00A4735C"/>
    <w:rsid w:val="00A47DA9"/>
    <w:rsid w:val="00A50212"/>
    <w:rsid w:val="00A50C0F"/>
    <w:rsid w:val="00A5202A"/>
    <w:rsid w:val="00A52ED5"/>
    <w:rsid w:val="00A52FD2"/>
    <w:rsid w:val="00A531A4"/>
    <w:rsid w:val="00A536BC"/>
    <w:rsid w:val="00A53B59"/>
    <w:rsid w:val="00A53D16"/>
    <w:rsid w:val="00A542F7"/>
    <w:rsid w:val="00A54456"/>
    <w:rsid w:val="00A5502E"/>
    <w:rsid w:val="00A55385"/>
    <w:rsid w:val="00A555C5"/>
    <w:rsid w:val="00A560D4"/>
    <w:rsid w:val="00A57570"/>
    <w:rsid w:val="00A57E39"/>
    <w:rsid w:val="00A60332"/>
    <w:rsid w:val="00A60E8C"/>
    <w:rsid w:val="00A613D4"/>
    <w:rsid w:val="00A61636"/>
    <w:rsid w:val="00A61C0D"/>
    <w:rsid w:val="00A61D28"/>
    <w:rsid w:val="00A6208E"/>
    <w:rsid w:val="00A63A5C"/>
    <w:rsid w:val="00A63C6A"/>
    <w:rsid w:val="00A64052"/>
    <w:rsid w:val="00A64B0C"/>
    <w:rsid w:val="00A64DB5"/>
    <w:rsid w:val="00A6615C"/>
    <w:rsid w:val="00A6622E"/>
    <w:rsid w:val="00A66BBF"/>
    <w:rsid w:val="00A67B3E"/>
    <w:rsid w:val="00A70777"/>
    <w:rsid w:val="00A70A5A"/>
    <w:rsid w:val="00A73288"/>
    <w:rsid w:val="00A73A07"/>
    <w:rsid w:val="00A73AF1"/>
    <w:rsid w:val="00A748ED"/>
    <w:rsid w:val="00A75567"/>
    <w:rsid w:val="00A75763"/>
    <w:rsid w:val="00A7580E"/>
    <w:rsid w:val="00A7589F"/>
    <w:rsid w:val="00A759E6"/>
    <w:rsid w:val="00A75B4E"/>
    <w:rsid w:val="00A763B3"/>
    <w:rsid w:val="00A7678B"/>
    <w:rsid w:val="00A76C18"/>
    <w:rsid w:val="00A76E06"/>
    <w:rsid w:val="00A76EBC"/>
    <w:rsid w:val="00A77A3F"/>
    <w:rsid w:val="00A77D4F"/>
    <w:rsid w:val="00A77D95"/>
    <w:rsid w:val="00A8014F"/>
    <w:rsid w:val="00A8042B"/>
    <w:rsid w:val="00A805D6"/>
    <w:rsid w:val="00A814C8"/>
    <w:rsid w:val="00A815E8"/>
    <w:rsid w:val="00A81D9D"/>
    <w:rsid w:val="00A822EF"/>
    <w:rsid w:val="00A82F75"/>
    <w:rsid w:val="00A83418"/>
    <w:rsid w:val="00A83A4D"/>
    <w:rsid w:val="00A83B0B"/>
    <w:rsid w:val="00A84047"/>
    <w:rsid w:val="00A849CD"/>
    <w:rsid w:val="00A8587B"/>
    <w:rsid w:val="00A85978"/>
    <w:rsid w:val="00A85A17"/>
    <w:rsid w:val="00A85C63"/>
    <w:rsid w:val="00A86239"/>
    <w:rsid w:val="00A86C2F"/>
    <w:rsid w:val="00A87547"/>
    <w:rsid w:val="00A8791A"/>
    <w:rsid w:val="00A90945"/>
    <w:rsid w:val="00A90B08"/>
    <w:rsid w:val="00A92ED4"/>
    <w:rsid w:val="00A92F36"/>
    <w:rsid w:val="00A93FBB"/>
    <w:rsid w:val="00A942D9"/>
    <w:rsid w:val="00A944A6"/>
    <w:rsid w:val="00A94917"/>
    <w:rsid w:val="00A95CAF"/>
    <w:rsid w:val="00A95F29"/>
    <w:rsid w:val="00A96CCE"/>
    <w:rsid w:val="00A970FA"/>
    <w:rsid w:val="00A9782D"/>
    <w:rsid w:val="00AA0117"/>
    <w:rsid w:val="00AA0148"/>
    <w:rsid w:val="00AA01FB"/>
    <w:rsid w:val="00AA1671"/>
    <w:rsid w:val="00AA202D"/>
    <w:rsid w:val="00AA2628"/>
    <w:rsid w:val="00AA2E21"/>
    <w:rsid w:val="00AA3461"/>
    <w:rsid w:val="00AA35FA"/>
    <w:rsid w:val="00AA48FA"/>
    <w:rsid w:val="00AA4A7B"/>
    <w:rsid w:val="00AA4BBF"/>
    <w:rsid w:val="00AA4D78"/>
    <w:rsid w:val="00AA4F56"/>
    <w:rsid w:val="00AA5417"/>
    <w:rsid w:val="00AA5815"/>
    <w:rsid w:val="00AA5AA3"/>
    <w:rsid w:val="00AA5BE5"/>
    <w:rsid w:val="00AA746B"/>
    <w:rsid w:val="00AA7847"/>
    <w:rsid w:val="00AB00D1"/>
    <w:rsid w:val="00AB029D"/>
    <w:rsid w:val="00AB05B6"/>
    <w:rsid w:val="00AB0B9C"/>
    <w:rsid w:val="00AB1760"/>
    <w:rsid w:val="00AB1BE7"/>
    <w:rsid w:val="00AB23B0"/>
    <w:rsid w:val="00AB31F3"/>
    <w:rsid w:val="00AB3277"/>
    <w:rsid w:val="00AB3835"/>
    <w:rsid w:val="00AB3BE0"/>
    <w:rsid w:val="00AB4BFA"/>
    <w:rsid w:val="00AB4DE8"/>
    <w:rsid w:val="00AB5210"/>
    <w:rsid w:val="00AB58F8"/>
    <w:rsid w:val="00AB65E3"/>
    <w:rsid w:val="00AB7C69"/>
    <w:rsid w:val="00AC00AD"/>
    <w:rsid w:val="00AC03D1"/>
    <w:rsid w:val="00AC1290"/>
    <w:rsid w:val="00AC144B"/>
    <w:rsid w:val="00AC18A5"/>
    <w:rsid w:val="00AC1C05"/>
    <w:rsid w:val="00AC1C80"/>
    <w:rsid w:val="00AC272F"/>
    <w:rsid w:val="00AC2C7A"/>
    <w:rsid w:val="00AC2DA2"/>
    <w:rsid w:val="00AC2E54"/>
    <w:rsid w:val="00AC31BD"/>
    <w:rsid w:val="00AC3A51"/>
    <w:rsid w:val="00AC3EDB"/>
    <w:rsid w:val="00AC5352"/>
    <w:rsid w:val="00AC6D50"/>
    <w:rsid w:val="00AC74A9"/>
    <w:rsid w:val="00AC7754"/>
    <w:rsid w:val="00AC7AB9"/>
    <w:rsid w:val="00AC7F39"/>
    <w:rsid w:val="00AD06F8"/>
    <w:rsid w:val="00AD0BF7"/>
    <w:rsid w:val="00AD12E8"/>
    <w:rsid w:val="00AD2FCB"/>
    <w:rsid w:val="00AD301F"/>
    <w:rsid w:val="00AD3558"/>
    <w:rsid w:val="00AD3A45"/>
    <w:rsid w:val="00AD4661"/>
    <w:rsid w:val="00AD56B6"/>
    <w:rsid w:val="00AD57E2"/>
    <w:rsid w:val="00AD652D"/>
    <w:rsid w:val="00AD6A4A"/>
    <w:rsid w:val="00AD7327"/>
    <w:rsid w:val="00AD73A3"/>
    <w:rsid w:val="00AD789E"/>
    <w:rsid w:val="00AD7B87"/>
    <w:rsid w:val="00AE005F"/>
    <w:rsid w:val="00AE1A56"/>
    <w:rsid w:val="00AE1AA7"/>
    <w:rsid w:val="00AE231B"/>
    <w:rsid w:val="00AE232D"/>
    <w:rsid w:val="00AE2768"/>
    <w:rsid w:val="00AE32BB"/>
    <w:rsid w:val="00AE3F42"/>
    <w:rsid w:val="00AE4D2C"/>
    <w:rsid w:val="00AE50E4"/>
    <w:rsid w:val="00AE5732"/>
    <w:rsid w:val="00AE584B"/>
    <w:rsid w:val="00AE6957"/>
    <w:rsid w:val="00AE6AA6"/>
    <w:rsid w:val="00AE6C10"/>
    <w:rsid w:val="00AE7528"/>
    <w:rsid w:val="00AF1829"/>
    <w:rsid w:val="00AF20AB"/>
    <w:rsid w:val="00AF2577"/>
    <w:rsid w:val="00AF31F5"/>
    <w:rsid w:val="00AF4408"/>
    <w:rsid w:val="00AF4D17"/>
    <w:rsid w:val="00AF57D0"/>
    <w:rsid w:val="00AF5850"/>
    <w:rsid w:val="00AF708C"/>
    <w:rsid w:val="00AF780E"/>
    <w:rsid w:val="00AF7AB5"/>
    <w:rsid w:val="00AF7DEC"/>
    <w:rsid w:val="00B012F0"/>
    <w:rsid w:val="00B01548"/>
    <w:rsid w:val="00B019F8"/>
    <w:rsid w:val="00B028FE"/>
    <w:rsid w:val="00B0333C"/>
    <w:rsid w:val="00B03B26"/>
    <w:rsid w:val="00B04598"/>
    <w:rsid w:val="00B04B85"/>
    <w:rsid w:val="00B05569"/>
    <w:rsid w:val="00B05C0A"/>
    <w:rsid w:val="00B072C6"/>
    <w:rsid w:val="00B075E5"/>
    <w:rsid w:val="00B07684"/>
    <w:rsid w:val="00B07D81"/>
    <w:rsid w:val="00B113E4"/>
    <w:rsid w:val="00B11916"/>
    <w:rsid w:val="00B11927"/>
    <w:rsid w:val="00B11DFD"/>
    <w:rsid w:val="00B11FB7"/>
    <w:rsid w:val="00B120DE"/>
    <w:rsid w:val="00B1292A"/>
    <w:rsid w:val="00B143E4"/>
    <w:rsid w:val="00B20282"/>
    <w:rsid w:val="00B2045D"/>
    <w:rsid w:val="00B2066A"/>
    <w:rsid w:val="00B2090F"/>
    <w:rsid w:val="00B20915"/>
    <w:rsid w:val="00B20D56"/>
    <w:rsid w:val="00B212C2"/>
    <w:rsid w:val="00B21C1C"/>
    <w:rsid w:val="00B21D46"/>
    <w:rsid w:val="00B21E27"/>
    <w:rsid w:val="00B21E36"/>
    <w:rsid w:val="00B21F14"/>
    <w:rsid w:val="00B2244D"/>
    <w:rsid w:val="00B22B8F"/>
    <w:rsid w:val="00B232CF"/>
    <w:rsid w:val="00B233DB"/>
    <w:rsid w:val="00B2355D"/>
    <w:rsid w:val="00B236C2"/>
    <w:rsid w:val="00B23BA4"/>
    <w:rsid w:val="00B244ED"/>
    <w:rsid w:val="00B24521"/>
    <w:rsid w:val="00B247E0"/>
    <w:rsid w:val="00B24855"/>
    <w:rsid w:val="00B24A0D"/>
    <w:rsid w:val="00B24CD8"/>
    <w:rsid w:val="00B25C4B"/>
    <w:rsid w:val="00B25CD6"/>
    <w:rsid w:val="00B26202"/>
    <w:rsid w:val="00B264ED"/>
    <w:rsid w:val="00B26737"/>
    <w:rsid w:val="00B26946"/>
    <w:rsid w:val="00B26A22"/>
    <w:rsid w:val="00B26B5A"/>
    <w:rsid w:val="00B26F71"/>
    <w:rsid w:val="00B27038"/>
    <w:rsid w:val="00B27483"/>
    <w:rsid w:val="00B27AE4"/>
    <w:rsid w:val="00B3043A"/>
    <w:rsid w:val="00B30C72"/>
    <w:rsid w:val="00B30DE9"/>
    <w:rsid w:val="00B31052"/>
    <w:rsid w:val="00B3156A"/>
    <w:rsid w:val="00B31D10"/>
    <w:rsid w:val="00B321C6"/>
    <w:rsid w:val="00B33CBB"/>
    <w:rsid w:val="00B34D51"/>
    <w:rsid w:val="00B34E08"/>
    <w:rsid w:val="00B358B5"/>
    <w:rsid w:val="00B35E6F"/>
    <w:rsid w:val="00B36C8E"/>
    <w:rsid w:val="00B3742E"/>
    <w:rsid w:val="00B376CB"/>
    <w:rsid w:val="00B37B2E"/>
    <w:rsid w:val="00B401B4"/>
    <w:rsid w:val="00B40F10"/>
    <w:rsid w:val="00B42858"/>
    <w:rsid w:val="00B42889"/>
    <w:rsid w:val="00B428F0"/>
    <w:rsid w:val="00B42A34"/>
    <w:rsid w:val="00B44576"/>
    <w:rsid w:val="00B45C82"/>
    <w:rsid w:val="00B45F29"/>
    <w:rsid w:val="00B46A8B"/>
    <w:rsid w:val="00B47007"/>
    <w:rsid w:val="00B47287"/>
    <w:rsid w:val="00B475A4"/>
    <w:rsid w:val="00B50303"/>
    <w:rsid w:val="00B50618"/>
    <w:rsid w:val="00B515D6"/>
    <w:rsid w:val="00B5196C"/>
    <w:rsid w:val="00B525BC"/>
    <w:rsid w:val="00B53E69"/>
    <w:rsid w:val="00B5403B"/>
    <w:rsid w:val="00B55204"/>
    <w:rsid w:val="00B552E3"/>
    <w:rsid w:val="00B55654"/>
    <w:rsid w:val="00B558DE"/>
    <w:rsid w:val="00B55FF0"/>
    <w:rsid w:val="00B56A3A"/>
    <w:rsid w:val="00B578BE"/>
    <w:rsid w:val="00B57D48"/>
    <w:rsid w:val="00B605DE"/>
    <w:rsid w:val="00B605E7"/>
    <w:rsid w:val="00B61379"/>
    <w:rsid w:val="00B61EB3"/>
    <w:rsid w:val="00B6292B"/>
    <w:rsid w:val="00B62ADB"/>
    <w:rsid w:val="00B62F77"/>
    <w:rsid w:val="00B63566"/>
    <w:rsid w:val="00B640EB"/>
    <w:rsid w:val="00B64C88"/>
    <w:rsid w:val="00B65526"/>
    <w:rsid w:val="00B6714D"/>
    <w:rsid w:val="00B711EA"/>
    <w:rsid w:val="00B71805"/>
    <w:rsid w:val="00B71EAB"/>
    <w:rsid w:val="00B71F80"/>
    <w:rsid w:val="00B723B6"/>
    <w:rsid w:val="00B726D3"/>
    <w:rsid w:val="00B73000"/>
    <w:rsid w:val="00B743AB"/>
    <w:rsid w:val="00B74550"/>
    <w:rsid w:val="00B74AE2"/>
    <w:rsid w:val="00B75C11"/>
    <w:rsid w:val="00B75C56"/>
    <w:rsid w:val="00B7632F"/>
    <w:rsid w:val="00B7682E"/>
    <w:rsid w:val="00B76DFB"/>
    <w:rsid w:val="00B76E33"/>
    <w:rsid w:val="00B77133"/>
    <w:rsid w:val="00B772C8"/>
    <w:rsid w:val="00B77457"/>
    <w:rsid w:val="00B7770A"/>
    <w:rsid w:val="00B77899"/>
    <w:rsid w:val="00B77BE1"/>
    <w:rsid w:val="00B77E03"/>
    <w:rsid w:val="00B8071F"/>
    <w:rsid w:val="00B80BCE"/>
    <w:rsid w:val="00B82039"/>
    <w:rsid w:val="00B82CCE"/>
    <w:rsid w:val="00B83367"/>
    <w:rsid w:val="00B836A7"/>
    <w:rsid w:val="00B83860"/>
    <w:rsid w:val="00B84C26"/>
    <w:rsid w:val="00B868DC"/>
    <w:rsid w:val="00B86C34"/>
    <w:rsid w:val="00B86D5E"/>
    <w:rsid w:val="00B90736"/>
    <w:rsid w:val="00B90E58"/>
    <w:rsid w:val="00B91295"/>
    <w:rsid w:val="00B91604"/>
    <w:rsid w:val="00B91C34"/>
    <w:rsid w:val="00B91D8B"/>
    <w:rsid w:val="00B92419"/>
    <w:rsid w:val="00B92816"/>
    <w:rsid w:val="00B92E3D"/>
    <w:rsid w:val="00B93466"/>
    <w:rsid w:val="00B94BDA"/>
    <w:rsid w:val="00B9553A"/>
    <w:rsid w:val="00B97087"/>
    <w:rsid w:val="00B97415"/>
    <w:rsid w:val="00B97474"/>
    <w:rsid w:val="00B9777D"/>
    <w:rsid w:val="00B97FDD"/>
    <w:rsid w:val="00BA0361"/>
    <w:rsid w:val="00BA092A"/>
    <w:rsid w:val="00BA09A2"/>
    <w:rsid w:val="00BA0D78"/>
    <w:rsid w:val="00BA2EF5"/>
    <w:rsid w:val="00BA3144"/>
    <w:rsid w:val="00BA47D0"/>
    <w:rsid w:val="00BA5E4E"/>
    <w:rsid w:val="00BA5FB6"/>
    <w:rsid w:val="00BA603D"/>
    <w:rsid w:val="00BA626D"/>
    <w:rsid w:val="00BA6790"/>
    <w:rsid w:val="00BA687A"/>
    <w:rsid w:val="00BA6BEE"/>
    <w:rsid w:val="00BA74F6"/>
    <w:rsid w:val="00BA7CF0"/>
    <w:rsid w:val="00BB0526"/>
    <w:rsid w:val="00BB0AE8"/>
    <w:rsid w:val="00BB0FCE"/>
    <w:rsid w:val="00BB2046"/>
    <w:rsid w:val="00BB2CF3"/>
    <w:rsid w:val="00BB2EA5"/>
    <w:rsid w:val="00BB3FC6"/>
    <w:rsid w:val="00BB4194"/>
    <w:rsid w:val="00BB4796"/>
    <w:rsid w:val="00BB52DA"/>
    <w:rsid w:val="00BB54BB"/>
    <w:rsid w:val="00BB5556"/>
    <w:rsid w:val="00BB5D78"/>
    <w:rsid w:val="00BB5FF2"/>
    <w:rsid w:val="00BB6134"/>
    <w:rsid w:val="00BB64FD"/>
    <w:rsid w:val="00BB651E"/>
    <w:rsid w:val="00BB7CA0"/>
    <w:rsid w:val="00BB7E8C"/>
    <w:rsid w:val="00BC03EB"/>
    <w:rsid w:val="00BC06BB"/>
    <w:rsid w:val="00BC24E0"/>
    <w:rsid w:val="00BC292F"/>
    <w:rsid w:val="00BC32CB"/>
    <w:rsid w:val="00BC3CB2"/>
    <w:rsid w:val="00BC3E3E"/>
    <w:rsid w:val="00BC428B"/>
    <w:rsid w:val="00BC4692"/>
    <w:rsid w:val="00BC4C37"/>
    <w:rsid w:val="00BC4E66"/>
    <w:rsid w:val="00BC506E"/>
    <w:rsid w:val="00BC50B6"/>
    <w:rsid w:val="00BC545A"/>
    <w:rsid w:val="00BC5D8F"/>
    <w:rsid w:val="00BC5F73"/>
    <w:rsid w:val="00BC63F9"/>
    <w:rsid w:val="00BC6966"/>
    <w:rsid w:val="00BC69C4"/>
    <w:rsid w:val="00BC6AC8"/>
    <w:rsid w:val="00BC70C3"/>
    <w:rsid w:val="00BD0556"/>
    <w:rsid w:val="00BD05DA"/>
    <w:rsid w:val="00BD0A24"/>
    <w:rsid w:val="00BD0A3B"/>
    <w:rsid w:val="00BD14E8"/>
    <w:rsid w:val="00BD18BB"/>
    <w:rsid w:val="00BD2055"/>
    <w:rsid w:val="00BD24C3"/>
    <w:rsid w:val="00BD26D5"/>
    <w:rsid w:val="00BD3CA3"/>
    <w:rsid w:val="00BD3E5C"/>
    <w:rsid w:val="00BD3E9A"/>
    <w:rsid w:val="00BD450E"/>
    <w:rsid w:val="00BD52C7"/>
    <w:rsid w:val="00BD554C"/>
    <w:rsid w:val="00BD5A45"/>
    <w:rsid w:val="00BD66CF"/>
    <w:rsid w:val="00BD710B"/>
    <w:rsid w:val="00BD711A"/>
    <w:rsid w:val="00BD7DE6"/>
    <w:rsid w:val="00BD7EC8"/>
    <w:rsid w:val="00BE0226"/>
    <w:rsid w:val="00BE0D16"/>
    <w:rsid w:val="00BE2768"/>
    <w:rsid w:val="00BE2A5B"/>
    <w:rsid w:val="00BE2A89"/>
    <w:rsid w:val="00BE2F0A"/>
    <w:rsid w:val="00BE37B2"/>
    <w:rsid w:val="00BE5ADA"/>
    <w:rsid w:val="00BE625A"/>
    <w:rsid w:val="00BE6311"/>
    <w:rsid w:val="00BE6A87"/>
    <w:rsid w:val="00BE75DE"/>
    <w:rsid w:val="00BE766B"/>
    <w:rsid w:val="00BE7962"/>
    <w:rsid w:val="00BE7E30"/>
    <w:rsid w:val="00BE7F18"/>
    <w:rsid w:val="00BF0321"/>
    <w:rsid w:val="00BF0F58"/>
    <w:rsid w:val="00BF3162"/>
    <w:rsid w:val="00BF31BF"/>
    <w:rsid w:val="00BF359F"/>
    <w:rsid w:val="00BF436C"/>
    <w:rsid w:val="00BF44F5"/>
    <w:rsid w:val="00BF4DCC"/>
    <w:rsid w:val="00BF4EEB"/>
    <w:rsid w:val="00BF509C"/>
    <w:rsid w:val="00BF528C"/>
    <w:rsid w:val="00BF5829"/>
    <w:rsid w:val="00BF5C64"/>
    <w:rsid w:val="00BF5F40"/>
    <w:rsid w:val="00BF61AF"/>
    <w:rsid w:val="00BF75B9"/>
    <w:rsid w:val="00BF7A60"/>
    <w:rsid w:val="00C00AE7"/>
    <w:rsid w:val="00C0143C"/>
    <w:rsid w:val="00C01C7C"/>
    <w:rsid w:val="00C0223E"/>
    <w:rsid w:val="00C02EB1"/>
    <w:rsid w:val="00C03121"/>
    <w:rsid w:val="00C032D9"/>
    <w:rsid w:val="00C03798"/>
    <w:rsid w:val="00C03900"/>
    <w:rsid w:val="00C04DC4"/>
    <w:rsid w:val="00C05CB1"/>
    <w:rsid w:val="00C0655F"/>
    <w:rsid w:val="00C06A9D"/>
    <w:rsid w:val="00C06D38"/>
    <w:rsid w:val="00C074E5"/>
    <w:rsid w:val="00C10D3C"/>
    <w:rsid w:val="00C111C7"/>
    <w:rsid w:val="00C116E8"/>
    <w:rsid w:val="00C11A39"/>
    <w:rsid w:val="00C11C4A"/>
    <w:rsid w:val="00C11C60"/>
    <w:rsid w:val="00C12408"/>
    <w:rsid w:val="00C125EE"/>
    <w:rsid w:val="00C13996"/>
    <w:rsid w:val="00C15016"/>
    <w:rsid w:val="00C1535A"/>
    <w:rsid w:val="00C15393"/>
    <w:rsid w:val="00C1581B"/>
    <w:rsid w:val="00C15AD6"/>
    <w:rsid w:val="00C15E51"/>
    <w:rsid w:val="00C15EEE"/>
    <w:rsid w:val="00C15FE9"/>
    <w:rsid w:val="00C16347"/>
    <w:rsid w:val="00C17A0C"/>
    <w:rsid w:val="00C17C0E"/>
    <w:rsid w:val="00C17C6D"/>
    <w:rsid w:val="00C17EDF"/>
    <w:rsid w:val="00C204F3"/>
    <w:rsid w:val="00C20529"/>
    <w:rsid w:val="00C20804"/>
    <w:rsid w:val="00C21433"/>
    <w:rsid w:val="00C23C68"/>
    <w:rsid w:val="00C24030"/>
    <w:rsid w:val="00C24596"/>
    <w:rsid w:val="00C24E3A"/>
    <w:rsid w:val="00C25367"/>
    <w:rsid w:val="00C26DB6"/>
    <w:rsid w:val="00C26FF0"/>
    <w:rsid w:val="00C27733"/>
    <w:rsid w:val="00C30321"/>
    <w:rsid w:val="00C30814"/>
    <w:rsid w:val="00C31D55"/>
    <w:rsid w:val="00C33BAB"/>
    <w:rsid w:val="00C34252"/>
    <w:rsid w:val="00C348A5"/>
    <w:rsid w:val="00C34908"/>
    <w:rsid w:val="00C34911"/>
    <w:rsid w:val="00C35035"/>
    <w:rsid w:val="00C35958"/>
    <w:rsid w:val="00C35A65"/>
    <w:rsid w:val="00C372FB"/>
    <w:rsid w:val="00C37699"/>
    <w:rsid w:val="00C37DBA"/>
    <w:rsid w:val="00C40C1F"/>
    <w:rsid w:val="00C415DC"/>
    <w:rsid w:val="00C43045"/>
    <w:rsid w:val="00C437F2"/>
    <w:rsid w:val="00C43A98"/>
    <w:rsid w:val="00C43FD7"/>
    <w:rsid w:val="00C4408C"/>
    <w:rsid w:val="00C44C39"/>
    <w:rsid w:val="00C453DF"/>
    <w:rsid w:val="00C45496"/>
    <w:rsid w:val="00C4564D"/>
    <w:rsid w:val="00C45808"/>
    <w:rsid w:val="00C4586E"/>
    <w:rsid w:val="00C4722D"/>
    <w:rsid w:val="00C47299"/>
    <w:rsid w:val="00C47A0D"/>
    <w:rsid w:val="00C500AB"/>
    <w:rsid w:val="00C5084E"/>
    <w:rsid w:val="00C52410"/>
    <w:rsid w:val="00C52468"/>
    <w:rsid w:val="00C52591"/>
    <w:rsid w:val="00C5262C"/>
    <w:rsid w:val="00C52B02"/>
    <w:rsid w:val="00C52C73"/>
    <w:rsid w:val="00C533EA"/>
    <w:rsid w:val="00C53A44"/>
    <w:rsid w:val="00C5487E"/>
    <w:rsid w:val="00C54D94"/>
    <w:rsid w:val="00C55A72"/>
    <w:rsid w:val="00C55AFA"/>
    <w:rsid w:val="00C55F58"/>
    <w:rsid w:val="00C5641F"/>
    <w:rsid w:val="00C56C36"/>
    <w:rsid w:val="00C56E08"/>
    <w:rsid w:val="00C572EC"/>
    <w:rsid w:val="00C57420"/>
    <w:rsid w:val="00C57B1D"/>
    <w:rsid w:val="00C614DD"/>
    <w:rsid w:val="00C6151F"/>
    <w:rsid w:val="00C62015"/>
    <w:rsid w:val="00C625B6"/>
    <w:rsid w:val="00C6262B"/>
    <w:rsid w:val="00C627C1"/>
    <w:rsid w:val="00C63066"/>
    <w:rsid w:val="00C638AB"/>
    <w:rsid w:val="00C63B9F"/>
    <w:rsid w:val="00C63C2A"/>
    <w:rsid w:val="00C649E7"/>
    <w:rsid w:val="00C658BD"/>
    <w:rsid w:val="00C66908"/>
    <w:rsid w:val="00C6710A"/>
    <w:rsid w:val="00C6717C"/>
    <w:rsid w:val="00C67444"/>
    <w:rsid w:val="00C6766B"/>
    <w:rsid w:val="00C67F3A"/>
    <w:rsid w:val="00C72128"/>
    <w:rsid w:val="00C72186"/>
    <w:rsid w:val="00C72512"/>
    <w:rsid w:val="00C73096"/>
    <w:rsid w:val="00C73359"/>
    <w:rsid w:val="00C736AD"/>
    <w:rsid w:val="00C73EDB"/>
    <w:rsid w:val="00C74191"/>
    <w:rsid w:val="00C753DE"/>
    <w:rsid w:val="00C75476"/>
    <w:rsid w:val="00C75662"/>
    <w:rsid w:val="00C777F9"/>
    <w:rsid w:val="00C80410"/>
    <w:rsid w:val="00C8101A"/>
    <w:rsid w:val="00C81747"/>
    <w:rsid w:val="00C81B75"/>
    <w:rsid w:val="00C81FEF"/>
    <w:rsid w:val="00C82DFD"/>
    <w:rsid w:val="00C830DF"/>
    <w:rsid w:val="00C835C1"/>
    <w:rsid w:val="00C8484F"/>
    <w:rsid w:val="00C84C42"/>
    <w:rsid w:val="00C84C9C"/>
    <w:rsid w:val="00C84CAA"/>
    <w:rsid w:val="00C869A3"/>
    <w:rsid w:val="00C86B64"/>
    <w:rsid w:val="00C87AF2"/>
    <w:rsid w:val="00C87CC8"/>
    <w:rsid w:val="00C87D2D"/>
    <w:rsid w:val="00C87FEC"/>
    <w:rsid w:val="00C9023A"/>
    <w:rsid w:val="00C902D0"/>
    <w:rsid w:val="00C90749"/>
    <w:rsid w:val="00C90B72"/>
    <w:rsid w:val="00C91842"/>
    <w:rsid w:val="00C91BC3"/>
    <w:rsid w:val="00C91CB7"/>
    <w:rsid w:val="00C94156"/>
    <w:rsid w:val="00C9519F"/>
    <w:rsid w:val="00C95215"/>
    <w:rsid w:val="00C95274"/>
    <w:rsid w:val="00C96F0D"/>
    <w:rsid w:val="00C9722D"/>
    <w:rsid w:val="00C977B2"/>
    <w:rsid w:val="00CA1851"/>
    <w:rsid w:val="00CA3256"/>
    <w:rsid w:val="00CA3352"/>
    <w:rsid w:val="00CA33A3"/>
    <w:rsid w:val="00CA4068"/>
    <w:rsid w:val="00CA4DB3"/>
    <w:rsid w:val="00CA4E9F"/>
    <w:rsid w:val="00CA5434"/>
    <w:rsid w:val="00CA572C"/>
    <w:rsid w:val="00CA5E73"/>
    <w:rsid w:val="00CA61AE"/>
    <w:rsid w:val="00CA6448"/>
    <w:rsid w:val="00CA7754"/>
    <w:rsid w:val="00CB0602"/>
    <w:rsid w:val="00CB0D02"/>
    <w:rsid w:val="00CB1895"/>
    <w:rsid w:val="00CB1D38"/>
    <w:rsid w:val="00CB1E4E"/>
    <w:rsid w:val="00CB2074"/>
    <w:rsid w:val="00CB33BF"/>
    <w:rsid w:val="00CB3917"/>
    <w:rsid w:val="00CB42B6"/>
    <w:rsid w:val="00CB5EDF"/>
    <w:rsid w:val="00CB6891"/>
    <w:rsid w:val="00CB6C54"/>
    <w:rsid w:val="00CB7252"/>
    <w:rsid w:val="00CC0222"/>
    <w:rsid w:val="00CC05F5"/>
    <w:rsid w:val="00CC0FD5"/>
    <w:rsid w:val="00CC1191"/>
    <w:rsid w:val="00CC1431"/>
    <w:rsid w:val="00CC1760"/>
    <w:rsid w:val="00CC1B50"/>
    <w:rsid w:val="00CC4E99"/>
    <w:rsid w:val="00CC5BCC"/>
    <w:rsid w:val="00CC5E12"/>
    <w:rsid w:val="00CC5E1F"/>
    <w:rsid w:val="00CC5F22"/>
    <w:rsid w:val="00CC62A7"/>
    <w:rsid w:val="00CC6C83"/>
    <w:rsid w:val="00CC720C"/>
    <w:rsid w:val="00CC72CC"/>
    <w:rsid w:val="00CC7AA4"/>
    <w:rsid w:val="00CC7DD5"/>
    <w:rsid w:val="00CD03AF"/>
    <w:rsid w:val="00CD1058"/>
    <w:rsid w:val="00CD11F3"/>
    <w:rsid w:val="00CD19E5"/>
    <w:rsid w:val="00CD2061"/>
    <w:rsid w:val="00CD2100"/>
    <w:rsid w:val="00CD2434"/>
    <w:rsid w:val="00CD24C9"/>
    <w:rsid w:val="00CD25DC"/>
    <w:rsid w:val="00CD4468"/>
    <w:rsid w:val="00CD4AB2"/>
    <w:rsid w:val="00CD50AB"/>
    <w:rsid w:val="00CD56CA"/>
    <w:rsid w:val="00CD72B4"/>
    <w:rsid w:val="00CD766B"/>
    <w:rsid w:val="00CD769D"/>
    <w:rsid w:val="00CE0A7E"/>
    <w:rsid w:val="00CE1A31"/>
    <w:rsid w:val="00CE2A2A"/>
    <w:rsid w:val="00CE3299"/>
    <w:rsid w:val="00CE32FC"/>
    <w:rsid w:val="00CE48AE"/>
    <w:rsid w:val="00CE662D"/>
    <w:rsid w:val="00CE672B"/>
    <w:rsid w:val="00CE6AA1"/>
    <w:rsid w:val="00CE7157"/>
    <w:rsid w:val="00CE7310"/>
    <w:rsid w:val="00CE7973"/>
    <w:rsid w:val="00CE7F44"/>
    <w:rsid w:val="00CF05AC"/>
    <w:rsid w:val="00CF1B7D"/>
    <w:rsid w:val="00CF2F0B"/>
    <w:rsid w:val="00CF310B"/>
    <w:rsid w:val="00CF4229"/>
    <w:rsid w:val="00CF4E42"/>
    <w:rsid w:val="00CF4EA2"/>
    <w:rsid w:val="00CF5B3B"/>
    <w:rsid w:val="00CF5B6E"/>
    <w:rsid w:val="00CF60C9"/>
    <w:rsid w:val="00CF6259"/>
    <w:rsid w:val="00CF66BC"/>
    <w:rsid w:val="00CF77FE"/>
    <w:rsid w:val="00CF78FC"/>
    <w:rsid w:val="00CF7C52"/>
    <w:rsid w:val="00D011E6"/>
    <w:rsid w:val="00D013B2"/>
    <w:rsid w:val="00D01C9B"/>
    <w:rsid w:val="00D01FDA"/>
    <w:rsid w:val="00D0211D"/>
    <w:rsid w:val="00D02F88"/>
    <w:rsid w:val="00D0391A"/>
    <w:rsid w:val="00D04378"/>
    <w:rsid w:val="00D04F43"/>
    <w:rsid w:val="00D05AC8"/>
    <w:rsid w:val="00D0623A"/>
    <w:rsid w:val="00D06331"/>
    <w:rsid w:val="00D070D2"/>
    <w:rsid w:val="00D07738"/>
    <w:rsid w:val="00D078C3"/>
    <w:rsid w:val="00D0799A"/>
    <w:rsid w:val="00D10529"/>
    <w:rsid w:val="00D110EA"/>
    <w:rsid w:val="00D114F7"/>
    <w:rsid w:val="00D11561"/>
    <w:rsid w:val="00D12A4E"/>
    <w:rsid w:val="00D15001"/>
    <w:rsid w:val="00D15086"/>
    <w:rsid w:val="00D15DD2"/>
    <w:rsid w:val="00D16122"/>
    <w:rsid w:val="00D16A48"/>
    <w:rsid w:val="00D172B9"/>
    <w:rsid w:val="00D17395"/>
    <w:rsid w:val="00D206BD"/>
    <w:rsid w:val="00D2083D"/>
    <w:rsid w:val="00D22077"/>
    <w:rsid w:val="00D22928"/>
    <w:rsid w:val="00D22AE9"/>
    <w:rsid w:val="00D22C30"/>
    <w:rsid w:val="00D234F2"/>
    <w:rsid w:val="00D2370C"/>
    <w:rsid w:val="00D2578F"/>
    <w:rsid w:val="00D30305"/>
    <w:rsid w:val="00D31DF9"/>
    <w:rsid w:val="00D33A3C"/>
    <w:rsid w:val="00D354B4"/>
    <w:rsid w:val="00D355AF"/>
    <w:rsid w:val="00D3618A"/>
    <w:rsid w:val="00D366F1"/>
    <w:rsid w:val="00D367A6"/>
    <w:rsid w:val="00D36DB8"/>
    <w:rsid w:val="00D3780F"/>
    <w:rsid w:val="00D40DDD"/>
    <w:rsid w:val="00D41F4A"/>
    <w:rsid w:val="00D42D59"/>
    <w:rsid w:val="00D43021"/>
    <w:rsid w:val="00D43696"/>
    <w:rsid w:val="00D44276"/>
    <w:rsid w:val="00D4433E"/>
    <w:rsid w:val="00D44547"/>
    <w:rsid w:val="00D44897"/>
    <w:rsid w:val="00D449A0"/>
    <w:rsid w:val="00D452E1"/>
    <w:rsid w:val="00D4623C"/>
    <w:rsid w:val="00D462AA"/>
    <w:rsid w:val="00D477F6"/>
    <w:rsid w:val="00D47864"/>
    <w:rsid w:val="00D506C2"/>
    <w:rsid w:val="00D51EE4"/>
    <w:rsid w:val="00D5216F"/>
    <w:rsid w:val="00D528A3"/>
    <w:rsid w:val="00D52ADB"/>
    <w:rsid w:val="00D54019"/>
    <w:rsid w:val="00D549CD"/>
    <w:rsid w:val="00D54A29"/>
    <w:rsid w:val="00D54BDF"/>
    <w:rsid w:val="00D54F25"/>
    <w:rsid w:val="00D55490"/>
    <w:rsid w:val="00D55914"/>
    <w:rsid w:val="00D55935"/>
    <w:rsid w:val="00D55D53"/>
    <w:rsid w:val="00D56E40"/>
    <w:rsid w:val="00D56FCA"/>
    <w:rsid w:val="00D6022F"/>
    <w:rsid w:val="00D605D5"/>
    <w:rsid w:val="00D60B0E"/>
    <w:rsid w:val="00D62689"/>
    <w:rsid w:val="00D6443F"/>
    <w:rsid w:val="00D64A52"/>
    <w:rsid w:val="00D64FA6"/>
    <w:rsid w:val="00D66B52"/>
    <w:rsid w:val="00D66E2C"/>
    <w:rsid w:val="00D70D61"/>
    <w:rsid w:val="00D714ED"/>
    <w:rsid w:val="00D726A9"/>
    <w:rsid w:val="00D72F8E"/>
    <w:rsid w:val="00D732C2"/>
    <w:rsid w:val="00D73425"/>
    <w:rsid w:val="00D73804"/>
    <w:rsid w:val="00D74554"/>
    <w:rsid w:val="00D75794"/>
    <w:rsid w:val="00D75CAD"/>
    <w:rsid w:val="00D76ADD"/>
    <w:rsid w:val="00D77117"/>
    <w:rsid w:val="00D803FD"/>
    <w:rsid w:val="00D80832"/>
    <w:rsid w:val="00D80BA4"/>
    <w:rsid w:val="00D81B9D"/>
    <w:rsid w:val="00D8246D"/>
    <w:rsid w:val="00D83400"/>
    <w:rsid w:val="00D83897"/>
    <w:rsid w:val="00D848D7"/>
    <w:rsid w:val="00D85F57"/>
    <w:rsid w:val="00D86548"/>
    <w:rsid w:val="00D86C19"/>
    <w:rsid w:val="00D87026"/>
    <w:rsid w:val="00D9028C"/>
    <w:rsid w:val="00D90A30"/>
    <w:rsid w:val="00D90B40"/>
    <w:rsid w:val="00D919FA"/>
    <w:rsid w:val="00D9351B"/>
    <w:rsid w:val="00D93DED"/>
    <w:rsid w:val="00D94187"/>
    <w:rsid w:val="00D94206"/>
    <w:rsid w:val="00D9479D"/>
    <w:rsid w:val="00D94F9C"/>
    <w:rsid w:val="00D9526F"/>
    <w:rsid w:val="00D954B7"/>
    <w:rsid w:val="00D954CA"/>
    <w:rsid w:val="00D978AC"/>
    <w:rsid w:val="00D97AC9"/>
    <w:rsid w:val="00DA0D41"/>
    <w:rsid w:val="00DA0E32"/>
    <w:rsid w:val="00DA1321"/>
    <w:rsid w:val="00DA15CD"/>
    <w:rsid w:val="00DA2174"/>
    <w:rsid w:val="00DA263D"/>
    <w:rsid w:val="00DA2680"/>
    <w:rsid w:val="00DA3509"/>
    <w:rsid w:val="00DA4288"/>
    <w:rsid w:val="00DA42D9"/>
    <w:rsid w:val="00DA4552"/>
    <w:rsid w:val="00DA4A2A"/>
    <w:rsid w:val="00DA60BF"/>
    <w:rsid w:val="00DA63A6"/>
    <w:rsid w:val="00DA685A"/>
    <w:rsid w:val="00DA7A1B"/>
    <w:rsid w:val="00DB0442"/>
    <w:rsid w:val="00DB1101"/>
    <w:rsid w:val="00DB1FE7"/>
    <w:rsid w:val="00DB27E1"/>
    <w:rsid w:val="00DB3194"/>
    <w:rsid w:val="00DB401A"/>
    <w:rsid w:val="00DB5036"/>
    <w:rsid w:val="00DB6E78"/>
    <w:rsid w:val="00DB7579"/>
    <w:rsid w:val="00DC03D5"/>
    <w:rsid w:val="00DC0C47"/>
    <w:rsid w:val="00DC12EC"/>
    <w:rsid w:val="00DC16F4"/>
    <w:rsid w:val="00DC1B04"/>
    <w:rsid w:val="00DC284B"/>
    <w:rsid w:val="00DC28FB"/>
    <w:rsid w:val="00DC2A1B"/>
    <w:rsid w:val="00DC3406"/>
    <w:rsid w:val="00DC415A"/>
    <w:rsid w:val="00DC41A8"/>
    <w:rsid w:val="00DC4D8E"/>
    <w:rsid w:val="00DC53DC"/>
    <w:rsid w:val="00DC5E8D"/>
    <w:rsid w:val="00DC60CF"/>
    <w:rsid w:val="00DC69BD"/>
    <w:rsid w:val="00DD0800"/>
    <w:rsid w:val="00DD1A24"/>
    <w:rsid w:val="00DD21A3"/>
    <w:rsid w:val="00DD225E"/>
    <w:rsid w:val="00DD2359"/>
    <w:rsid w:val="00DD3284"/>
    <w:rsid w:val="00DD3295"/>
    <w:rsid w:val="00DD3C52"/>
    <w:rsid w:val="00DD3D8B"/>
    <w:rsid w:val="00DD4429"/>
    <w:rsid w:val="00DD5551"/>
    <w:rsid w:val="00DD6025"/>
    <w:rsid w:val="00DD6BFA"/>
    <w:rsid w:val="00DD7325"/>
    <w:rsid w:val="00DD79F0"/>
    <w:rsid w:val="00DE1AEB"/>
    <w:rsid w:val="00DE2244"/>
    <w:rsid w:val="00DE2417"/>
    <w:rsid w:val="00DE2847"/>
    <w:rsid w:val="00DE3073"/>
    <w:rsid w:val="00DE36E8"/>
    <w:rsid w:val="00DE3745"/>
    <w:rsid w:val="00DE3C85"/>
    <w:rsid w:val="00DE3D78"/>
    <w:rsid w:val="00DE3E74"/>
    <w:rsid w:val="00DE4877"/>
    <w:rsid w:val="00DE4920"/>
    <w:rsid w:val="00DE4EC8"/>
    <w:rsid w:val="00DE6011"/>
    <w:rsid w:val="00DE65DC"/>
    <w:rsid w:val="00DE671B"/>
    <w:rsid w:val="00DE6F9A"/>
    <w:rsid w:val="00DE7861"/>
    <w:rsid w:val="00DE79AA"/>
    <w:rsid w:val="00DF0A15"/>
    <w:rsid w:val="00DF0C49"/>
    <w:rsid w:val="00DF141E"/>
    <w:rsid w:val="00DF1899"/>
    <w:rsid w:val="00DF196E"/>
    <w:rsid w:val="00DF1D02"/>
    <w:rsid w:val="00DF2064"/>
    <w:rsid w:val="00DF2BB5"/>
    <w:rsid w:val="00DF41D6"/>
    <w:rsid w:val="00DF4286"/>
    <w:rsid w:val="00DF4A16"/>
    <w:rsid w:val="00DF52C8"/>
    <w:rsid w:val="00DF62BB"/>
    <w:rsid w:val="00DF666E"/>
    <w:rsid w:val="00DF6894"/>
    <w:rsid w:val="00DF6A5B"/>
    <w:rsid w:val="00DF7D62"/>
    <w:rsid w:val="00E016F7"/>
    <w:rsid w:val="00E0177B"/>
    <w:rsid w:val="00E01AAC"/>
    <w:rsid w:val="00E01B8B"/>
    <w:rsid w:val="00E02302"/>
    <w:rsid w:val="00E026B8"/>
    <w:rsid w:val="00E02978"/>
    <w:rsid w:val="00E03495"/>
    <w:rsid w:val="00E038BB"/>
    <w:rsid w:val="00E04077"/>
    <w:rsid w:val="00E048C4"/>
    <w:rsid w:val="00E068E7"/>
    <w:rsid w:val="00E0750B"/>
    <w:rsid w:val="00E07836"/>
    <w:rsid w:val="00E10480"/>
    <w:rsid w:val="00E1143D"/>
    <w:rsid w:val="00E115EA"/>
    <w:rsid w:val="00E117EA"/>
    <w:rsid w:val="00E118C9"/>
    <w:rsid w:val="00E1240A"/>
    <w:rsid w:val="00E12420"/>
    <w:rsid w:val="00E12753"/>
    <w:rsid w:val="00E127DC"/>
    <w:rsid w:val="00E134E1"/>
    <w:rsid w:val="00E13C97"/>
    <w:rsid w:val="00E15137"/>
    <w:rsid w:val="00E153D5"/>
    <w:rsid w:val="00E156DF"/>
    <w:rsid w:val="00E15C17"/>
    <w:rsid w:val="00E15DF0"/>
    <w:rsid w:val="00E1637A"/>
    <w:rsid w:val="00E16467"/>
    <w:rsid w:val="00E1662E"/>
    <w:rsid w:val="00E172F9"/>
    <w:rsid w:val="00E17A82"/>
    <w:rsid w:val="00E221DE"/>
    <w:rsid w:val="00E22498"/>
    <w:rsid w:val="00E23472"/>
    <w:rsid w:val="00E23B91"/>
    <w:rsid w:val="00E2566A"/>
    <w:rsid w:val="00E25924"/>
    <w:rsid w:val="00E25A1E"/>
    <w:rsid w:val="00E25D97"/>
    <w:rsid w:val="00E266F8"/>
    <w:rsid w:val="00E26BA2"/>
    <w:rsid w:val="00E26C5A"/>
    <w:rsid w:val="00E27120"/>
    <w:rsid w:val="00E274AB"/>
    <w:rsid w:val="00E27C00"/>
    <w:rsid w:val="00E30463"/>
    <w:rsid w:val="00E30C7E"/>
    <w:rsid w:val="00E33E2B"/>
    <w:rsid w:val="00E33E55"/>
    <w:rsid w:val="00E34219"/>
    <w:rsid w:val="00E35230"/>
    <w:rsid w:val="00E35317"/>
    <w:rsid w:val="00E367B1"/>
    <w:rsid w:val="00E369D8"/>
    <w:rsid w:val="00E36BEF"/>
    <w:rsid w:val="00E371FF"/>
    <w:rsid w:val="00E37459"/>
    <w:rsid w:val="00E37501"/>
    <w:rsid w:val="00E4204B"/>
    <w:rsid w:val="00E42250"/>
    <w:rsid w:val="00E436C5"/>
    <w:rsid w:val="00E43CCF"/>
    <w:rsid w:val="00E442C9"/>
    <w:rsid w:val="00E443A9"/>
    <w:rsid w:val="00E44402"/>
    <w:rsid w:val="00E4447E"/>
    <w:rsid w:val="00E45569"/>
    <w:rsid w:val="00E45670"/>
    <w:rsid w:val="00E45BB3"/>
    <w:rsid w:val="00E45D15"/>
    <w:rsid w:val="00E47475"/>
    <w:rsid w:val="00E474BB"/>
    <w:rsid w:val="00E50D0C"/>
    <w:rsid w:val="00E50F40"/>
    <w:rsid w:val="00E51037"/>
    <w:rsid w:val="00E51137"/>
    <w:rsid w:val="00E528BB"/>
    <w:rsid w:val="00E52DA9"/>
    <w:rsid w:val="00E53026"/>
    <w:rsid w:val="00E54407"/>
    <w:rsid w:val="00E54E19"/>
    <w:rsid w:val="00E55214"/>
    <w:rsid w:val="00E554BF"/>
    <w:rsid w:val="00E56341"/>
    <w:rsid w:val="00E56A01"/>
    <w:rsid w:val="00E56B44"/>
    <w:rsid w:val="00E5703C"/>
    <w:rsid w:val="00E600ED"/>
    <w:rsid w:val="00E6039C"/>
    <w:rsid w:val="00E60693"/>
    <w:rsid w:val="00E60F89"/>
    <w:rsid w:val="00E61C91"/>
    <w:rsid w:val="00E62EEC"/>
    <w:rsid w:val="00E63840"/>
    <w:rsid w:val="00E63EFF"/>
    <w:rsid w:val="00E65450"/>
    <w:rsid w:val="00E65D98"/>
    <w:rsid w:val="00E65F51"/>
    <w:rsid w:val="00E66011"/>
    <w:rsid w:val="00E6721F"/>
    <w:rsid w:val="00E6F4F7"/>
    <w:rsid w:val="00E7038F"/>
    <w:rsid w:val="00E70747"/>
    <w:rsid w:val="00E70CCE"/>
    <w:rsid w:val="00E71DE6"/>
    <w:rsid w:val="00E72746"/>
    <w:rsid w:val="00E745FD"/>
    <w:rsid w:val="00E74717"/>
    <w:rsid w:val="00E767A6"/>
    <w:rsid w:val="00E76C3E"/>
    <w:rsid w:val="00E76D59"/>
    <w:rsid w:val="00E770A6"/>
    <w:rsid w:val="00E80064"/>
    <w:rsid w:val="00E80301"/>
    <w:rsid w:val="00E80C40"/>
    <w:rsid w:val="00E81493"/>
    <w:rsid w:val="00E81732"/>
    <w:rsid w:val="00E820A6"/>
    <w:rsid w:val="00E82935"/>
    <w:rsid w:val="00E82A7A"/>
    <w:rsid w:val="00E82D78"/>
    <w:rsid w:val="00E83C99"/>
    <w:rsid w:val="00E84A63"/>
    <w:rsid w:val="00E84B75"/>
    <w:rsid w:val="00E873A8"/>
    <w:rsid w:val="00E87938"/>
    <w:rsid w:val="00E87D9C"/>
    <w:rsid w:val="00E87DAD"/>
    <w:rsid w:val="00E904AC"/>
    <w:rsid w:val="00E922C1"/>
    <w:rsid w:val="00E9436B"/>
    <w:rsid w:val="00E943A2"/>
    <w:rsid w:val="00E956F6"/>
    <w:rsid w:val="00E965A8"/>
    <w:rsid w:val="00E9697E"/>
    <w:rsid w:val="00E96BB9"/>
    <w:rsid w:val="00E96E46"/>
    <w:rsid w:val="00E97259"/>
    <w:rsid w:val="00E9752A"/>
    <w:rsid w:val="00E97A0A"/>
    <w:rsid w:val="00E97D53"/>
    <w:rsid w:val="00EA19D7"/>
    <w:rsid w:val="00EA1A89"/>
    <w:rsid w:val="00EA1C43"/>
    <w:rsid w:val="00EA23A6"/>
    <w:rsid w:val="00EA263E"/>
    <w:rsid w:val="00EA26E4"/>
    <w:rsid w:val="00EA296A"/>
    <w:rsid w:val="00EA31BF"/>
    <w:rsid w:val="00EA3B0F"/>
    <w:rsid w:val="00EA3FD6"/>
    <w:rsid w:val="00EA444E"/>
    <w:rsid w:val="00EA4BC9"/>
    <w:rsid w:val="00EA5056"/>
    <w:rsid w:val="00EA5076"/>
    <w:rsid w:val="00EA512F"/>
    <w:rsid w:val="00EA59AD"/>
    <w:rsid w:val="00EA63C4"/>
    <w:rsid w:val="00EA6DB2"/>
    <w:rsid w:val="00EA7792"/>
    <w:rsid w:val="00EA7CC3"/>
    <w:rsid w:val="00EA7CD8"/>
    <w:rsid w:val="00EB0138"/>
    <w:rsid w:val="00EB018E"/>
    <w:rsid w:val="00EB0FD8"/>
    <w:rsid w:val="00EB1504"/>
    <w:rsid w:val="00EB1FA4"/>
    <w:rsid w:val="00EB277E"/>
    <w:rsid w:val="00EB3E47"/>
    <w:rsid w:val="00EB45C0"/>
    <w:rsid w:val="00EB4943"/>
    <w:rsid w:val="00EB5B28"/>
    <w:rsid w:val="00EB5EA2"/>
    <w:rsid w:val="00EB6C85"/>
    <w:rsid w:val="00EB6F42"/>
    <w:rsid w:val="00EB77CE"/>
    <w:rsid w:val="00EB7924"/>
    <w:rsid w:val="00EC02E7"/>
    <w:rsid w:val="00EC04D7"/>
    <w:rsid w:val="00EC08C5"/>
    <w:rsid w:val="00EC0AB2"/>
    <w:rsid w:val="00EC1453"/>
    <w:rsid w:val="00EC1467"/>
    <w:rsid w:val="00EC1608"/>
    <w:rsid w:val="00EC2061"/>
    <w:rsid w:val="00EC2D6B"/>
    <w:rsid w:val="00EC389C"/>
    <w:rsid w:val="00EC3B84"/>
    <w:rsid w:val="00EC3C23"/>
    <w:rsid w:val="00EC4C83"/>
    <w:rsid w:val="00EC55D6"/>
    <w:rsid w:val="00EC5CE8"/>
    <w:rsid w:val="00EC6031"/>
    <w:rsid w:val="00EC653C"/>
    <w:rsid w:val="00EC6685"/>
    <w:rsid w:val="00EC679F"/>
    <w:rsid w:val="00EC6DF8"/>
    <w:rsid w:val="00EC756C"/>
    <w:rsid w:val="00ED171B"/>
    <w:rsid w:val="00ED18D6"/>
    <w:rsid w:val="00ED1C9D"/>
    <w:rsid w:val="00ED3387"/>
    <w:rsid w:val="00ED37D2"/>
    <w:rsid w:val="00ED39A2"/>
    <w:rsid w:val="00ED3B6A"/>
    <w:rsid w:val="00ED5906"/>
    <w:rsid w:val="00ED6343"/>
    <w:rsid w:val="00ED657E"/>
    <w:rsid w:val="00EE06BC"/>
    <w:rsid w:val="00EE0A8C"/>
    <w:rsid w:val="00EE0F41"/>
    <w:rsid w:val="00EE1F52"/>
    <w:rsid w:val="00EE1F9D"/>
    <w:rsid w:val="00EE2016"/>
    <w:rsid w:val="00EE207F"/>
    <w:rsid w:val="00EE339B"/>
    <w:rsid w:val="00EE3557"/>
    <w:rsid w:val="00EE3686"/>
    <w:rsid w:val="00EE3A7B"/>
    <w:rsid w:val="00EE5B31"/>
    <w:rsid w:val="00EE5EDF"/>
    <w:rsid w:val="00EE65AB"/>
    <w:rsid w:val="00EE6B4C"/>
    <w:rsid w:val="00EE6CFA"/>
    <w:rsid w:val="00EF0359"/>
    <w:rsid w:val="00EF0505"/>
    <w:rsid w:val="00EF1190"/>
    <w:rsid w:val="00EF28F4"/>
    <w:rsid w:val="00EF2D58"/>
    <w:rsid w:val="00EF3802"/>
    <w:rsid w:val="00EF388F"/>
    <w:rsid w:val="00EF4737"/>
    <w:rsid w:val="00EF6DC6"/>
    <w:rsid w:val="00EF768C"/>
    <w:rsid w:val="00EF77F9"/>
    <w:rsid w:val="00F00129"/>
    <w:rsid w:val="00F00361"/>
    <w:rsid w:val="00F00457"/>
    <w:rsid w:val="00F02E61"/>
    <w:rsid w:val="00F02F96"/>
    <w:rsid w:val="00F03CC9"/>
    <w:rsid w:val="00F04239"/>
    <w:rsid w:val="00F04D07"/>
    <w:rsid w:val="00F05315"/>
    <w:rsid w:val="00F05D8C"/>
    <w:rsid w:val="00F05E1B"/>
    <w:rsid w:val="00F06442"/>
    <w:rsid w:val="00F070F0"/>
    <w:rsid w:val="00F07BAC"/>
    <w:rsid w:val="00F1111B"/>
    <w:rsid w:val="00F11524"/>
    <w:rsid w:val="00F123C5"/>
    <w:rsid w:val="00F12782"/>
    <w:rsid w:val="00F12C0D"/>
    <w:rsid w:val="00F130A2"/>
    <w:rsid w:val="00F13435"/>
    <w:rsid w:val="00F1448B"/>
    <w:rsid w:val="00F146CE"/>
    <w:rsid w:val="00F15896"/>
    <w:rsid w:val="00F2090B"/>
    <w:rsid w:val="00F20EAC"/>
    <w:rsid w:val="00F2134D"/>
    <w:rsid w:val="00F217C6"/>
    <w:rsid w:val="00F21957"/>
    <w:rsid w:val="00F22791"/>
    <w:rsid w:val="00F231EA"/>
    <w:rsid w:val="00F23C70"/>
    <w:rsid w:val="00F25300"/>
    <w:rsid w:val="00F257F2"/>
    <w:rsid w:val="00F25F58"/>
    <w:rsid w:val="00F261A8"/>
    <w:rsid w:val="00F2666E"/>
    <w:rsid w:val="00F269C4"/>
    <w:rsid w:val="00F26C92"/>
    <w:rsid w:val="00F26DE0"/>
    <w:rsid w:val="00F30965"/>
    <w:rsid w:val="00F3166C"/>
    <w:rsid w:val="00F31A58"/>
    <w:rsid w:val="00F3280E"/>
    <w:rsid w:val="00F32C98"/>
    <w:rsid w:val="00F33B01"/>
    <w:rsid w:val="00F33D70"/>
    <w:rsid w:val="00F33FE1"/>
    <w:rsid w:val="00F343EA"/>
    <w:rsid w:val="00F34B2B"/>
    <w:rsid w:val="00F34BD7"/>
    <w:rsid w:val="00F36C59"/>
    <w:rsid w:val="00F36E1C"/>
    <w:rsid w:val="00F37073"/>
    <w:rsid w:val="00F37A08"/>
    <w:rsid w:val="00F37EB5"/>
    <w:rsid w:val="00F40B31"/>
    <w:rsid w:val="00F40FE6"/>
    <w:rsid w:val="00F410EF"/>
    <w:rsid w:val="00F41129"/>
    <w:rsid w:val="00F41678"/>
    <w:rsid w:val="00F418F6"/>
    <w:rsid w:val="00F41D2D"/>
    <w:rsid w:val="00F41DC1"/>
    <w:rsid w:val="00F423B5"/>
    <w:rsid w:val="00F44D18"/>
    <w:rsid w:val="00F459EE"/>
    <w:rsid w:val="00F45ECE"/>
    <w:rsid w:val="00F46949"/>
    <w:rsid w:val="00F46C60"/>
    <w:rsid w:val="00F4789A"/>
    <w:rsid w:val="00F50198"/>
    <w:rsid w:val="00F50E15"/>
    <w:rsid w:val="00F51567"/>
    <w:rsid w:val="00F51CAE"/>
    <w:rsid w:val="00F523CA"/>
    <w:rsid w:val="00F52675"/>
    <w:rsid w:val="00F54271"/>
    <w:rsid w:val="00F556FF"/>
    <w:rsid w:val="00F5593D"/>
    <w:rsid w:val="00F55E5D"/>
    <w:rsid w:val="00F56123"/>
    <w:rsid w:val="00F57B0F"/>
    <w:rsid w:val="00F57B13"/>
    <w:rsid w:val="00F608B4"/>
    <w:rsid w:val="00F62E3A"/>
    <w:rsid w:val="00F6307D"/>
    <w:rsid w:val="00F63EA9"/>
    <w:rsid w:val="00F648BE"/>
    <w:rsid w:val="00F64CC1"/>
    <w:rsid w:val="00F65461"/>
    <w:rsid w:val="00F65814"/>
    <w:rsid w:val="00F65CAF"/>
    <w:rsid w:val="00F6643C"/>
    <w:rsid w:val="00F675F1"/>
    <w:rsid w:val="00F67924"/>
    <w:rsid w:val="00F67BE9"/>
    <w:rsid w:val="00F67E56"/>
    <w:rsid w:val="00F706E2"/>
    <w:rsid w:val="00F70789"/>
    <w:rsid w:val="00F719C1"/>
    <w:rsid w:val="00F728A9"/>
    <w:rsid w:val="00F731C2"/>
    <w:rsid w:val="00F73AD8"/>
    <w:rsid w:val="00F73F44"/>
    <w:rsid w:val="00F74082"/>
    <w:rsid w:val="00F750FD"/>
    <w:rsid w:val="00F754DB"/>
    <w:rsid w:val="00F76EC8"/>
    <w:rsid w:val="00F77710"/>
    <w:rsid w:val="00F77A47"/>
    <w:rsid w:val="00F77A99"/>
    <w:rsid w:val="00F77FE1"/>
    <w:rsid w:val="00F8082B"/>
    <w:rsid w:val="00F80836"/>
    <w:rsid w:val="00F8146B"/>
    <w:rsid w:val="00F814E4"/>
    <w:rsid w:val="00F815D8"/>
    <w:rsid w:val="00F837F6"/>
    <w:rsid w:val="00F83CB3"/>
    <w:rsid w:val="00F861B1"/>
    <w:rsid w:val="00F90354"/>
    <w:rsid w:val="00F9096F"/>
    <w:rsid w:val="00F909AB"/>
    <w:rsid w:val="00F90E36"/>
    <w:rsid w:val="00F91091"/>
    <w:rsid w:val="00F915A5"/>
    <w:rsid w:val="00F91A4C"/>
    <w:rsid w:val="00F91CC3"/>
    <w:rsid w:val="00F92031"/>
    <w:rsid w:val="00F9213A"/>
    <w:rsid w:val="00F92147"/>
    <w:rsid w:val="00F9216D"/>
    <w:rsid w:val="00F9259E"/>
    <w:rsid w:val="00F92FE8"/>
    <w:rsid w:val="00F93159"/>
    <w:rsid w:val="00F93B51"/>
    <w:rsid w:val="00F9423F"/>
    <w:rsid w:val="00F9431E"/>
    <w:rsid w:val="00F95260"/>
    <w:rsid w:val="00F95684"/>
    <w:rsid w:val="00F957CF"/>
    <w:rsid w:val="00F958CD"/>
    <w:rsid w:val="00F95E43"/>
    <w:rsid w:val="00F96056"/>
    <w:rsid w:val="00F97047"/>
    <w:rsid w:val="00FA0A1B"/>
    <w:rsid w:val="00FA100E"/>
    <w:rsid w:val="00FA21BA"/>
    <w:rsid w:val="00FA2680"/>
    <w:rsid w:val="00FA35C4"/>
    <w:rsid w:val="00FA378E"/>
    <w:rsid w:val="00FA3D8F"/>
    <w:rsid w:val="00FA40EE"/>
    <w:rsid w:val="00FA497F"/>
    <w:rsid w:val="00FA54AC"/>
    <w:rsid w:val="00FA6062"/>
    <w:rsid w:val="00FA60A2"/>
    <w:rsid w:val="00FA660E"/>
    <w:rsid w:val="00FA774A"/>
    <w:rsid w:val="00FB2D17"/>
    <w:rsid w:val="00FB3553"/>
    <w:rsid w:val="00FB3684"/>
    <w:rsid w:val="00FB4071"/>
    <w:rsid w:val="00FB5087"/>
    <w:rsid w:val="00FB7513"/>
    <w:rsid w:val="00FC0029"/>
    <w:rsid w:val="00FC054A"/>
    <w:rsid w:val="00FC0708"/>
    <w:rsid w:val="00FC12BF"/>
    <w:rsid w:val="00FC288E"/>
    <w:rsid w:val="00FC2AA0"/>
    <w:rsid w:val="00FC2F3D"/>
    <w:rsid w:val="00FC33D1"/>
    <w:rsid w:val="00FC3AA4"/>
    <w:rsid w:val="00FC47FA"/>
    <w:rsid w:val="00FC5716"/>
    <w:rsid w:val="00FC5AF8"/>
    <w:rsid w:val="00FC757A"/>
    <w:rsid w:val="00FC75A5"/>
    <w:rsid w:val="00FC773B"/>
    <w:rsid w:val="00FD0DDD"/>
    <w:rsid w:val="00FD0E24"/>
    <w:rsid w:val="00FD0F6C"/>
    <w:rsid w:val="00FD1812"/>
    <w:rsid w:val="00FD1B0C"/>
    <w:rsid w:val="00FD249C"/>
    <w:rsid w:val="00FD3AD5"/>
    <w:rsid w:val="00FD4AF1"/>
    <w:rsid w:val="00FD4E59"/>
    <w:rsid w:val="00FD5D19"/>
    <w:rsid w:val="00FD6E9E"/>
    <w:rsid w:val="00FD7149"/>
    <w:rsid w:val="00FD75B1"/>
    <w:rsid w:val="00FD77BE"/>
    <w:rsid w:val="00FE0324"/>
    <w:rsid w:val="00FE0C87"/>
    <w:rsid w:val="00FE11DB"/>
    <w:rsid w:val="00FE1374"/>
    <w:rsid w:val="00FE2137"/>
    <w:rsid w:val="00FE2E95"/>
    <w:rsid w:val="00FE2FB6"/>
    <w:rsid w:val="00FE3371"/>
    <w:rsid w:val="00FE37CA"/>
    <w:rsid w:val="00FE3F80"/>
    <w:rsid w:val="00FE4679"/>
    <w:rsid w:val="00FE52CB"/>
    <w:rsid w:val="00FE5DEB"/>
    <w:rsid w:val="00FE6264"/>
    <w:rsid w:val="00FE7C9A"/>
    <w:rsid w:val="00FF075E"/>
    <w:rsid w:val="00FF099D"/>
    <w:rsid w:val="00FF0A46"/>
    <w:rsid w:val="00FF133C"/>
    <w:rsid w:val="00FF36AF"/>
    <w:rsid w:val="00FF3CA8"/>
    <w:rsid w:val="00FF4461"/>
    <w:rsid w:val="00FF4A03"/>
    <w:rsid w:val="00FF5E0B"/>
    <w:rsid w:val="00FF6464"/>
    <w:rsid w:val="00FF650C"/>
    <w:rsid w:val="00FF6832"/>
    <w:rsid w:val="00FF6C17"/>
    <w:rsid w:val="00FF6C1F"/>
    <w:rsid w:val="01268393"/>
    <w:rsid w:val="016352C1"/>
    <w:rsid w:val="01758B23"/>
    <w:rsid w:val="01760CD9"/>
    <w:rsid w:val="01F14300"/>
    <w:rsid w:val="020BFCB5"/>
    <w:rsid w:val="021A4BAB"/>
    <w:rsid w:val="022468A3"/>
    <w:rsid w:val="0225F015"/>
    <w:rsid w:val="02A5916D"/>
    <w:rsid w:val="02BA13E5"/>
    <w:rsid w:val="02BB3FD9"/>
    <w:rsid w:val="0372B5C2"/>
    <w:rsid w:val="038C1B18"/>
    <w:rsid w:val="0398C8F2"/>
    <w:rsid w:val="03E27CDC"/>
    <w:rsid w:val="03EE80C3"/>
    <w:rsid w:val="03F0ECDC"/>
    <w:rsid w:val="0434AC18"/>
    <w:rsid w:val="0465660E"/>
    <w:rsid w:val="047204A2"/>
    <w:rsid w:val="048C6AA2"/>
    <w:rsid w:val="04B2CFDA"/>
    <w:rsid w:val="05054BE7"/>
    <w:rsid w:val="050A43E8"/>
    <w:rsid w:val="052DB84A"/>
    <w:rsid w:val="053C1FC5"/>
    <w:rsid w:val="053CBC8B"/>
    <w:rsid w:val="055C0965"/>
    <w:rsid w:val="05961F6C"/>
    <w:rsid w:val="059C52FA"/>
    <w:rsid w:val="05B454BF"/>
    <w:rsid w:val="05BA661A"/>
    <w:rsid w:val="05C3824A"/>
    <w:rsid w:val="05E2BD2D"/>
    <w:rsid w:val="05FA99B3"/>
    <w:rsid w:val="065078D6"/>
    <w:rsid w:val="06B3CC51"/>
    <w:rsid w:val="06FDFBF0"/>
    <w:rsid w:val="07036BF1"/>
    <w:rsid w:val="070EEDB3"/>
    <w:rsid w:val="07369FF9"/>
    <w:rsid w:val="0741142E"/>
    <w:rsid w:val="0743DF40"/>
    <w:rsid w:val="07985BA8"/>
    <w:rsid w:val="079BA5F7"/>
    <w:rsid w:val="07AC4F3D"/>
    <w:rsid w:val="07F86C19"/>
    <w:rsid w:val="07F88D05"/>
    <w:rsid w:val="0804F39E"/>
    <w:rsid w:val="080A46F5"/>
    <w:rsid w:val="081DE18B"/>
    <w:rsid w:val="08599173"/>
    <w:rsid w:val="086BCC9F"/>
    <w:rsid w:val="087DA64B"/>
    <w:rsid w:val="08E0336A"/>
    <w:rsid w:val="091D1D5E"/>
    <w:rsid w:val="09697BB8"/>
    <w:rsid w:val="097E4234"/>
    <w:rsid w:val="098D2E3F"/>
    <w:rsid w:val="099F05C3"/>
    <w:rsid w:val="09B16704"/>
    <w:rsid w:val="09E78001"/>
    <w:rsid w:val="09EA3E23"/>
    <w:rsid w:val="0A08ED22"/>
    <w:rsid w:val="0A18961A"/>
    <w:rsid w:val="0A1976AC"/>
    <w:rsid w:val="0A1E0588"/>
    <w:rsid w:val="0A3CCF57"/>
    <w:rsid w:val="0A84F551"/>
    <w:rsid w:val="0ABAC4D5"/>
    <w:rsid w:val="0ACFFC6A"/>
    <w:rsid w:val="0AF875A0"/>
    <w:rsid w:val="0B04103A"/>
    <w:rsid w:val="0B20AA5A"/>
    <w:rsid w:val="0B855AAE"/>
    <w:rsid w:val="0B8564D6"/>
    <w:rsid w:val="0B90EDF5"/>
    <w:rsid w:val="0BDC404A"/>
    <w:rsid w:val="0BE03CA1"/>
    <w:rsid w:val="0C02E66A"/>
    <w:rsid w:val="0C06309D"/>
    <w:rsid w:val="0C4FEDCD"/>
    <w:rsid w:val="0C547A11"/>
    <w:rsid w:val="0C80B01D"/>
    <w:rsid w:val="0C8222F1"/>
    <w:rsid w:val="0CAC3033"/>
    <w:rsid w:val="0CBB7544"/>
    <w:rsid w:val="0CBFC5DA"/>
    <w:rsid w:val="0CD5F78A"/>
    <w:rsid w:val="0CE7D58F"/>
    <w:rsid w:val="0D1555CD"/>
    <w:rsid w:val="0D221391"/>
    <w:rsid w:val="0D39FD12"/>
    <w:rsid w:val="0D4E3BCC"/>
    <w:rsid w:val="0D5DCE97"/>
    <w:rsid w:val="0DB99426"/>
    <w:rsid w:val="0DBBE38A"/>
    <w:rsid w:val="0E1AD448"/>
    <w:rsid w:val="0E41DB30"/>
    <w:rsid w:val="0E5FF477"/>
    <w:rsid w:val="0E7B07EE"/>
    <w:rsid w:val="0E991A2E"/>
    <w:rsid w:val="0EB2EFFF"/>
    <w:rsid w:val="0EBCFB70"/>
    <w:rsid w:val="0EE5B5EF"/>
    <w:rsid w:val="0EECD1B3"/>
    <w:rsid w:val="0EF0A1CD"/>
    <w:rsid w:val="0F059655"/>
    <w:rsid w:val="0F0AD931"/>
    <w:rsid w:val="0F4E6964"/>
    <w:rsid w:val="0F75FBB4"/>
    <w:rsid w:val="0F816A05"/>
    <w:rsid w:val="10059C27"/>
    <w:rsid w:val="103438AB"/>
    <w:rsid w:val="1037E9BA"/>
    <w:rsid w:val="1039D0E5"/>
    <w:rsid w:val="10660071"/>
    <w:rsid w:val="10684BD3"/>
    <w:rsid w:val="10A6A992"/>
    <w:rsid w:val="10B92AE0"/>
    <w:rsid w:val="10C6E18C"/>
    <w:rsid w:val="10E42335"/>
    <w:rsid w:val="10F3844C"/>
    <w:rsid w:val="10FBF0E5"/>
    <w:rsid w:val="112E9818"/>
    <w:rsid w:val="113347E9"/>
    <w:rsid w:val="113F3DEE"/>
    <w:rsid w:val="11464A6E"/>
    <w:rsid w:val="1190BBD2"/>
    <w:rsid w:val="11935EEA"/>
    <w:rsid w:val="11984332"/>
    <w:rsid w:val="119A6C85"/>
    <w:rsid w:val="11A6E598"/>
    <w:rsid w:val="11D5A146"/>
    <w:rsid w:val="11E8C6F0"/>
    <w:rsid w:val="11F9FF10"/>
    <w:rsid w:val="12248891"/>
    <w:rsid w:val="122D9F64"/>
    <w:rsid w:val="123A8C6D"/>
    <w:rsid w:val="1243FA32"/>
    <w:rsid w:val="1246F501"/>
    <w:rsid w:val="1253C235"/>
    <w:rsid w:val="12592B54"/>
    <w:rsid w:val="1260630A"/>
    <w:rsid w:val="12740934"/>
    <w:rsid w:val="12898A42"/>
    <w:rsid w:val="12D53EDE"/>
    <w:rsid w:val="12DC6B0F"/>
    <w:rsid w:val="1312FFC2"/>
    <w:rsid w:val="1316C62D"/>
    <w:rsid w:val="138AAC74"/>
    <w:rsid w:val="13FC9F88"/>
    <w:rsid w:val="142B250E"/>
    <w:rsid w:val="143B8760"/>
    <w:rsid w:val="1473C6BD"/>
    <w:rsid w:val="14A8FC99"/>
    <w:rsid w:val="14B22D03"/>
    <w:rsid w:val="14C11F12"/>
    <w:rsid w:val="1524C1C6"/>
    <w:rsid w:val="153D4D49"/>
    <w:rsid w:val="155C128A"/>
    <w:rsid w:val="15643C85"/>
    <w:rsid w:val="1593E6FA"/>
    <w:rsid w:val="15C2342D"/>
    <w:rsid w:val="161A5AC9"/>
    <w:rsid w:val="161A9C97"/>
    <w:rsid w:val="162EE145"/>
    <w:rsid w:val="1661B97D"/>
    <w:rsid w:val="16897205"/>
    <w:rsid w:val="16AB247A"/>
    <w:rsid w:val="170263E8"/>
    <w:rsid w:val="17352365"/>
    <w:rsid w:val="177C3E91"/>
    <w:rsid w:val="179F5446"/>
    <w:rsid w:val="17A2896D"/>
    <w:rsid w:val="17B45067"/>
    <w:rsid w:val="17CAA6C4"/>
    <w:rsid w:val="182F83AB"/>
    <w:rsid w:val="189FE923"/>
    <w:rsid w:val="18B91DF5"/>
    <w:rsid w:val="18FA4566"/>
    <w:rsid w:val="194A4FD3"/>
    <w:rsid w:val="19523D59"/>
    <w:rsid w:val="19616291"/>
    <w:rsid w:val="196DC9EA"/>
    <w:rsid w:val="19995AAF"/>
    <w:rsid w:val="199C492B"/>
    <w:rsid w:val="19A6AC5F"/>
    <w:rsid w:val="19DB2975"/>
    <w:rsid w:val="19E6E191"/>
    <w:rsid w:val="1A2BC7BE"/>
    <w:rsid w:val="1A58824D"/>
    <w:rsid w:val="1A681766"/>
    <w:rsid w:val="1A6C9F37"/>
    <w:rsid w:val="1AA1D186"/>
    <w:rsid w:val="1B1301FB"/>
    <w:rsid w:val="1B1977A5"/>
    <w:rsid w:val="1B2034C5"/>
    <w:rsid w:val="1B352AA0"/>
    <w:rsid w:val="1B36FB75"/>
    <w:rsid w:val="1B4ECB79"/>
    <w:rsid w:val="1BC16BB9"/>
    <w:rsid w:val="1BC9AAEA"/>
    <w:rsid w:val="1BD1ECE2"/>
    <w:rsid w:val="1BF277B4"/>
    <w:rsid w:val="1C29A5CE"/>
    <w:rsid w:val="1C6C1775"/>
    <w:rsid w:val="1C966239"/>
    <w:rsid w:val="1D293127"/>
    <w:rsid w:val="1D2D8996"/>
    <w:rsid w:val="1D2DEB5D"/>
    <w:rsid w:val="1D3D3213"/>
    <w:rsid w:val="1D93239D"/>
    <w:rsid w:val="1D99A8B9"/>
    <w:rsid w:val="1D9EF8DF"/>
    <w:rsid w:val="1D9FD037"/>
    <w:rsid w:val="1DD05FD7"/>
    <w:rsid w:val="1DD5EC80"/>
    <w:rsid w:val="1DF033EA"/>
    <w:rsid w:val="1DF6C9CF"/>
    <w:rsid w:val="1E005FD8"/>
    <w:rsid w:val="1E06B4AB"/>
    <w:rsid w:val="1E1AA903"/>
    <w:rsid w:val="1E1DC0F6"/>
    <w:rsid w:val="1E5FC730"/>
    <w:rsid w:val="1E621D35"/>
    <w:rsid w:val="1EBEEB90"/>
    <w:rsid w:val="1F4423BE"/>
    <w:rsid w:val="1F4931C7"/>
    <w:rsid w:val="1F4A7080"/>
    <w:rsid w:val="1FBC0F84"/>
    <w:rsid w:val="1FBEAD0D"/>
    <w:rsid w:val="1FBF1C59"/>
    <w:rsid w:val="1FC9FE38"/>
    <w:rsid w:val="1FE0E138"/>
    <w:rsid w:val="1FE8899C"/>
    <w:rsid w:val="20383D9E"/>
    <w:rsid w:val="20742532"/>
    <w:rsid w:val="20755231"/>
    <w:rsid w:val="20A4DCC1"/>
    <w:rsid w:val="20A562A7"/>
    <w:rsid w:val="20A654E1"/>
    <w:rsid w:val="20E640E1"/>
    <w:rsid w:val="2146B1EF"/>
    <w:rsid w:val="21A794B8"/>
    <w:rsid w:val="221E95D2"/>
    <w:rsid w:val="22589DBD"/>
    <w:rsid w:val="225CA737"/>
    <w:rsid w:val="22726A02"/>
    <w:rsid w:val="227C37B6"/>
    <w:rsid w:val="228CCA7A"/>
    <w:rsid w:val="2292B65F"/>
    <w:rsid w:val="229C65BC"/>
    <w:rsid w:val="22CBADC6"/>
    <w:rsid w:val="22E20785"/>
    <w:rsid w:val="230E02F1"/>
    <w:rsid w:val="2329FCDB"/>
    <w:rsid w:val="2348E9F6"/>
    <w:rsid w:val="236F79A8"/>
    <w:rsid w:val="23DD2AA6"/>
    <w:rsid w:val="23E0D631"/>
    <w:rsid w:val="245577F3"/>
    <w:rsid w:val="24BB52C0"/>
    <w:rsid w:val="2507DBE8"/>
    <w:rsid w:val="25122AFB"/>
    <w:rsid w:val="257A0B8F"/>
    <w:rsid w:val="2580C56D"/>
    <w:rsid w:val="258E178C"/>
    <w:rsid w:val="25903E7F"/>
    <w:rsid w:val="25A0FBF2"/>
    <w:rsid w:val="25B08E7F"/>
    <w:rsid w:val="25C002DD"/>
    <w:rsid w:val="25D48A56"/>
    <w:rsid w:val="25E4D80B"/>
    <w:rsid w:val="25F05B5B"/>
    <w:rsid w:val="25FF1F93"/>
    <w:rsid w:val="261AE253"/>
    <w:rsid w:val="26208824"/>
    <w:rsid w:val="26241771"/>
    <w:rsid w:val="2626B87C"/>
    <w:rsid w:val="264482BA"/>
    <w:rsid w:val="2645A3B3"/>
    <w:rsid w:val="26610D8F"/>
    <w:rsid w:val="266FBE5B"/>
    <w:rsid w:val="26AA5E00"/>
    <w:rsid w:val="26ADFB5C"/>
    <w:rsid w:val="272015AD"/>
    <w:rsid w:val="27238192"/>
    <w:rsid w:val="27240C17"/>
    <w:rsid w:val="276F1550"/>
    <w:rsid w:val="277F4D77"/>
    <w:rsid w:val="27A77B23"/>
    <w:rsid w:val="27BC5885"/>
    <w:rsid w:val="27CC90C2"/>
    <w:rsid w:val="2827DC23"/>
    <w:rsid w:val="285D5F5C"/>
    <w:rsid w:val="28CD4306"/>
    <w:rsid w:val="28D72F45"/>
    <w:rsid w:val="28EDB5DE"/>
    <w:rsid w:val="28FA6C69"/>
    <w:rsid w:val="294342C1"/>
    <w:rsid w:val="2948C6D4"/>
    <w:rsid w:val="295D8CDA"/>
    <w:rsid w:val="297AA2B1"/>
    <w:rsid w:val="29AF7B08"/>
    <w:rsid w:val="29B9669B"/>
    <w:rsid w:val="29D56E79"/>
    <w:rsid w:val="2A0F0752"/>
    <w:rsid w:val="2A22590D"/>
    <w:rsid w:val="2A37F640"/>
    <w:rsid w:val="2A653AE9"/>
    <w:rsid w:val="2A72AE59"/>
    <w:rsid w:val="2AA01EB1"/>
    <w:rsid w:val="2AC6DF1F"/>
    <w:rsid w:val="2AEB9A42"/>
    <w:rsid w:val="2B302F03"/>
    <w:rsid w:val="2B4402D8"/>
    <w:rsid w:val="2B918CDD"/>
    <w:rsid w:val="2BBF6DA2"/>
    <w:rsid w:val="2BCC2CDB"/>
    <w:rsid w:val="2BDBD9C9"/>
    <w:rsid w:val="2BE93DA6"/>
    <w:rsid w:val="2BEF4C60"/>
    <w:rsid w:val="2C21522F"/>
    <w:rsid w:val="2C423B08"/>
    <w:rsid w:val="2C54198F"/>
    <w:rsid w:val="2C6AE064"/>
    <w:rsid w:val="2C6F68FC"/>
    <w:rsid w:val="2C984730"/>
    <w:rsid w:val="2CABA4F2"/>
    <w:rsid w:val="2CAC2A5C"/>
    <w:rsid w:val="2CAD9190"/>
    <w:rsid w:val="2CBEBBD2"/>
    <w:rsid w:val="2CD164D3"/>
    <w:rsid w:val="2CDC6CF2"/>
    <w:rsid w:val="2CF1A3FF"/>
    <w:rsid w:val="2D07F794"/>
    <w:rsid w:val="2D1FA45D"/>
    <w:rsid w:val="2D517992"/>
    <w:rsid w:val="2D6D3E26"/>
    <w:rsid w:val="2D72AEF5"/>
    <w:rsid w:val="2D9562F6"/>
    <w:rsid w:val="2D9CAA98"/>
    <w:rsid w:val="2DAE66D3"/>
    <w:rsid w:val="2DDAAAE9"/>
    <w:rsid w:val="2DEFE9F0"/>
    <w:rsid w:val="2E1F072C"/>
    <w:rsid w:val="2E7527CA"/>
    <w:rsid w:val="2E885DC2"/>
    <w:rsid w:val="2E8EEB1E"/>
    <w:rsid w:val="2E90697F"/>
    <w:rsid w:val="2EC048D8"/>
    <w:rsid w:val="2EC1CEAD"/>
    <w:rsid w:val="2ED7F1BE"/>
    <w:rsid w:val="2ED95E5B"/>
    <w:rsid w:val="2EE2641F"/>
    <w:rsid w:val="2F01FF44"/>
    <w:rsid w:val="2F37EA13"/>
    <w:rsid w:val="2F4670C9"/>
    <w:rsid w:val="2F7279DB"/>
    <w:rsid w:val="2F8A01BB"/>
    <w:rsid w:val="2F8B84BB"/>
    <w:rsid w:val="3005834A"/>
    <w:rsid w:val="30512678"/>
    <w:rsid w:val="305ECF02"/>
    <w:rsid w:val="30661A1E"/>
    <w:rsid w:val="30AD8D76"/>
    <w:rsid w:val="30BC2B30"/>
    <w:rsid w:val="30C1F3B5"/>
    <w:rsid w:val="30C469CC"/>
    <w:rsid w:val="30CDF038"/>
    <w:rsid w:val="30EC55F1"/>
    <w:rsid w:val="30F95A23"/>
    <w:rsid w:val="31128280"/>
    <w:rsid w:val="31385B47"/>
    <w:rsid w:val="3138BD0A"/>
    <w:rsid w:val="3140B30F"/>
    <w:rsid w:val="31A86257"/>
    <w:rsid w:val="31B3C045"/>
    <w:rsid w:val="31B7D01E"/>
    <w:rsid w:val="31B92DFE"/>
    <w:rsid w:val="31BEBE43"/>
    <w:rsid w:val="31C97C95"/>
    <w:rsid w:val="31FDC0E5"/>
    <w:rsid w:val="32139793"/>
    <w:rsid w:val="321B7C59"/>
    <w:rsid w:val="32336B2E"/>
    <w:rsid w:val="32427DD4"/>
    <w:rsid w:val="3281D7F6"/>
    <w:rsid w:val="32996129"/>
    <w:rsid w:val="32A63EA5"/>
    <w:rsid w:val="32E22DC0"/>
    <w:rsid w:val="32EA59E1"/>
    <w:rsid w:val="332F4058"/>
    <w:rsid w:val="3343B91F"/>
    <w:rsid w:val="336F8864"/>
    <w:rsid w:val="339D7F2A"/>
    <w:rsid w:val="33A21A23"/>
    <w:rsid w:val="33D11942"/>
    <w:rsid w:val="33DC9FD2"/>
    <w:rsid w:val="33E2CA2A"/>
    <w:rsid w:val="33EB80D1"/>
    <w:rsid w:val="33EDC040"/>
    <w:rsid w:val="343D049B"/>
    <w:rsid w:val="345E5D7E"/>
    <w:rsid w:val="3498ECCE"/>
    <w:rsid w:val="34F32381"/>
    <w:rsid w:val="34F9E38C"/>
    <w:rsid w:val="351E4BC1"/>
    <w:rsid w:val="354749B1"/>
    <w:rsid w:val="356C8603"/>
    <w:rsid w:val="356CB5D0"/>
    <w:rsid w:val="356E360D"/>
    <w:rsid w:val="356FF9D5"/>
    <w:rsid w:val="357227B7"/>
    <w:rsid w:val="357DC0DA"/>
    <w:rsid w:val="358603AA"/>
    <w:rsid w:val="358A3CE7"/>
    <w:rsid w:val="359BF9E0"/>
    <w:rsid w:val="35BCA82E"/>
    <w:rsid w:val="35C2BF50"/>
    <w:rsid w:val="35C6475D"/>
    <w:rsid w:val="361E940C"/>
    <w:rsid w:val="36429F20"/>
    <w:rsid w:val="3669B95F"/>
    <w:rsid w:val="372DB6BE"/>
    <w:rsid w:val="3732B998"/>
    <w:rsid w:val="37C18400"/>
    <w:rsid w:val="37CB07C3"/>
    <w:rsid w:val="37EE0CD9"/>
    <w:rsid w:val="38532B14"/>
    <w:rsid w:val="388FDD49"/>
    <w:rsid w:val="38B249A9"/>
    <w:rsid w:val="38D9D3E5"/>
    <w:rsid w:val="38FFBCD6"/>
    <w:rsid w:val="39210411"/>
    <w:rsid w:val="392285A2"/>
    <w:rsid w:val="396FC59A"/>
    <w:rsid w:val="3970A31A"/>
    <w:rsid w:val="397E84ED"/>
    <w:rsid w:val="39928A84"/>
    <w:rsid w:val="39FE04CA"/>
    <w:rsid w:val="3A2A3AD6"/>
    <w:rsid w:val="3A398534"/>
    <w:rsid w:val="3A591F83"/>
    <w:rsid w:val="3A712742"/>
    <w:rsid w:val="3A7784B4"/>
    <w:rsid w:val="3A8AFB42"/>
    <w:rsid w:val="3A984690"/>
    <w:rsid w:val="3AA39544"/>
    <w:rsid w:val="3AAC6094"/>
    <w:rsid w:val="3ACE6CF8"/>
    <w:rsid w:val="3AD8FB26"/>
    <w:rsid w:val="3AEDDBC8"/>
    <w:rsid w:val="3AFB1567"/>
    <w:rsid w:val="3B0C737B"/>
    <w:rsid w:val="3B1199D2"/>
    <w:rsid w:val="3B502377"/>
    <w:rsid w:val="3B784C61"/>
    <w:rsid w:val="3B789061"/>
    <w:rsid w:val="3BFA4BAF"/>
    <w:rsid w:val="3C0BCB74"/>
    <w:rsid w:val="3C2D1587"/>
    <w:rsid w:val="3C722ADF"/>
    <w:rsid w:val="3CEBF3D8"/>
    <w:rsid w:val="3D25214F"/>
    <w:rsid w:val="3D27D9E4"/>
    <w:rsid w:val="3D2AE81E"/>
    <w:rsid w:val="3D2D3F7C"/>
    <w:rsid w:val="3D48E461"/>
    <w:rsid w:val="3D4A260F"/>
    <w:rsid w:val="3D647807"/>
    <w:rsid w:val="3D882DAF"/>
    <w:rsid w:val="3DACE797"/>
    <w:rsid w:val="3DB1390D"/>
    <w:rsid w:val="3DC9B1D4"/>
    <w:rsid w:val="3E2569DA"/>
    <w:rsid w:val="3E653298"/>
    <w:rsid w:val="3EE8FF20"/>
    <w:rsid w:val="3EF716AC"/>
    <w:rsid w:val="3EF7EBB7"/>
    <w:rsid w:val="3F136849"/>
    <w:rsid w:val="3F20E41E"/>
    <w:rsid w:val="3F220AFB"/>
    <w:rsid w:val="3F24A320"/>
    <w:rsid w:val="3F7FD1B7"/>
    <w:rsid w:val="3FB26A66"/>
    <w:rsid w:val="3FC580E1"/>
    <w:rsid w:val="3FFF7A51"/>
    <w:rsid w:val="4023949A"/>
    <w:rsid w:val="408329DC"/>
    <w:rsid w:val="40B273E8"/>
    <w:rsid w:val="40B28E0D"/>
    <w:rsid w:val="40C54914"/>
    <w:rsid w:val="40D2D85B"/>
    <w:rsid w:val="40FFE95B"/>
    <w:rsid w:val="412803F9"/>
    <w:rsid w:val="4129991B"/>
    <w:rsid w:val="41A2FB9D"/>
    <w:rsid w:val="41D00FD0"/>
    <w:rsid w:val="41E222AA"/>
    <w:rsid w:val="41E4B00F"/>
    <w:rsid w:val="41F11397"/>
    <w:rsid w:val="41FB4B07"/>
    <w:rsid w:val="420FA740"/>
    <w:rsid w:val="421BF71D"/>
    <w:rsid w:val="42244DF6"/>
    <w:rsid w:val="424CABDD"/>
    <w:rsid w:val="428D9C25"/>
    <w:rsid w:val="429B1D53"/>
    <w:rsid w:val="42BDF57E"/>
    <w:rsid w:val="42C0F506"/>
    <w:rsid w:val="42EF0DFA"/>
    <w:rsid w:val="42FBF6A2"/>
    <w:rsid w:val="43025565"/>
    <w:rsid w:val="43548FC4"/>
    <w:rsid w:val="436ECFEB"/>
    <w:rsid w:val="437122A5"/>
    <w:rsid w:val="437CA281"/>
    <w:rsid w:val="437DF30B"/>
    <w:rsid w:val="43856166"/>
    <w:rsid w:val="43B27513"/>
    <w:rsid w:val="445342DA"/>
    <w:rsid w:val="4459C5DF"/>
    <w:rsid w:val="4490D063"/>
    <w:rsid w:val="44D16021"/>
    <w:rsid w:val="44EE6A1E"/>
    <w:rsid w:val="44F06025"/>
    <w:rsid w:val="44F06210"/>
    <w:rsid w:val="44FB5048"/>
    <w:rsid w:val="44FD8799"/>
    <w:rsid w:val="451072EE"/>
    <w:rsid w:val="452F79BC"/>
    <w:rsid w:val="454A80A2"/>
    <w:rsid w:val="455537F4"/>
    <w:rsid w:val="45BE0071"/>
    <w:rsid w:val="45E92B92"/>
    <w:rsid w:val="4619B2DD"/>
    <w:rsid w:val="462563F2"/>
    <w:rsid w:val="465DB4D5"/>
    <w:rsid w:val="4664962F"/>
    <w:rsid w:val="46766CC0"/>
    <w:rsid w:val="46807B06"/>
    <w:rsid w:val="469AE2B9"/>
    <w:rsid w:val="46BBAFFA"/>
    <w:rsid w:val="46C35F75"/>
    <w:rsid w:val="46D6B203"/>
    <w:rsid w:val="471E7A2E"/>
    <w:rsid w:val="47348A98"/>
    <w:rsid w:val="474CECC5"/>
    <w:rsid w:val="477D8565"/>
    <w:rsid w:val="479FA7C6"/>
    <w:rsid w:val="48852994"/>
    <w:rsid w:val="488D72EB"/>
    <w:rsid w:val="48C9043B"/>
    <w:rsid w:val="48D05AF9"/>
    <w:rsid w:val="48D372EC"/>
    <w:rsid w:val="48DCF0E3"/>
    <w:rsid w:val="4905EBFE"/>
    <w:rsid w:val="491C1CFD"/>
    <w:rsid w:val="492FCF78"/>
    <w:rsid w:val="49547725"/>
    <w:rsid w:val="4956BEDA"/>
    <w:rsid w:val="49D79AE4"/>
    <w:rsid w:val="49F51682"/>
    <w:rsid w:val="4A126934"/>
    <w:rsid w:val="4A19EE35"/>
    <w:rsid w:val="4AA9A211"/>
    <w:rsid w:val="4AC68165"/>
    <w:rsid w:val="4B304647"/>
    <w:rsid w:val="4B3EA801"/>
    <w:rsid w:val="4B630640"/>
    <w:rsid w:val="4B6CDC54"/>
    <w:rsid w:val="4B7547CE"/>
    <w:rsid w:val="4B79E1D0"/>
    <w:rsid w:val="4B84DF27"/>
    <w:rsid w:val="4B8C1F71"/>
    <w:rsid w:val="4B9830BC"/>
    <w:rsid w:val="4BA22D4D"/>
    <w:rsid w:val="4BB63EF4"/>
    <w:rsid w:val="4BCC2286"/>
    <w:rsid w:val="4BF69988"/>
    <w:rsid w:val="4BF8E6D7"/>
    <w:rsid w:val="4C29ADDD"/>
    <w:rsid w:val="4C41F24C"/>
    <w:rsid w:val="4C87D043"/>
    <w:rsid w:val="4CA1AFC7"/>
    <w:rsid w:val="4CCFF1F4"/>
    <w:rsid w:val="4CF118A2"/>
    <w:rsid w:val="4CF4327C"/>
    <w:rsid w:val="4D029DBF"/>
    <w:rsid w:val="4D1745C8"/>
    <w:rsid w:val="4D1AFDF3"/>
    <w:rsid w:val="4DC33485"/>
    <w:rsid w:val="4DE8EA49"/>
    <w:rsid w:val="4DF44D1C"/>
    <w:rsid w:val="4DFACDAF"/>
    <w:rsid w:val="4E35B9B5"/>
    <w:rsid w:val="4E582573"/>
    <w:rsid w:val="4E64E958"/>
    <w:rsid w:val="4E67E709"/>
    <w:rsid w:val="4ECF0582"/>
    <w:rsid w:val="4ED42B52"/>
    <w:rsid w:val="4EEBA54A"/>
    <w:rsid w:val="4F154CFA"/>
    <w:rsid w:val="4F298C13"/>
    <w:rsid w:val="4F3E5E52"/>
    <w:rsid w:val="4F562991"/>
    <w:rsid w:val="4F6DDBB5"/>
    <w:rsid w:val="4F788299"/>
    <w:rsid w:val="4F7B3B66"/>
    <w:rsid w:val="4F84BAAA"/>
    <w:rsid w:val="4FB8B964"/>
    <w:rsid w:val="50000B26"/>
    <w:rsid w:val="50112AA1"/>
    <w:rsid w:val="50263F26"/>
    <w:rsid w:val="50284396"/>
    <w:rsid w:val="502AD6B6"/>
    <w:rsid w:val="502E5114"/>
    <w:rsid w:val="5030655F"/>
    <w:rsid w:val="5045C83C"/>
    <w:rsid w:val="505B33FB"/>
    <w:rsid w:val="50645806"/>
    <w:rsid w:val="50934BB5"/>
    <w:rsid w:val="50C36F5D"/>
    <w:rsid w:val="50CD49FA"/>
    <w:rsid w:val="50DE84D1"/>
    <w:rsid w:val="510211DA"/>
    <w:rsid w:val="5121B900"/>
    <w:rsid w:val="51231FDE"/>
    <w:rsid w:val="5158C6C7"/>
    <w:rsid w:val="516AD2F8"/>
    <w:rsid w:val="517B9169"/>
    <w:rsid w:val="51A9D22E"/>
    <w:rsid w:val="51DC5A54"/>
    <w:rsid w:val="5208E20E"/>
    <w:rsid w:val="5226491A"/>
    <w:rsid w:val="5242344D"/>
    <w:rsid w:val="526FBC4A"/>
    <w:rsid w:val="5270A8FF"/>
    <w:rsid w:val="52863A19"/>
    <w:rsid w:val="52BC5B6C"/>
    <w:rsid w:val="52DA071A"/>
    <w:rsid w:val="52DB9ADE"/>
    <w:rsid w:val="533239C1"/>
    <w:rsid w:val="5371E808"/>
    <w:rsid w:val="538059B3"/>
    <w:rsid w:val="538D7B62"/>
    <w:rsid w:val="53A1B79C"/>
    <w:rsid w:val="53C4D7E9"/>
    <w:rsid w:val="53C87328"/>
    <w:rsid w:val="53F20038"/>
    <w:rsid w:val="53FCBDCC"/>
    <w:rsid w:val="54021E71"/>
    <w:rsid w:val="5405E233"/>
    <w:rsid w:val="54248486"/>
    <w:rsid w:val="5473DD9D"/>
    <w:rsid w:val="54768101"/>
    <w:rsid w:val="5477D72F"/>
    <w:rsid w:val="54B21E81"/>
    <w:rsid w:val="54C1DB7C"/>
    <w:rsid w:val="550D5E30"/>
    <w:rsid w:val="5510016B"/>
    <w:rsid w:val="55227D13"/>
    <w:rsid w:val="5530559B"/>
    <w:rsid w:val="55460350"/>
    <w:rsid w:val="554B6C78"/>
    <w:rsid w:val="554FD6EC"/>
    <w:rsid w:val="556D56B2"/>
    <w:rsid w:val="55734944"/>
    <w:rsid w:val="55A0790E"/>
    <w:rsid w:val="55AF9C2C"/>
    <w:rsid w:val="55B1F5F4"/>
    <w:rsid w:val="55BEFC2A"/>
    <w:rsid w:val="55EC0EA8"/>
    <w:rsid w:val="564710CA"/>
    <w:rsid w:val="56681263"/>
    <w:rsid w:val="56822865"/>
    <w:rsid w:val="5686C386"/>
    <w:rsid w:val="56A6FAEF"/>
    <w:rsid w:val="56B5FB47"/>
    <w:rsid w:val="56E654A0"/>
    <w:rsid w:val="570F19A5"/>
    <w:rsid w:val="5713E946"/>
    <w:rsid w:val="573B6665"/>
    <w:rsid w:val="573C8B7E"/>
    <w:rsid w:val="573FD5CD"/>
    <w:rsid w:val="57431B37"/>
    <w:rsid w:val="57F1E9C2"/>
    <w:rsid w:val="582031DF"/>
    <w:rsid w:val="5826EBB1"/>
    <w:rsid w:val="582FCA54"/>
    <w:rsid w:val="585870F4"/>
    <w:rsid w:val="5867B690"/>
    <w:rsid w:val="5883E5D6"/>
    <w:rsid w:val="58A55F46"/>
    <w:rsid w:val="58AF907B"/>
    <w:rsid w:val="58EB7D41"/>
    <w:rsid w:val="5925D229"/>
    <w:rsid w:val="5943D4D1"/>
    <w:rsid w:val="5949F224"/>
    <w:rsid w:val="597877AA"/>
    <w:rsid w:val="59954C9F"/>
    <w:rsid w:val="59E0589E"/>
    <w:rsid w:val="59ED9C09"/>
    <w:rsid w:val="59FCAD6F"/>
    <w:rsid w:val="5A0ED36B"/>
    <w:rsid w:val="5A19B80A"/>
    <w:rsid w:val="5A48019F"/>
    <w:rsid w:val="5A8C6A88"/>
    <w:rsid w:val="5A8E860F"/>
    <w:rsid w:val="5ABB3540"/>
    <w:rsid w:val="5ABF7FCB"/>
    <w:rsid w:val="5B00F560"/>
    <w:rsid w:val="5B1ACA82"/>
    <w:rsid w:val="5B705EDB"/>
    <w:rsid w:val="5B78C04B"/>
    <w:rsid w:val="5B7A8ACB"/>
    <w:rsid w:val="5BD0C23E"/>
    <w:rsid w:val="5BE9D3AE"/>
    <w:rsid w:val="5BF0D047"/>
    <w:rsid w:val="5BFCEA89"/>
    <w:rsid w:val="5C5705A1"/>
    <w:rsid w:val="5C66062E"/>
    <w:rsid w:val="5CBDD702"/>
    <w:rsid w:val="5CF270AB"/>
    <w:rsid w:val="5D137079"/>
    <w:rsid w:val="5D455060"/>
    <w:rsid w:val="5D8C32B3"/>
    <w:rsid w:val="5DE28AF1"/>
    <w:rsid w:val="5E2D1EC9"/>
    <w:rsid w:val="5E2F065A"/>
    <w:rsid w:val="5E5D1504"/>
    <w:rsid w:val="5E63AFD9"/>
    <w:rsid w:val="5E8C75AE"/>
    <w:rsid w:val="5EA11EE4"/>
    <w:rsid w:val="5EA8773D"/>
    <w:rsid w:val="5EC2677A"/>
    <w:rsid w:val="5EC790D4"/>
    <w:rsid w:val="5EE54082"/>
    <w:rsid w:val="5EE7701E"/>
    <w:rsid w:val="5EF6D64F"/>
    <w:rsid w:val="5EFBDD63"/>
    <w:rsid w:val="5F037FEF"/>
    <w:rsid w:val="5F14570E"/>
    <w:rsid w:val="5F6DEB8A"/>
    <w:rsid w:val="5F9B60B8"/>
    <w:rsid w:val="5FA6CBB8"/>
    <w:rsid w:val="5FCEFAD0"/>
    <w:rsid w:val="5FD09778"/>
    <w:rsid w:val="600C7BA9"/>
    <w:rsid w:val="6063D98C"/>
    <w:rsid w:val="60826956"/>
    <w:rsid w:val="60827D3C"/>
    <w:rsid w:val="60863B9A"/>
    <w:rsid w:val="60C3D375"/>
    <w:rsid w:val="60C61067"/>
    <w:rsid w:val="60F08A2F"/>
    <w:rsid w:val="6101F13C"/>
    <w:rsid w:val="61471354"/>
    <w:rsid w:val="61507B1A"/>
    <w:rsid w:val="6168EBBC"/>
    <w:rsid w:val="618B4640"/>
    <w:rsid w:val="6197379E"/>
    <w:rsid w:val="61FFA9ED"/>
    <w:rsid w:val="6217B17B"/>
    <w:rsid w:val="621B4826"/>
    <w:rsid w:val="6235E63A"/>
    <w:rsid w:val="624CD6BC"/>
    <w:rsid w:val="626086BF"/>
    <w:rsid w:val="626399BA"/>
    <w:rsid w:val="62D547B2"/>
    <w:rsid w:val="62F8F6AA"/>
    <w:rsid w:val="630ECE6D"/>
    <w:rsid w:val="633AC0B4"/>
    <w:rsid w:val="635C674C"/>
    <w:rsid w:val="63615EFF"/>
    <w:rsid w:val="637B55F2"/>
    <w:rsid w:val="638C44C7"/>
    <w:rsid w:val="63BD77B5"/>
    <w:rsid w:val="63C665CC"/>
    <w:rsid w:val="63CDC138"/>
    <w:rsid w:val="63F75D8E"/>
    <w:rsid w:val="642D1C4E"/>
    <w:rsid w:val="645292E2"/>
    <w:rsid w:val="6484F859"/>
    <w:rsid w:val="64C317D7"/>
    <w:rsid w:val="64F54B31"/>
    <w:rsid w:val="64F5A91C"/>
    <w:rsid w:val="64F8CBA2"/>
    <w:rsid w:val="6531F6FC"/>
    <w:rsid w:val="653816D0"/>
    <w:rsid w:val="6563407F"/>
    <w:rsid w:val="65841EEE"/>
    <w:rsid w:val="65B63EDB"/>
    <w:rsid w:val="65DDFE27"/>
    <w:rsid w:val="65F0B309"/>
    <w:rsid w:val="660C1836"/>
    <w:rsid w:val="66118276"/>
    <w:rsid w:val="6623EC3D"/>
    <w:rsid w:val="662C56A3"/>
    <w:rsid w:val="6647B3D3"/>
    <w:rsid w:val="664E9EA0"/>
    <w:rsid w:val="66C05266"/>
    <w:rsid w:val="66D367C9"/>
    <w:rsid w:val="66D3E731"/>
    <w:rsid w:val="66D4E5A9"/>
    <w:rsid w:val="6707B50F"/>
    <w:rsid w:val="671FEF4F"/>
    <w:rsid w:val="673314F9"/>
    <w:rsid w:val="676E986C"/>
    <w:rsid w:val="677351D2"/>
    <w:rsid w:val="67F9C17B"/>
    <w:rsid w:val="6807BB1C"/>
    <w:rsid w:val="68224465"/>
    <w:rsid w:val="6830FF3E"/>
    <w:rsid w:val="6858B3C9"/>
    <w:rsid w:val="685A8DF1"/>
    <w:rsid w:val="68611436"/>
    <w:rsid w:val="688CA99F"/>
    <w:rsid w:val="68D0B4CC"/>
    <w:rsid w:val="692A189C"/>
    <w:rsid w:val="692A23DA"/>
    <w:rsid w:val="6938E7E5"/>
    <w:rsid w:val="697B5551"/>
    <w:rsid w:val="697E20A9"/>
    <w:rsid w:val="69BE14C6"/>
    <w:rsid w:val="69D23112"/>
    <w:rsid w:val="6A0DAC87"/>
    <w:rsid w:val="6A0FA01D"/>
    <w:rsid w:val="6A1C5B50"/>
    <w:rsid w:val="6A22423E"/>
    <w:rsid w:val="6A280BE9"/>
    <w:rsid w:val="6A4BD5E3"/>
    <w:rsid w:val="6A62B7AB"/>
    <w:rsid w:val="6A8FF641"/>
    <w:rsid w:val="6A959694"/>
    <w:rsid w:val="6A9E838B"/>
    <w:rsid w:val="6AF4BBBC"/>
    <w:rsid w:val="6B071C23"/>
    <w:rsid w:val="6B9F0354"/>
    <w:rsid w:val="6BA7ADF8"/>
    <w:rsid w:val="6BC45EFB"/>
    <w:rsid w:val="6C0A35B8"/>
    <w:rsid w:val="6C58177D"/>
    <w:rsid w:val="6C6F33F7"/>
    <w:rsid w:val="6C84B321"/>
    <w:rsid w:val="6C914696"/>
    <w:rsid w:val="6CDBB832"/>
    <w:rsid w:val="6CE0B446"/>
    <w:rsid w:val="6D135A7B"/>
    <w:rsid w:val="6D60EC5E"/>
    <w:rsid w:val="6D77C65F"/>
    <w:rsid w:val="6D8A06B9"/>
    <w:rsid w:val="6D9A3705"/>
    <w:rsid w:val="6D9C24E9"/>
    <w:rsid w:val="6DB66FEE"/>
    <w:rsid w:val="6DC2390D"/>
    <w:rsid w:val="6DCC68F0"/>
    <w:rsid w:val="6DF66682"/>
    <w:rsid w:val="6E5D5161"/>
    <w:rsid w:val="6E8116A7"/>
    <w:rsid w:val="6E86BD04"/>
    <w:rsid w:val="6E91D280"/>
    <w:rsid w:val="6E9D3DF3"/>
    <w:rsid w:val="6EC7F54D"/>
    <w:rsid w:val="6ED2C833"/>
    <w:rsid w:val="6EE3A848"/>
    <w:rsid w:val="6EFEF04B"/>
    <w:rsid w:val="6F2D1345"/>
    <w:rsid w:val="6F36B7F8"/>
    <w:rsid w:val="6F580EBF"/>
    <w:rsid w:val="6F609FB7"/>
    <w:rsid w:val="6F782892"/>
    <w:rsid w:val="6F940853"/>
    <w:rsid w:val="6F9C65D2"/>
    <w:rsid w:val="6FD82376"/>
    <w:rsid w:val="6FF7E603"/>
    <w:rsid w:val="7043D8AE"/>
    <w:rsid w:val="705E9F6F"/>
    <w:rsid w:val="707F78A9"/>
    <w:rsid w:val="70A740CA"/>
    <w:rsid w:val="70A9F208"/>
    <w:rsid w:val="70BB4ACF"/>
    <w:rsid w:val="70BD3BC6"/>
    <w:rsid w:val="710966F7"/>
    <w:rsid w:val="7133AA42"/>
    <w:rsid w:val="714E1C9C"/>
    <w:rsid w:val="71579527"/>
    <w:rsid w:val="71A87F47"/>
    <w:rsid w:val="71BA23A3"/>
    <w:rsid w:val="72001D71"/>
    <w:rsid w:val="722C3864"/>
    <w:rsid w:val="72382FC5"/>
    <w:rsid w:val="723CEB59"/>
    <w:rsid w:val="72720925"/>
    <w:rsid w:val="72747EDD"/>
    <w:rsid w:val="72BF5B1C"/>
    <w:rsid w:val="7333C780"/>
    <w:rsid w:val="733B31FF"/>
    <w:rsid w:val="73410D81"/>
    <w:rsid w:val="7350D75D"/>
    <w:rsid w:val="736A59C4"/>
    <w:rsid w:val="73AFB072"/>
    <w:rsid w:val="73DBEDAC"/>
    <w:rsid w:val="74056E3C"/>
    <w:rsid w:val="740832BE"/>
    <w:rsid w:val="742CED45"/>
    <w:rsid w:val="7432C140"/>
    <w:rsid w:val="743BAA74"/>
    <w:rsid w:val="74513B69"/>
    <w:rsid w:val="7480AC6B"/>
    <w:rsid w:val="74847361"/>
    <w:rsid w:val="74AADCCE"/>
    <w:rsid w:val="74F546F5"/>
    <w:rsid w:val="7532C4F3"/>
    <w:rsid w:val="75448F6C"/>
    <w:rsid w:val="755F0DF7"/>
    <w:rsid w:val="75608E36"/>
    <w:rsid w:val="76001759"/>
    <w:rsid w:val="7628090F"/>
    <w:rsid w:val="762E8216"/>
    <w:rsid w:val="768A2642"/>
    <w:rsid w:val="76C1F410"/>
    <w:rsid w:val="76CDEB6E"/>
    <w:rsid w:val="76DAB938"/>
    <w:rsid w:val="770112E1"/>
    <w:rsid w:val="771C5F31"/>
    <w:rsid w:val="772A8C53"/>
    <w:rsid w:val="774BB2ED"/>
    <w:rsid w:val="777C1835"/>
    <w:rsid w:val="7789BE73"/>
    <w:rsid w:val="77E09587"/>
    <w:rsid w:val="77F05878"/>
    <w:rsid w:val="77FE367D"/>
    <w:rsid w:val="780E4CAD"/>
    <w:rsid w:val="7810ADAF"/>
    <w:rsid w:val="7814638B"/>
    <w:rsid w:val="78C68DF3"/>
    <w:rsid w:val="78D38573"/>
    <w:rsid w:val="79057DB7"/>
    <w:rsid w:val="795BC16F"/>
    <w:rsid w:val="7967C8F9"/>
    <w:rsid w:val="797657A8"/>
    <w:rsid w:val="79BF168B"/>
    <w:rsid w:val="79C5A66D"/>
    <w:rsid w:val="79D8482D"/>
    <w:rsid w:val="7A363B97"/>
    <w:rsid w:val="7A6D826F"/>
    <w:rsid w:val="7A91C39B"/>
    <w:rsid w:val="7A9DAFC9"/>
    <w:rsid w:val="7AA540E8"/>
    <w:rsid w:val="7AACBC6D"/>
    <w:rsid w:val="7AEF2F95"/>
    <w:rsid w:val="7AF3C250"/>
    <w:rsid w:val="7AF68978"/>
    <w:rsid w:val="7AFC4653"/>
    <w:rsid w:val="7B0134EF"/>
    <w:rsid w:val="7B0DCC3F"/>
    <w:rsid w:val="7B39786A"/>
    <w:rsid w:val="7B58E877"/>
    <w:rsid w:val="7B6B3C10"/>
    <w:rsid w:val="7B99D5AE"/>
    <w:rsid w:val="7B99E946"/>
    <w:rsid w:val="7BB5A6D5"/>
    <w:rsid w:val="7BB8FA0D"/>
    <w:rsid w:val="7BFC12A3"/>
    <w:rsid w:val="7C0FB531"/>
    <w:rsid w:val="7C67702C"/>
    <w:rsid w:val="7C8B0B21"/>
    <w:rsid w:val="7C8D0CFF"/>
    <w:rsid w:val="7CA1BB3E"/>
    <w:rsid w:val="7CB13F11"/>
    <w:rsid w:val="7CDCB394"/>
    <w:rsid w:val="7CEC0C58"/>
    <w:rsid w:val="7D50F77F"/>
    <w:rsid w:val="7D5BCE19"/>
    <w:rsid w:val="7D97E304"/>
    <w:rsid w:val="7DA50370"/>
    <w:rsid w:val="7DC97665"/>
    <w:rsid w:val="7DD2615A"/>
    <w:rsid w:val="7E370291"/>
    <w:rsid w:val="7E52168D"/>
    <w:rsid w:val="7EA050DB"/>
    <w:rsid w:val="7EE7E1F9"/>
    <w:rsid w:val="7F40E2A2"/>
    <w:rsid w:val="7F437DC6"/>
    <w:rsid w:val="7F52E7D9"/>
    <w:rsid w:val="7F5AB87D"/>
    <w:rsid w:val="7FA424CC"/>
    <w:rsid w:val="7FDBF1CC"/>
    <w:rsid w:val="7FE11E07"/>
    <w:rsid w:val="7FE5992C"/>
    <w:rsid w:val="7FE939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42112"/>
  <w15:chartTrackingRefBased/>
  <w15:docId w15:val="{E2725F2E-449F-4375-9522-93DFF637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59"/>
    <w:rPr>
      <w:rFonts w:ascii="Noto Sans" w:eastAsiaTheme="minorEastAsia" w:hAnsi="Noto Sans"/>
      <w:sz w:val="20"/>
      <w:szCs w:val="24"/>
    </w:rPr>
  </w:style>
  <w:style w:type="paragraph" w:styleId="Heading1">
    <w:name w:val="heading 1"/>
    <w:basedOn w:val="Normal"/>
    <w:next w:val="Normal"/>
    <w:link w:val="Heading1Char"/>
    <w:uiPriority w:val="9"/>
    <w:qFormat/>
    <w:rsid w:val="00F57B13"/>
    <w:pPr>
      <w:keepNext/>
      <w:keepLines/>
      <w:spacing w:before="240" w:after="120"/>
      <w:outlineLvl w:val="0"/>
    </w:pPr>
    <w:rPr>
      <w:rFonts w:eastAsiaTheme="majorEastAsia" w:cstheme="majorBidi"/>
      <w:color w:val="005672"/>
      <w:sz w:val="36"/>
      <w:szCs w:val="32"/>
    </w:rPr>
  </w:style>
  <w:style w:type="paragraph" w:styleId="Heading2">
    <w:name w:val="heading 2"/>
    <w:basedOn w:val="Normal"/>
    <w:next w:val="Normal"/>
    <w:link w:val="Heading2Char"/>
    <w:uiPriority w:val="9"/>
    <w:unhideWhenUsed/>
    <w:qFormat/>
    <w:rsid w:val="00577D62"/>
    <w:pPr>
      <w:keepNext/>
      <w:keepLines/>
      <w:spacing w:after="120"/>
      <w:outlineLvl w:val="1"/>
    </w:pPr>
    <w:rPr>
      <w:rFonts w:eastAsiaTheme="majorEastAsia" w:cstheme="majorBidi"/>
      <w:color w:val="00567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826"/>
    <w:rPr>
      <w:rFonts w:ascii="Noto Sans" w:eastAsiaTheme="majorEastAsia" w:hAnsi="Noto Sans" w:cstheme="majorBidi"/>
      <w:color w:val="005672"/>
      <w:sz w:val="36"/>
      <w:szCs w:val="32"/>
    </w:rPr>
  </w:style>
  <w:style w:type="character" w:customStyle="1" w:styleId="Heading2Char">
    <w:name w:val="Heading 2 Char"/>
    <w:basedOn w:val="DefaultParagraphFont"/>
    <w:link w:val="Heading2"/>
    <w:uiPriority w:val="9"/>
    <w:rsid w:val="00D110EA"/>
    <w:rPr>
      <w:rFonts w:ascii="Noto Sans" w:eastAsiaTheme="majorEastAsia" w:hAnsi="Noto Sans" w:cstheme="majorBidi"/>
      <w:color w:val="005672"/>
      <w:sz w:val="28"/>
      <w:szCs w:val="26"/>
    </w:rPr>
  </w:style>
  <w:style w:type="paragraph" w:styleId="BodyText">
    <w:name w:val="Body Text"/>
    <w:basedOn w:val="Normal"/>
    <w:link w:val="BodyTextChar"/>
    <w:unhideWhenUsed/>
    <w:rsid w:val="00963406"/>
    <w:pPr>
      <w:spacing w:after="120" w:line="300" w:lineRule="atLeast"/>
    </w:pPr>
    <w:rPr>
      <w:rFonts w:ascii="Arial" w:eastAsia="Times New Roman" w:hAnsi="Arial" w:cs="Arial"/>
      <w:szCs w:val="20"/>
      <w:lang w:eastAsia="en-AU"/>
    </w:rPr>
  </w:style>
  <w:style w:type="character" w:customStyle="1" w:styleId="BodyTextChar">
    <w:name w:val="Body Text Char"/>
    <w:basedOn w:val="DefaultParagraphFont"/>
    <w:link w:val="BodyText"/>
    <w:rsid w:val="00963406"/>
    <w:rPr>
      <w:rFonts w:ascii="Arial" w:eastAsia="Times New Roman" w:hAnsi="Arial" w:cs="Arial"/>
      <w:sz w:val="20"/>
      <w:szCs w:val="20"/>
      <w:lang w:eastAsia="en-AU"/>
    </w:rPr>
  </w:style>
  <w:style w:type="paragraph" w:styleId="ListParagraph">
    <w:name w:val="List Paragraph"/>
    <w:aliases w:val="List Paragraph1,Recommendation,Recommendation Char Char Char,Bullet point"/>
    <w:basedOn w:val="Normal"/>
    <w:link w:val="ListParagraphChar"/>
    <w:uiPriority w:val="34"/>
    <w:qFormat/>
    <w:rsid w:val="00963406"/>
    <w:pPr>
      <w:ind w:left="720"/>
      <w:contextualSpacing/>
    </w:pPr>
  </w:style>
  <w:style w:type="character" w:customStyle="1" w:styleId="BodyTextbold">
    <w:name w:val="Body Text (bold)"/>
    <w:rsid w:val="00963406"/>
    <w:rPr>
      <w:rFonts w:ascii="Arial" w:hAnsi="Arial" w:cs="Arial" w:hint="default"/>
      <w:b/>
      <w:bCs w:val="0"/>
      <w:sz w:val="20"/>
      <w:szCs w:val="22"/>
      <w:lang w:val="en-AU" w:eastAsia="en-AU" w:bidi="ar-SA"/>
    </w:rPr>
  </w:style>
  <w:style w:type="table" w:styleId="TableGrid">
    <w:name w:val="Table Grid"/>
    <w:basedOn w:val="TableNormal"/>
    <w:rsid w:val="0096340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C88"/>
    <w:pPr>
      <w:tabs>
        <w:tab w:val="center" w:pos="4513"/>
        <w:tab w:val="right" w:pos="9026"/>
      </w:tabs>
    </w:pPr>
  </w:style>
  <w:style w:type="character" w:customStyle="1" w:styleId="HeaderChar">
    <w:name w:val="Header Char"/>
    <w:basedOn w:val="DefaultParagraphFont"/>
    <w:link w:val="Header"/>
    <w:uiPriority w:val="99"/>
    <w:rsid w:val="00B64C88"/>
    <w:rPr>
      <w:rFonts w:asciiTheme="majorHAnsi" w:eastAsiaTheme="minorEastAsia" w:hAnsiTheme="majorHAnsi"/>
      <w:sz w:val="24"/>
      <w:szCs w:val="24"/>
    </w:rPr>
  </w:style>
  <w:style w:type="paragraph" w:styleId="Footer">
    <w:name w:val="footer"/>
    <w:basedOn w:val="Normal"/>
    <w:link w:val="FooterChar"/>
    <w:uiPriority w:val="99"/>
    <w:unhideWhenUsed/>
    <w:rsid w:val="00B64C88"/>
    <w:pPr>
      <w:tabs>
        <w:tab w:val="center" w:pos="4513"/>
        <w:tab w:val="right" w:pos="9026"/>
      </w:tabs>
    </w:pPr>
  </w:style>
  <w:style w:type="character" w:customStyle="1" w:styleId="FooterChar">
    <w:name w:val="Footer Char"/>
    <w:basedOn w:val="DefaultParagraphFont"/>
    <w:link w:val="Footer"/>
    <w:uiPriority w:val="99"/>
    <w:rsid w:val="00B64C88"/>
    <w:rPr>
      <w:rFonts w:asciiTheme="majorHAnsi" w:eastAsiaTheme="minorEastAsia" w:hAnsiTheme="majorHAnsi"/>
      <w:sz w:val="24"/>
      <w:szCs w:val="24"/>
    </w:rPr>
  </w:style>
  <w:style w:type="paragraph" w:styleId="BalloonText">
    <w:name w:val="Balloon Text"/>
    <w:basedOn w:val="Normal"/>
    <w:link w:val="BalloonTextChar"/>
    <w:uiPriority w:val="99"/>
    <w:semiHidden/>
    <w:unhideWhenUsed/>
    <w:rsid w:val="003142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24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16A48"/>
    <w:rPr>
      <w:sz w:val="16"/>
      <w:szCs w:val="16"/>
    </w:rPr>
  </w:style>
  <w:style w:type="paragraph" w:styleId="CommentText">
    <w:name w:val="annotation text"/>
    <w:basedOn w:val="Normal"/>
    <w:link w:val="CommentTextChar"/>
    <w:uiPriority w:val="99"/>
    <w:unhideWhenUsed/>
    <w:rsid w:val="00D16A48"/>
    <w:rPr>
      <w:szCs w:val="20"/>
    </w:rPr>
  </w:style>
  <w:style w:type="character" w:customStyle="1" w:styleId="CommentTextChar">
    <w:name w:val="Comment Text Char"/>
    <w:basedOn w:val="DefaultParagraphFont"/>
    <w:link w:val="CommentText"/>
    <w:uiPriority w:val="99"/>
    <w:rsid w:val="00D16A48"/>
    <w:rPr>
      <w:rFonts w:ascii="Noto Sans" w:eastAsiaTheme="minorEastAsia" w:hAnsi="Noto Sans"/>
      <w:sz w:val="20"/>
      <w:szCs w:val="20"/>
    </w:rPr>
  </w:style>
  <w:style w:type="paragraph" w:styleId="CommentSubject">
    <w:name w:val="annotation subject"/>
    <w:basedOn w:val="CommentText"/>
    <w:next w:val="CommentText"/>
    <w:link w:val="CommentSubjectChar"/>
    <w:uiPriority w:val="99"/>
    <w:semiHidden/>
    <w:unhideWhenUsed/>
    <w:rsid w:val="00D16A48"/>
    <w:rPr>
      <w:b/>
      <w:bCs/>
    </w:rPr>
  </w:style>
  <w:style w:type="character" w:customStyle="1" w:styleId="CommentSubjectChar">
    <w:name w:val="Comment Subject Char"/>
    <w:basedOn w:val="CommentTextChar"/>
    <w:link w:val="CommentSubject"/>
    <w:uiPriority w:val="99"/>
    <w:semiHidden/>
    <w:rsid w:val="00D16A48"/>
    <w:rPr>
      <w:rFonts w:asciiTheme="majorHAnsi" w:eastAsiaTheme="minorEastAsia" w:hAnsiTheme="majorHAnsi"/>
      <w:b/>
      <w:bCs/>
      <w:sz w:val="20"/>
      <w:szCs w:val="20"/>
    </w:rPr>
  </w:style>
  <w:style w:type="character" w:styleId="Hyperlink">
    <w:name w:val="Hyperlink"/>
    <w:basedOn w:val="DefaultParagraphFont"/>
    <w:uiPriority w:val="99"/>
    <w:unhideWhenUsed/>
    <w:rsid w:val="00EF388F"/>
    <w:rPr>
      <w:color w:val="0563C1" w:themeColor="hyperlink"/>
      <w:u w:val="single"/>
    </w:rPr>
  </w:style>
  <w:style w:type="character" w:customStyle="1" w:styleId="ListParagraphChar">
    <w:name w:val="List Paragraph Char"/>
    <w:aliases w:val="List Paragraph1 Char,Recommendation Char,Recommendation Char Char Char Char,Bullet point Char"/>
    <w:link w:val="ListParagraph"/>
    <w:uiPriority w:val="34"/>
    <w:rsid w:val="00981FA6"/>
    <w:rPr>
      <w:rFonts w:asciiTheme="majorHAnsi" w:eastAsiaTheme="minorEastAsia" w:hAnsiTheme="majorHAnsi"/>
      <w:sz w:val="24"/>
      <w:szCs w:val="24"/>
    </w:rPr>
  </w:style>
  <w:style w:type="paragraph" w:customStyle="1" w:styleId="Default">
    <w:name w:val="Default"/>
    <w:rsid w:val="00B1292A"/>
    <w:pPr>
      <w:autoSpaceDE w:val="0"/>
      <w:autoSpaceDN w:val="0"/>
      <w:adjustRightInd w:val="0"/>
      <w:spacing w:after="0" w:line="240" w:lineRule="auto"/>
    </w:pPr>
    <w:rPr>
      <w:rFonts w:ascii="Arial" w:hAnsi="Arial" w:cs="Arial"/>
      <w:color w:val="000000"/>
      <w:sz w:val="24"/>
      <w:szCs w:val="24"/>
    </w:rPr>
  </w:style>
  <w:style w:type="paragraph" w:customStyle="1" w:styleId="Tablebodytextleftaligned">
    <w:name w:val="Table body text (left aligned)"/>
    <w:basedOn w:val="Normal"/>
    <w:qFormat/>
    <w:rsid w:val="002E1784"/>
    <w:pPr>
      <w:spacing w:before="60" w:after="60"/>
    </w:pPr>
    <w:rPr>
      <w:rFonts w:ascii="Arial" w:eastAsiaTheme="minorHAnsi" w:hAnsi="Arial" w:cs="Arial"/>
      <w:sz w:val="18"/>
      <w:szCs w:val="20"/>
    </w:rPr>
  </w:style>
  <w:style w:type="table" w:customStyle="1" w:styleId="TableGrid7">
    <w:name w:val="Table Grid7"/>
    <w:basedOn w:val="TableNormal"/>
    <w:next w:val="TableGrid"/>
    <w:rsid w:val="00E4204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76BD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6BDC"/>
    <w:rPr>
      <w:szCs w:val="20"/>
    </w:rPr>
  </w:style>
  <w:style w:type="character" w:customStyle="1" w:styleId="FootnoteTextChar">
    <w:name w:val="Footnote Text Char"/>
    <w:basedOn w:val="DefaultParagraphFont"/>
    <w:link w:val="FootnoteText"/>
    <w:uiPriority w:val="99"/>
    <w:semiHidden/>
    <w:rsid w:val="00976BDC"/>
    <w:rPr>
      <w:rFonts w:ascii="Noto Sans" w:eastAsiaTheme="minorEastAsia" w:hAnsi="Noto Sans"/>
      <w:sz w:val="20"/>
      <w:szCs w:val="20"/>
    </w:rPr>
  </w:style>
  <w:style w:type="character" w:styleId="FootnoteReference">
    <w:name w:val="footnote reference"/>
    <w:basedOn w:val="DefaultParagraphFont"/>
    <w:uiPriority w:val="99"/>
    <w:semiHidden/>
    <w:unhideWhenUsed/>
    <w:rsid w:val="00976BDC"/>
    <w:rPr>
      <w:vertAlign w:val="superscript"/>
    </w:rPr>
  </w:style>
  <w:style w:type="table" w:customStyle="1" w:styleId="TableGrid6">
    <w:name w:val="Table Grid6"/>
    <w:basedOn w:val="TableNormal"/>
    <w:next w:val="TableGrid"/>
    <w:rsid w:val="00C67F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4149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32B6"/>
    <w:rPr>
      <w:color w:val="954F72" w:themeColor="followedHyperlink"/>
      <w:u w:val="single"/>
    </w:rPr>
  </w:style>
  <w:style w:type="paragraph" w:styleId="NormalWeb">
    <w:name w:val="Normal (Web)"/>
    <w:basedOn w:val="Normal"/>
    <w:uiPriority w:val="99"/>
    <w:semiHidden/>
    <w:unhideWhenUsed/>
    <w:rsid w:val="001802BD"/>
    <w:pPr>
      <w:spacing w:before="100" w:beforeAutospacing="1" w:after="100" w:afterAutospacing="1"/>
    </w:pPr>
    <w:rPr>
      <w:rFonts w:ascii="Times New Roman" w:hAnsi="Times New Roman" w:cs="Times New Roman"/>
      <w:lang w:eastAsia="en-AU"/>
    </w:rPr>
  </w:style>
  <w:style w:type="table" w:customStyle="1" w:styleId="TableGrid62">
    <w:name w:val="Table Grid62"/>
    <w:basedOn w:val="TableNormal"/>
    <w:next w:val="TableGrid"/>
    <w:rsid w:val="0062600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E7259"/>
    <w:pPr>
      <w:spacing w:before="240"/>
    </w:pPr>
    <w:rPr>
      <w:b/>
      <w:iCs/>
      <w:color w:val="005672"/>
      <w:sz w:val="18"/>
      <w:szCs w:val="18"/>
    </w:rPr>
  </w:style>
  <w:style w:type="table" w:customStyle="1" w:styleId="TableGrid2">
    <w:name w:val="Table Grid2"/>
    <w:basedOn w:val="TableNormal"/>
    <w:next w:val="TableGrid"/>
    <w:rsid w:val="004129E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79037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E01CF"/>
    <w:rPr>
      <w:color w:val="605E5C"/>
      <w:shd w:val="clear" w:color="auto" w:fill="E1DFDD"/>
    </w:rPr>
  </w:style>
  <w:style w:type="paragraph" w:styleId="Title">
    <w:name w:val="Title"/>
    <w:basedOn w:val="Normal"/>
    <w:next w:val="Normal"/>
    <w:link w:val="TitleChar"/>
    <w:uiPriority w:val="10"/>
    <w:qFormat/>
    <w:rsid w:val="0001335D"/>
    <w:pPr>
      <w:spacing w:after="360" w:line="216" w:lineRule="auto"/>
      <w:contextualSpacing/>
    </w:pPr>
    <w:rPr>
      <w:rFonts w:eastAsiaTheme="majorEastAsia"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3E4EF8"/>
    <w:rPr>
      <w:rFonts w:ascii="Noto Sans" w:eastAsiaTheme="majorEastAsia" w:hAnsi="Noto Sans" w:cstheme="majorBidi"/>
      <w:color w:val="FFFFFF" w:themeColor="background1"/>
      <w:spacing w:val="-10"/>
      <w:kern w:val="28"/>
      <w:sz w:val="72"/>
      <w:szCs w:val="56"/>
    </w:rPr>
  </w:style>
  <w:style w:type="paragraph" w:styleId="Revision">
    <w:name w:val="Revision"/>
    <w:hidden/>
    <w:uiPriority w:val="99"/>
    <w:semiHidden/>
    <w:rsid w:val="0027065F"/>
    <w:pPr>
      <w:spacing w:after="0" w:line="240" w:lineRule="auto"/>
    </w:pPr>
    <w:rPr>
      <w:rFonts w:asciiTheme="majorHAnsi" w:eastAsiaTheme="minorEastAsia" w:hAnsiTheme="majorHAnsi"/>
      <w:sz w:val="24"/>
      <w:szCs w:val="24"/>
    </w:rPr>
  </w:style>
  <w:style w:type="paragraph" w:styleId="TOC1">
    <w:name w:val="toc 1"/>
    <w:basedOn w:val="Normal"/>
    <w:next w:val="Normal"/>
    <w:autoRedefine/>
    <w:uiPriority w:val="39"/>
    <w:unhideWhenUsed/>
    <w:rsid w:val="00545A5E"/>
    <w:pPr>
      <w:spacing w:after="100"/>
    </w:pPr>
  </w:style>
  <w:style w:type="character" w:styleId="Mention">
    <w:name w:val="Mention"/>
    <w:basedOn w:val="DefaultParagraphFont"/>
    <w:uiPriority w:val="99"/>
    <w:rsid w:val="00FA21BA"/>
    <w:rPr>
      <w:color w:val="2B579A"/>
      <w:shd w:val="clear" w:color="auto" w:fill="E1DFDD"/>
    </w:rPr>
  </w:style>
  <w:style w:type="paragraph" w:styleId="TOCHeading">
    <w:name w:val="TOC Heading"/>
    <w:basedOn w:val="Heading1"/>
    <w:next w:val="Normal"/>
    <w:uiPriority w:val="39"/>
    <w:unhideWhenUsed/>
    <w:qFormat/>
    <w:rsid w:val="00A8791A"/>
    <w:pPr>
      <w:outlineLvl w:val="9"/>
    </w:pPr>
    <w:rPr>
      <w:rFonts w:asciiTheme="majorHAnsi" w:hAnsiTheme="majorHAnsi"/>
      <w:lang w:val="en-US"/>
    </w:rPr>
  </w:style>
  <w:style w:type="paragraph" w:styleId="TOC2">
    <w:name w:val="toc 2"/>
    <w:basedOn w:val="Normal"/>
    <w:next w:val="Normal"/>
    <w:autoRedefine/>
    <w:uiPriority w:val="39"/>
    <w:unhideWhenUsed/>
    <w:rsid w:val="00A8791A"/>
    <w:pPr>
      <w:spacing w:after="100"/>
      <w:ind w:left="240"/>
    </w:pPr>
  </w:style>
  <w:style w:type="paragraph" w:styleId="Subtitle">
    <w:name w:val="Subtitle"/>
    <w:basedOn w:val="Normal"/>
    <w:next w:val="Normal"/>
    <w:link w:val="SubtitleChar"/>
    <w:uiPriority w:val="11"/>
    <w:qFormat/>
    <w:rsid w:val="00F03CC9"/>
    <w:pPr>
      <w:numPr>
        <w:ilvl w:val="1"/>
      </w:numPr>
    </w:pPr>
    <w:rPr>
      <w:color w:val="FFFFFF" w:themeColor="background1"/>
      <w:spacing w:val="15"/>
      <w:sz w:val="56"/>
      <w:szCs w:val="22"/>
    </w:rPr>
  </w:style>
  <w:style w:type="character" w:customStyle="1" w:styleId="SubtitleChar">
    <w:name w:val="Subtitle Char"/>
    <w:basedOn w:val="DefaultParagraphFont"/>
    <w:link w:val="Subtitle"/>
    <w:uiPriority w:val="11"/>
    <w:rsid w:val="00F03CC9"/>
    <w:rPr>
      <w:rFonts w:ascii="Noto Sans" w:eastAsiaTheme="minorEastAsia" w:hAnsi="Noto Sans"/>
      <w:color w:val="FFFFFF" w:themeColor="background1"/>
      <w:spacing w:val="15"/>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3050">
      <w:bodyDiv w:val="1"/>
      <w:marLeft w:val="0"/>
      <w:marRight w:val="0"/>
      <w:marTop w:val="0"/>
      <w:marBottom w:val="0"/>
      <w:divBdr>
        <w:top w:val="none" w:sz="0" w:space="0" w:color="auto"/>
        <w:left w:val="none" w:sz="0" w:space="0" w:color="auto"/>
        <w:bottom w:val="none" w:sz="0" w:space="0" w:color="auto"/>
        <w:right w:val="none" w:sz="0" w:space="0" w:color="auto"/>
      </w:divBdr>
    </w:div>
    <w:div w:id="914555250">
      <w:bodyDiv w:val="1"/>
      <w:marLeft w:val="0"/>
      <w:marRight w:val="0"/>
      <w:marTop w:val="0"/>
      <w:marBottom w:val="0"/>
      <w:divBdr>
        <w:top w:val="none" w:sz="0" w:space="0" w:color="auto"/>
        <w:left w:val="none" w:sz="0" w:space="0" w:color="auto"/>
        <w:bottom w:val="none" w:sz="0" w:space="0" w:color="auto"/>
        <w:right w:val="none" w:sz="0" w:space="0" w:color="auto"/>
      </w:divBdr>
      <w:divsChild>
        <w:div w:id="152509255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221555664">
              <w:blockQuote w:val="1"/>
              <w:marLeft w:val="600"/>
              <w:marRight w:val="0"/>
              <w:marTop w:val="120"/>
              <w:marBottom w:val="120"/>
              <w:divBdr>
                <w:top w:val="none" w:sz="0" w:space="0" w:color="auto"/>
                <w:left w:val="none" w:sz="0" w:space="0" w:color="auto"/>
                <w:bottom w:val="none" w:sz="0" w:space="0" w:color="auto"/>
                <w:right w:val="none" w:sz="0" w:space="0" w:color="auto"/>
              </w:divBdr>
            </w:div>
            <w:div w:id="1454401887">
              <w:blockQuote w:val="1"/>
              <w:marLeft w:val="600"/>
              <w:marRight w:val="0"/>
              <w:marTop w:val="120"/>
              <w:marBottom w:val="120"/>
              <w:divBdr>
                <w:top w:val="none" w:sz="0" w:space="0" w:color="auto"/>
                <w:left w:val="none" w:sz="0" w:space="0" w:color="auto"/>
                <w:bottom w:val="none" w:sz="0" w:space="0" w:color="auto"/>
                <w:right w:val="none" w:sz="0" w:space="0" w:color="auto"/>
              </w:divBdr>
            </w:div>
            <w:div w:id="146107104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01555976">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210920734">
                      <w:blockQuote w:val="1"/>
                      <w:marLeft w:val="340"/>
                      <w:marRight w:val="0"/>
                      <w:marTop w:val="80"/>
                      <w:marBottom w:val="80"/>
                      <w:divBdr>
                        <w:top w:val="none" w:sz="0" w:space="0" w:color="auto"/>
                        <w:left w:val="none" w:sz="0" w:space="0" w:color="auto"/>
                        <w:bottom w:val="none" w:sz="0" w:space="0" w:color="auto"/>
                        <w:right w:val="none" w:sz="0" w:space="0" w:color="auto"/>
                      </w:divBdr>
                    </w:div>
                    <w:div w:id="1674339438">
                      <w:blockQuote w:val="1"/>
                      <w:marLeft w:val="340"/>
                      <w:marRight w:val="0"/>
                      <w:marTop w:val="80"/>
                      <w:marBottom w:val="80"/>
                      <w:divBdr>
                        <w:top w:val="none" w:sz="0" w:space="0" w:color="auto"/>
                        <w:left w:val="none" w:sz="0" w:space="0" w:color="auto"/>
                        <w:bottom w:val="none" w:sz="0" w:space="0" w:color="auto"/>
                        <w:right w:val="none" w:sz="0" w:space="0" w:color="auto"/>
                      </w:divBdr>
                    </w:div>
                  </w:divsChild>
                </w:div>
              </w:divsChild>
            </w:div>
          </w:divsChild>
        </w:div>
      </w:divsChild>
    </w:div>
    <w:div w:id="1016073740">
      <w:bodyDiv w:val="1"/>
      <w:marLeft w:val="0"/>
      <w:marRight w:val="0"/>
      <w:marTop w:val="0"/>
      <w:marBottom w:val="0"/>
      <w:divBdr>
        <w:top w:val="none" w:sz="0" w:space="0" w:color="auto"/>
        <w:left w:val="none" w:sz="0" w:space="0" w:color="auto"/>
        <w:bottom w:val="none" w:sz="0" w:space="0" w:color="auto"/>
        <w:right w:val="none" w:sz="0" w:space="0" w:color="auto"/>
      </w:divBdr>
    </w:div>
    <w:div w:id="1324891412">
      <w:bodyDiv w:val="1"/>
      <w:marLeft w:val="0"/>
      <w:marRight w:val="0"/>
      <w:marTop w:val="0"/>
      <w:marBottom w:val="0"/>
      <w:divBdr>
        <w:top w:val="none" w:sz="0" w:space="0" w:color="auto"/>
        <w:left w:val="none" w:sz="0" w:space="0" w:color="auto"/>
        <w:bottom w:val="none" w:sz="0" w:space="0" w:color="auto"/>
        <w:right w:val="none" w:sz="0" w:space="0" w:color="auto"/>
      </w:divBdr>
    </w:div>
    <w:div w:id="201819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fisheries.qld.gov.au"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www.environment.gov.au/marine/fisheries/qld/mud-crab"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legislation.qld.gov.au" TargetMode="External"/><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fish.gov.au/" TargetMode="External"/><Relationship Id="rId29" Type="http://schemas.openxmlformats.org/officeDocument/2006/relationships/hyperlink" Target="http://www.publications.qld.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commentsExtended" Target="commentsExtended.xml"/><Relationship Id="rId28" Type="http://schemas.openxmlformats.org/officeDocument/2006/relationships/hyperlink" Target="https://era.daf.qld.gov.au/" TargetMode="External"/><Relationship Id="rId10" Type="http://schemas.openxmlformats.org/officeDocument/2006/relationships/endnotes" Target="endnotes.xml"/><Relationship Id="rId19" Type="http://schemas.openxmlformats.org/officeDocument/2006/relationships/hyperlink" Target="http://www.daf.qld.gov.au/business-priorities/fisheries/sustainable/fishery-working-group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hyperlink" Target="https://www.business.qld.gov.au/"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5afb0a-734c-43ca-b413-b58ed502b747">
      <Terms xmlns="http://schemas.microsoft.com/office/infopath/2007/PartnerControls"/>
    </lcf76f155ced4ddcb4097134ff3c332f>
    <TaxCatchAll xmlns="9c280b08-cec5-4512-9141-987914a709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188879908733459EEAEB1342F9821D" ma:contentTypeVersion="16" ma:contentTypeDescription="Create a new document." ma:contentTypeScope="" ma:versionID="2b97e5002b7bcd20f5f5af046063cefe">
  <xsd:schema xmlns:xsd="http://www.w3.org/2001/XMLSchema" xmlns:xs="http://www.w3.org/2001/XMLSchema" xmlns:p="http://schemas.microsoft.com/office/2006/metadata/properties" xmlns:ns2="0d5afb0a-734c-43ca-b413-b58ed502b747" xmlns:ns3="38605bd7-7477-46f3-9052-38bc35c2e7ec" xmlns:ns4="9c280b08-cec5-4512-9141-987914a7098b" targetNamespace="http://schemas.microsoft.com/office/2006/metadata/properties" ma:root="true" ma:fieldsID="652931b5e9e7f13245f8dc06aa099644" ns2:_="" ns3:_="" ns4:_="">
    <xsd:import namespace="0d5afb0a-734c-43ca-b413-b58ed502b747"/>
    <xsd:import namespace="38605bd7-7477-46f3-9052-38bc35c2e7ec"/>
    <xsd:import namespace="9c280b08-cec5-4512-9141-987914a709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afb0a-734c-43ca-b413-b58ed502b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605bd7-7477-46f3-9052-38bc35c2e7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80b08-cec5-4512-9141-987914a7098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3358df-7480-4e7d-a40e-5c6218b78c1d}" ma:internalName="TaxCatchAll" ma:showField="CatchAllData" ma:web="9c280b08-cec5-4512-9141-987914a70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27FB3-C0E0-40FD-A4CD-11DB82AD82A0}">
  <ds:schemaRefs>
    <ds:schemaRef ds:uri="http://schemas.openxmlformats.org/officeDocument/2006/bibliography"/>
  </ds:schemaRefs>
</ds:datastoreItem>
</file>

<file path=customXml/itemProps2.xml><?xml version="1.0" encoding="utf-8"?>
<ds:datastoreItem xmlns:ds="http://schemas.openxmlformats.org/officeDocument/2006/customXml" ds:itemID="{98A0B14B-013D-4A2A-9806-9B683293514C}">
  <ds:schemaRefs>
    <ds:schemaRef ds:uri="http://schemas.microsoft.com/office/2006/metadata/properties"/>
    <ds:schemaRef ds:uri="http://schemas.microsoft.com/office/infopath/2007/PartnerControls"/>
    <ds:schemaRef ds:uri="0d5afb0a-734c-43ca-b413-b58ed502b747"/>
    <ds:schemaRef ds:uri="9c280b08-cec5-4512-9141-987914a7098b"/>
  </ds:schemaRefs>
</ds:datastoreItem>
</file>

<file path=customXml/itemProps3.xml><?xml version="1.0" encoding="utf-8"?>
<ds:datastoreItem xmlns:ds="http://schemas.openxmlformats.org/officeDocument/2006/customXml" ds:itemID="{44F3423A-5305-4F98-A6DA-8EE0F6E41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afb0a-734c-43ca-b413-b58ed502b747"/>
    <ds:schemaRef ds:uri="38605bd7-7477-46f3-9052-38bc35c2e7ec"/>
    <ds:schemaRef ds:uri="9c280b08-cec5-4512-9141-987914a70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F728B8-B2B7-4DA8-B7FF-F5D2D7B81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7074</Words>
  <Characters>40326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Queensland mud crab fishery harvest strategy: 2021-2026</vt:lpstr>
    </vt:vector>
  </TitlesOfParts>
  <Manager>Fisheries Queensland</Manager>
  <Company>Department of Agriculture and Fisheries</Company>
  <LinksUpToDate>false</LinksUpToDate>
  <CharactersWithSpaces>47306</CharactersWithSpaces>
  <SharedDoc>false</SharedDoc>
  <HLinks>
    <vt:vector size="174" baseType="variant">
      <vt:variant>
        <vt:i4>7208999</vt:i4>
      </vt:variant>
      <vt:variant>
        <vt:i4>129</vt:i4>
      </vt:variant>
      <vt:variant>
        <vt:i4>0</vt:i4>
      </vt:variant>
      <vt:variant>
        <vt:i4>5</vt:i4>
      </vt:variant>
      <vt:variant>
        <vt:lpwstr>http://www.publications.qld.gov.au/</vt:lpwstr>
      </vt:variant>
      <vt:variant>
        <vt:lpwstr/>
      </vt:variant>
      <vt:variant>
        <vt:i4>7602211</vt:i4>
      </vt:variant>
      <vt:variant>
        <vt:i4>126</vt:i4>
      </vt:variant>
      <vt:variant>
        <vt:i4>0</vt:i4>
      </vt:variant>
      <vt:variant>
        <vt:i4>5</vt:i4>
      </vt:variant>
      <vt:variant>
        <vt:lpwstr>https://era.daf.qld.gov.au/</vt:lpwstr>
      </vt:variant>
      <vt:variant>
        <vt:lpwstr/>
      </vt:variant>
      <vt:variant>
        <vt:i4>524308</vt:i4>
      </vt:variant>
      <vt:variant>
        <vt:i4>123</vt:i4>
      </vt:variant>
      <vt:variant>
        <vt:i4>0</vt:i4>
      </vt:variant>
      <vt:variant>
        <vt:i4>5</vt:i4>
      </vt:variant>
      <vt:variant>
        <vt:lpwstr>https://www.business.qld.gov.au/</vt:lpwstr>
      </vt:variant>
      <vt:variant>
        <vt:lpwstr/>
      </vt:variant>
      <vt:variant>
        <vt:i4>3211388</vt:i4>
      </vt:variant>
      <vt:variant>
        <vt:i4>120</vt:i4>
      </vt:variant>
      <vt:variant>
        <vt:i4>0</vt:i4>
      </vt:variant>
      <vt:variant>
        <vt:i4>5</vt:i4>
      </vt:variant>
      <vt:variant>
        <vt:lpwstr>https://www.daf.qld.gov.au/business-priorities/fisheries/sustainable/ecological-risk-assessment-guidelines</vt:lpwstr>
      </vt:variant>
      <vt:variant>
        <vt:lpwstr/>
      </vt:variant>
      <vt:variant>
        <vt:i4>7536687</vt:i4>
      </vt:variant>
      <vt:variant>
        <vt:i4>117</vt:i4>
      </vt:variant>
      <vt:variant>
        <vt:i4>0</vt:i4>
      </vt:variant>
      <vt:variant>
        <vt:i4>5</vt:i4>
      </vt:variant>
      <vt:variant>
        <vt:lpwstr>http://www.environment.gov.au/marine/fisheries/qld/mud-crab</vt:lpwstr>
      </vt:variant>
      <vt:variant>
        <vt:lpwstr/>
      </vt:variant>
      <vt:variant>
        <vt:i4>5177423</vt:i4>
      </vt:variant>
      <vt:variant>
        <vt:i4>114</vt:i4>
      </vt:variant>
      <vt:variant>
        <vt:i4>0</vt:i4>
      </vt:variant>
      <vt:variant>
        <vt:i4>5</vt:i4>
      </vt:variant>
      <vt:variant>
        <vt:lpwstr>https://fish.gov.au/</vt:lpwstr>
      </vt:variant>
      <vt:variant>
        <vt:lpwstr/>
      </vt:variant>
      <vt:variant>
        <vt:i4>2228286</vt:i4>
      </vt:variant>
      <vt:variant>
        <vt:i4>111</vt:i4>
      </vt:variant>
      <vt:variant>
        <vt:i4>0</vt:i4>
      </vt:variant>
      <vt:variant>
        <vt:i4>5</vt:i4>
      </vt:variant>
      <vt:variant>
        <vt:lpwstr>http://www.daf.qld.gov.au/business-priorities/fisheries/sustainable/fishery-working-groups</vt:lpwstr>
      </vt:variant>
      <vt:variant>
        <vt:lpwstr/>
      </vt:variant>
      <vt:variant>
        <vt:i4>720926</vt:i4>
      </vt:variant>
      <vt:variant>
        <vt:i4>108</vt:i4>
      </vt:variant>
      <vt:variant>
        <vt:i4>0</vt:i4>
      </vt:variant>
      <vt:variant>
        <vt:i4>5</vt:i4>
      </vt:variant>
      <vt:variant>
        <vt:lpwstr>http://www.fisheries.qld.gov.au/</vt:lpwstr>
      </vt:variant>
      <vt:variant>
        <vt:lpwstr/>
      </vt:variant>
      <vt:variant>
        <vt:i4>8323114</vt:i4>
      </vt:variant>
      <vt:variant>
        <vt:i4>105</vt:i4>
      </vt:variant>
      <vt:variant>
        <vt:i4>0</vt:i4>
      </vt:variant>
      <vt:variant>
        <vt:i4>5</vt:i4>
      </vt:variant>
      <vt:variant>
        <vt:lpwstr>http://legislation.qld.gov.au/</vt:lpwstr>
      </vt:variant>
      <vt:variant>
        <vt:lpwstr/>
      </vt:variant>
      <vt:variant>
        <vt:i4>1507381</vt:i4>
      </vt:variant>
      <vt:variant>
        <vt:i4>98</vt:i4>
      </vt:variant>
      <vt:variant>
        <vt:i4>0</vt:i4>
      </vt:variant>
      <vt:variant>
        <vt:i4>5</vt:i4>
      </vt:variant>
      <vt:variant>
        <vt:lpwstr/>
      </vt:variant>
      <vt:variant>
        <vt:lpwstr>_Toc121747127</vt:lpwstr>
      </vt:variant>
      <vt:variant>
        <vt:i4>1507381</vt:i4>
      </vt:variant>
      <vt:variant>
        <vt:i4>92</vt:i4>
      </vt:variant>
      <vt:variant>
        <vt:i4>0</vt:i4>
      </vt:variant>
      <vt:variant>
        <vt:i4>5</vt:i4>
      </vt:variant>
      <vt:variant>
        <vt:lpwstr/>
      </vt:variant>
      <vt:variant>
        <vt:lpwstr>_Toc121747126</vt:lpwstr>
      </vt:variant>
      <vt:variant>
        <vt:i4>1507381</vt:i4>
      </vt:variant>
      <vt:variant>
        <vt:i4>86</vt:i4>
      </vt:variant>
      <vt:variant>
        <vt:i4>0</vt:i4>
      </vt:variant>
      <vt:variant>
        <vt:i4>5</vt:i4>
      </vt:variant>
      <vt:variant>
        <vt:lpwstr/>
      </vt:variant>
      <vt:variant>
        <vt:lpwstr>_Toc121747125</vt:lpwstr>
      </vt:variant>
      <vt:variant>
        <vt:i4>1507381</vt:i4>
      </vt:variant>
      <vt:variant>
        <vt:i4>80</vt:i4>
      </vt:variant>
      <vt:variant>
        <vt:i4>0</vt:i4>
      </vt:variant>
      <vt:variant>
        <vt:i4>5</vt:i4>
      </vt:variant>
      <vt:variant>
        <vt:lpwstr/>
      </vt:variant>
      <vt:variant>
        <vt:lpwstr>_Toc121747124</vt:lpwstr>
      </vt:variant>
      <vt:variant>
        <vt:i4>1507381</vt:i4>
      </vt:variant>
      <vt:variant>
        <vt:i4>74</vt:i4>
      </vt:variant>
      <vt:variant>
        <vt:i4>0</vt:i4>
      </vt:variant>
      <vt:variant>
        <vt:i4>5</vt:i4>
      </vt:variant>
      <vt:variant>
        <vt:lpwstr/>
      </vt:variant>
      <vt:variant>
        <vt:lpwstr>_Toc121747123</vt:lpwstr>
      </vt:variant>
      <vt:variant>
        <vt:i4>1507381</vt:i4>
      </vt:variant>
      <vt:variant>
        <vt:i4>68</vt:i4>
      </vt:variant>
      <vt:variant>
        <vt:i4>0</vt:i4>
      </vt:variant>
      <vt:variant>
        <vt:i4>5</vt:i4>
      </vt:variant>
      <vt:variant>
        <vt:lpwstr/>
      </vt:variant>
      <vt:variant>
        <vt:lpwstr>_Toc121747122</vt:lpwstr>
      </vt:variant>
      <vt:variant>
        <vt:i4>1507381</vt:i4>
      </vt:variant>
      <vt:variant>
        <vt:i4>62</vt:i4>
      </vt:variant>
      <vt:variant>
        <vt:i4>0</vt:i4>
      </vt:variant>
      <vt:variant>
        <vt:i4>5</vt:i4>
      </vt:variant>
      <vt:variant>
        <vt:lpwstr/>
      </vt:variant>
      <vt:variant>
        <vt:lpwstr>_Toc121747121</vt:lpwstr>
      </vt:variant>
      <vt:variant>
        <vt:i4>1507381</vt:i4>
      </vt:variant>
      <vt:variant>
        <vt:i4>56</vt:i4>
      </vt:variant>
      <vt:variant>
        <vt:i4>0</vt:i4>
      </vt:variant>
      <vt:variant>
        <vt:i4>5</vt:i4>
      </vt:variant>
      <vt:variant>
        <vt:lpwstr/>
      </vt:variant>
      <vt:variant>
        <vt:lpwstr>_Toc121747120</vt:lpwstr>
      </vt:variant>
      <vt:variant>
        <vt:i4>1310773</vt:i4>
      </vt:variant>
      <vt:variant>
        <vt:i4>50</vt:i4>
      </vt:variant>
      <vt:variant>
        <vt:i4>0</vt:i4>
      </vt:variant>
      <vt:variant>
        <vt:i4>5</vt:i4>
      </vt:variant>
      <vt:variant>
        <vt:lpwstr/>
      </vt:variant>
      <vt:variant>
        <vt:lpwstr>_Toc121747119</vt:lpwstr>
      </vt:variant>
      <vt:variant>
        <vt:i4>1310773</vt:i4>
      </vt:variant>
      <vt:variant>
        <vt:i4>44</vt:i4>
      </vt:variant>
      <vt:variant>
        <vt:i4>0</vt:i4>
      </vt:variant>
      <vt:variant>
        <vt:i4>5</vt:i4>
      </vt:variant>
      <vt:variant>
        <vt:lpwstr/>
      </vt:variant>
      <vt:variant>
        <vt:lpwstr>_Toc121747118</vt:lpwstr>
      </vt:variant>
      <vt:variant>
        <vt:i4>1310773</vt:i4>
      </vt:variant>
      <vt:variant>
        <vt:i4>38</vt:i4>
      </vt:variant>
      <vt:variant>
        <vt:i4>0</vt:i4>
      </vt:variant>
      <vt:variant>
        <vt:i4>5</vt:i4>
      </vt:variant>
      <vt:variant>
        <vt:lpwstr/>
      </vt:variant>
      <vt:variant>
        <vt:lpwstr>_Toc121747117</vt:lpwstr>
      </vt:variant>
      <vt:variant>
        <vt:i4>1310773</vt:i4>
      </vt:variant>
      <vt:variant>
        <vt:i4>32</vt:i4>
      </vt:variant>
      <vt:variant>
        <vt:i4>0</vt:i4>
      </vt:variant>
      <vt:variant>
        <vt:i4>5</vt:i4>
      </vt:variant>
      <vt:variant>
        <vt:lpwstr/>
      </vt:variant>
      <vt:variant>
        <vt:lpwstr>_Toc121747116</vt:lpwstr>
      </vt:variant>
      <vt:variant>
        <vt:i4>1310773</vt:i4>
      </vt:variant>
      <vt:variant>
        <vt:i4>26</vt:i4>
      </vt:variant>
      <vt:variant>
        <vt:i4>0</vt:i4>
      </vt:variant>
      <vt:variant>
        <vt:i4>5</vt:i4>
      </vt:variant>
      <vt:variant>
        <vt:lpwstr/>
      </vt:variant>
      <vt:variant>
        <vt:lpwstr>_Toc121747115</vt:lpwstr>
      </vt:variant>
      <vt:variant>
        <vt:i4>1310773</vt:i4>
      </vt:variant>
      <vt:variant>
        <vt:i4>20</vt:i4>
      </vt:variant>
      <vt:variant>
        <vt:i4>0</vt:i4>
      </vt:variant>
      <vt:variant>
        <vt:i4>5</vt:i4>
      </vt:variant>
      <vt:variant>
        <vt:lpwstr/>
      </vt:variant>
      <vt:variant>
        <vt:lpwstr>_Toc121747114</vt:lpwstr>
      </vt:variant>
      <vt:variant>
        <vt:i4>1310773</vt:i4>
      </vt:variant>
      <vt:variant>
        <vt:i4>14</vt:i4>
      </vt:variant>
      <vt:variant>
        <vt:i4>0</vt:i4>
      </vt:variant>
      <vt:variant>
        <vt:i4>5</vt:i4>
      </vt:variant>
      <vt:variant>
        <vt:lpwstr/>
      </vt:variant>
      <vt:variant>
        <vt:lpwstr>_Toc121747113</vt:lpwstr>
      </vt:variant>
      <vt:variant>
        <vt:i4>1310773</vt:i4>
      </vt:variant>
      <vt:variant>
        <vt:i4>8</vt:i4>
      </vt:variant>
      <vt:variant>
        <vt:i4>0</vt:i4>
      </vt:variant>
      <vt:variant>
        <vt:i4>5</vt:i4>
      </vt:variant>
      <vt:variant>
        <vt:lpwstr/>
      </vt:variant>
      <vt:variant>
        <vt:lpwstr>_Toc121747112</vt:lpwstr>
      </vt:variant>
      <vt:variant>
        <vt:i4>1310773</vt:i4>
      </vt:variant>
      <vt:variant>
        <vt:i4>2</vt:i4>
      </vt:variant>
      <vt:variant>
        <vt:i4>0</vt:i4>
      </vt:variant>
      <vt:variant>
        <vt:i4>5</vt:i4>
      </vt:variant>
      <vt:variant>
        <vt:lpwstr/>
      </vt:variant>
      <vt:variant>
        <vt:lpwstr>_Toc121747111</vt:lpwstr>
      </vt:variant>
      <vt:variant>
        <vt:i4>2293855</vt:i4>
      </vt:variant>
      <vt:variant>
        <vt:i4>6</vt:i4>
      </vt:variant>
      <vt:variant>
        <vt:i4>0</vt:i4>
      </vt:variant>
      <vt:variant>
        <vt:i4>5</vt:i4>
      </vt:variant>
      <vt:variant>
        <vt:lpwstr>mailto:Daniel.McInnes@dpi.qld.gov.au</vt:lpwstr>
      </vt:variant>
      <vt:variant>
        <vt:lpwstr/>
      </vt:variant>
      <vt:variant>
        <vt:i4>2293855</vt:i4>
      </vt:variant>
      <vt:variant>
        <vt:i4>3</vt:i4>
      </vt:variant>
      <vt:variant>
        <vt:i4>0</vt:i4>
      </vt:variant>
      <vt:variant>
        <vt:i4>5</vt:i4>
      </vt:variant>
      <vt:variant>
        <vt:lpwstr>mailto:Daniel.McInnes@dpi.qld.gov.au</vt:lpwstr>
      </vt:variant>
      <vt:variant>
        <vt:lpwstr/>
      </vt:variant>
      <vt:variant>
        <vt:i4>3538994</vt:i4>
      </vt:variant>
      <vt:variant>
        <vt:i4>0</vt:i4>
      </vt:variant>
      <vt:variant>
        <vt:i4>0</vt:i4>
      </vt:variant>
      <vt:variant>
        <vt:i4>5</vt:i4>
      </vt:variant>
      <vt:variant>
        <vt:lpwstr>https://www.dcceew.gov.au/sites/default/files/documents/qld-line-fishery-gulf-of-carpentaria-pt-13-2024.pdf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mud crab fishery harvest strategy: 2021-2026</dc:title>
  <dc:subject>Harvest strategy for the Queensland mud crab fishery</dc:subject>
  <dc:creator>Queensland Government</dc:creator>
  <cp:keywords>mud crab fishery, harvest strategy, consultation</cp:keywords>
  <cp:lastModifiedBy>Madeleine Glacken</cp:lastModifiedBy>
  <cp:revision>31</cp:revision>
  <cp:lastPrinted>2019-10-27T02:45:00Z</cp:lastPrinted>
  <dcterms:created xsi:type="dcterms:W3CDTF">2025-07-29T03:13:00Z</dcterms:created>
  <dcterms:modified xsi:type="dcterms:W3CDTF">2025-08-04T23:17:00Z</dcterms:modified>
  <cp:category>Harvest Stratergy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0x01010052188879908733459EEAEB1342F9821D</vt:lpwstr>
  </property>
  <property fmtid="{D5CDD505-2E9C-101B-9397-08002B2CF9AE}" pid="3" name="eDOCS AutoSave">
    <vt:lpwstr/>
  </property>
  <property fmtid="{D5CDD505-2E9C-101B-9397-08002B2CF9AE}" pid="4" name="MediaServiceImageTags">
    <vt:lpwstr/>
  </property>
</Properties>
</file>