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792B7" w14:textId="56B1EB98" w:rsidR="00641C96" w:rsidRPr="00042BB1" w:rsidRDefault="00641C96" w:rsidP="00494C71">
      <w:pPr>
        <w:pStyle w:val="NoSpacing"/>
        <w:jc w:val="center"/>
        <w:rPr>
          <w:rStyle w:val="Strong"/>
        </w:rPr>
      </w:pPr>
      <w:bookmarkStart w:id="0" w:name="_Hlk34906845"/>
      <w:r w:rsidRPr="00042BB1">
        <w:rPr>
          <w:rStyle w:val="Strong"/>
        </w:rPr>
        <w:t>NORTH BEND DRY YEAR WATER SUPPLY/DEMAND ESTIMATION</w:t>
      </w:r>
      <w:r w:rsidR="00B851F9">
        <w:rPr>
          <w:rStyle w:val="Strong"/>
        </w:rPr>
        <w:t xml:space="preserve"> </w:t>
      </w:r>
    </w:p>
    <w:p w14:paraId="48245E68" w14:textId="77777777" w:rsidR="00F1583B" w:rsidRPr="00042BB1" w:rsidRDefault="00F1583B" w:rsidP="004D1799">
      <w:pPr>
        <w:pStyle w:val="NoSpacing"/>
        <w:rPr>
          <w:rStyle w:val="Strong"/>
        </w:rPr>
      </w:pPr>
    </w:p>
    <w:p w14:paraId="479514A1" w14:textId="3E243AFF" w:rsidR="005F2FE2" w:rsidRDefault="00641C96" w:rsidP="005F2FE2">
      <w:pPr>
        <w:ind w:hanging="180"/>
        <w:jc w:val="center"/>
      </w:pPr>
      <w:r w:rsidRPr="00042BB1">
        <w:t>PROJECTED NORTH BEND</w:t>
      </w:r>
      <w:r w:rsidR="00F1583B" w:rsidRPr="00042BB1">
        <w:t xml:space="preserve"> WATER DEMAND </w:t>
      </w:r>
      <w:r w:rsidRPr="00042BB1">
        <w:t>(PEAK MONTHS JULY-SEPTEMBER)</w:t>
      </w:r>
      <w:r w:rsidR="002E4550" w:rsidRPr="00042BB1">
        <w:t xml:space="preserve"> VS</w:t>
      </w:r>
      <w:r w:rsidR="00544FE6" w:rsidRPr="00042BB1">
        <w:t>.</w:t>
      </w:r>
      <w:r w:rsidR="002E4550" w:rsidRPr="00042BB1">
        <w:t xml:space="preserve"> WATER AVAILABILIT</w:t>
      </w:r>
      <w:bookmarkStart w:id="1" w:name="_Hlk34905813"/>
      <w:r w:rsidR="00494C71" w:rsidRPr="00042BB1">
        <w:t>Y</w:t>
      </w:r>
      <w:bookmarkStart w:id="2" w:name="_Hlk34905919"/>
    </w:p>
    <w:p w14:paraId="0EF82986" w14:textId="7B2F7AF0" w:rsidR="00BA72F4" w:rsidRPr="00042BB1" w:rsidRDefault="00BA72F4" w:rsidP="005F2FE2">
      <w:pPr>
        <w:ind w:hanging="180"/>
        <w:jc w:val="center"/>
      </w:pPr>
      <w:r w:rsidRPr="004D2445">
        <w:t>DEVELOPED BY THE FRIENDS OF THE SNOQUALMIE VALLEY TRAIL AND RIVER 4/4/2020</w:t>
      </w:r>
    </w:p>
    <w:p w14:paraId="2FC2DE9B" w14:textId="77777777" w:rsidR="00872710" w:rsidRPr="00042BB1" w:rsidRDefault="00872710" w:rsidP="005F2FE2">
      <w:pPr>
        <w:ind w:hanging="180"/>
        <w:jc w:val="center"/>
      </w:pPr>
    </w:p>
    <w:p w14:paraId="5FA2046C" w14:textId="20CF1A0A" w:rsidR="00007F4F" w:rsidRDefault="005B362F">
      <w:r>
        <w:t xml:space="preserve">The draft report </w:t>
      </w:r>
      <w:r w:rsidRPr="005B362F">
        <w:rPr>
          <w:i/>
        </w:rPr>
        <w:t>City of North Bend Water Supply and Mitigation Forecast</w:t>
      </w:r>
      <w:r>
        <w:t xml:space="preserve"> by Golder Associates (October 2019) does not include a scenario for evaluating </w:t>
      </w:r>
      <w:r w:rsidR="00007F4F">
        <w:t xml:space="preserve">mitigation </w:t>
      </w:r>
      <w:r w:rsidR="00661FB6">
        <w:t xml:space="preserve">adequacy </w:t>
      </w:r>
      <w:r w:rsidR="00007F4F">
        <w:t>using only</w:t>
      </w:r>
      <w:r>
        <w:t xml:space="preserve"> the cur</w:t>
      </w:r>
      <w:r w:rsidR="00007F4F">
        <w:t>rent mitigation sources available for</w:t>
      </w:r>
      <w:r>
        <w:t xml:space="preserve"> the City’</w:t>
      </w:r>
      <w:r w:rsidR="00007F4F">
        <w:t xml:space="preserve">s water supply.  All scenarios discussed in the report </w:t>
      </w:r>
      <w:r w:rsidR="00520B24" w:rsidRPr="00520B24">
        <w:t>(Table ES-1) inc</w:t>
      </w:r>
      <w:r w:rsidR="00520B24">
        <w:t>lude</w:t>
      </w:r>
      <w:r w:rsidR="00007F4F">
        <w:t xml:space="preserve"> </w:t>
      </w:r>
      <w:r w:rsidR="00F4649C">
        <w:t xml:space="preserve">theoretical </w:t>
      </w:r>
      <w:r w:rsidR="00007F4F">
        <w:t xml:space="preserve">mitigation from Sallal Wells and/or the Cascade Golf Course, which are currently not available for use. </w:t>
      </w:r>
    </w:p>
    <w:p w14:paraId="793A1D2B" w14:textId="6A43684F" w:rsidR="00007F4F" w:rsidRDefault="00007F4F">
      <w:r>
        <w:t xml:space="preserve">Without access to the database and the GoldSim model, it was not possible to determine adequacy of current </w:t>
      </w:r>
      <w:r w:rsidR="00661FB6">
        <w:t>available mitigation on an annual</w:t>
      </w:r>
      <w:r w:rsidR="001849FF">
        <w:t xml:space="preserve"> </w:t>
      </w:r>
      <w:r w:rsidR="00661FB6">
        <w:t>basis,</w:t>
      </w:r>
      <w:r>
        <w:t xml:space="preserve"> if there were a dry year such as 2015.  Thus the following table summarizes the analysis that was performed to determine if there would be adequate mitigation during the dry time of the year using the data from the draft Golder report.  This is a snapshot in time, but demonstrates whether </w:t>
      </w:r>
      <w:r w:rsidR="003A30D6">
        <w:t>adequate mitigation is</w:t>
      </w:r>
      <w:r>
        <w:t xml:space="preserve"> an issue.</w:t>
      </w:r>
    </w:p>
    <w:p w14:paraId="607A75AD" w14:textId="1E067331" w:rsidR="00872710" w:rsidRPr="004D2445" w:rsidRDefault="00331F48" w:rsidP="00B7159C">
      <w:pPr>
        <w:rPr>
          <w:b/>
        </w:rPr>
      </w:pPr>
      <w:r w:rsidRPr="00042BB1">
        <w:t>T</w:t>
      </w:r>
      <w:r w:rsidR="000F54E8" w:rsidRPr="00042BB1">
        <w:t xml:space="preserve">he following </w:t>
      </w:r>
      <w:r w:rsidR="00007F4F">
        <w:t>t</w:t>
      </w:r>
      <w:r w:rsidR="00EB03E2" w:rsidRPr="00042BB1">
        <w:t>able</w:t>
      </w:r>
      <w:r w:rsidR="000F54E8" w:rsidRPr="00042BB1">
        <w:t xml:space="preserve"> </w:t>
      </w:r>
      <w:r w:rsidR="006C57C0" w:rsidRPr="00042BB1">
        <w:t xml:space="preserve">summarizes </w:t>
      </w:r>
      <w:r w:rsidR="00661FB6">
        <w:t>this</w:t>
      </w:r>
      <w:r w:rsidR="00007F4F">
        <w:t xml:space="preserve"> analysis g</w:t>
      </w:r>
      <w:r w:rsidR="000F54E8" w:rsidRPr="00042BB1">
        <w:t>iven North Bend’s curre</w:t>
      </w:r>
      <w:r w:rsidR="00007F4F">
        <w:t xml:space="preserve">nt water and mitigation supply.  All three years </w:t>
      </w:r>
      <w:r w:rsidR="00F4649C">
        <w:t xml:space="preserve">selected </w:t>
      </w:r>
      <w:r w:rsidR="00007F4F">
        <w:t>(</w:t>
      </w:r>
      <w:r w:rsidR="000F54E8" w:rsidRPr="00042BB1">
        <w:t>2015, 2020 and 2025</w:t>
      </w:r>
      <w:r w:rsidR="00007F4F">
        <w:t xml:space="preserve">) </w:t>
      </w:r>
      <w:r w:rsidR="000F54E8" w:rsidRPr="00042BB1">
        <w:t>sho</w:t>
      </w:r>
      <w:r w:rsidR="00007F4F">
        <w:t xml:space="preserve">w insufficient mitigation water available </w:t>
      </w:r>
      <w:r w:rsidR="000F54E8" w:rsidRPr="00042BB1">
        <w:t>during peak demand months (July-September) given a dry weather year like 2015.</w:t>
      </w:r>
      <w:r w:rsidR="00EB03E2" w:rsidRPr="00042BB1">
        <w:t xml:space="preserve">  </w:t>
      </w:r>
      <w:r w:rsidR="00F4649C">
        <w:t xml:space="preserve">The table is followed by an explanation </w:t>
      </w:r>
      <w:r w:rsidR="00520B24">
        <w:t>and/or</w:t>
      </w:r>
      <w:r w:rsidR="00F4649C">
        <w:t xml:space="preserve"> source of the data.  </w:t>
      </w:r>
      <w:r w:rsidR="00F4649C" w:rsidRPr="004D2445">
        <w:rPr>
          <w:b/>
        </w:rPr>
        <w:t>The final column of the table shows negative values which</w:t>
      </w:r>
      <w:r w:rsidR="00661FB6" w:rsidRPr="004D2445">
        <w:rPr>
          <w:b/>
        </w:rPr>
        <w:t xml:space="preserve"> means</w:t>
      </w:r>
      <w:r w:rsidR="00F4649C" w:rsidRPr="004D2445">
        <w:rPr>
          <w:b/>
        </w:rPr>
        <w:t xml:space="preserve"> that for all three years there is insufficient mitigation supply for a dry year.</w:t>
      </w:r>
      <w:r w:rsidR="00401AB3" w:rsidRPr="004D2445">
        <w:rPr>
          <w:b/>
        </w:rPr>
        <w:t xml:space="preserve"> </w:t>
      </w:r>
      <w:bookmarkEnd w:id="1"/>
      <w:bookmarkEnd w:id="2"/>
    </w:p>
    <w:tbl>
      <w:tblPr>
        <w:tblpPr w:leftFromText="180" w:rightFromText="180" w:vertAnchor="text" w:horzAnchor="margin" w:tblpXSpec="center" w:tblpY="136"/>
        <w:tblW w:w="12052" w:type="dxa"/>
        <w:tblLook w:val="04A0" w:firstRow="1" w:lastRow="0" w:firstColumn="1" w:lastColumn="0" w:noHBand="0" w:noVBand="1"/>
      </w:tblPr>
      <w:tblGrid>
        <w:gridCol w:w="678"/>
        <w:gridCol w:w="1052"/>
        <w:gridCol w:w="1069"/>
        <w:gridCol w:w="1063"/>
        <w:gridCol w:w="1096"/>
        <w:gridCol w:w="988"/>
        <w:gridCol w:w="1339"/>
        <w:gridCol w:w="1387"/>
        <w:gridCol w:w="1357"/>
        <w:gridCol w:w="1239"/>
        <w:gridCol w:w="1052"/>
      </w:tblGrid>
      <w:tr w:rsidR="00494C71" w:rsidRPr="00042BB1" w14:paraId="425542F4" w14:textId="77777777" w:rsidTr="00494C71">
        <w:trPr>
          <w:trHeight w:val="315"/>
        </w:trPr>
        <w:tc>
          <w:tcPr>
            <w:tcW w:w="12052" w:type="dxa"/>
            <w:gridSpan w:val="11"/>
            <w:tcBorders>
              <w:top w:val="nil"/>
              <w:left w:val="nil"/>
              <w:bottom w:val="nil"/>
              <w:right w:val="nil"/>
            </w:tcBorders>
            <w:shd w:val="clear" w:color="auto" w:fill="auto"/>
            <w:noWrap/>
            <w:vAlign w:val="bottom"/>
            <w:hideMark/>
          </w:tcPr>
          <w:p w14:paraId="175566CB" w14:textId="6EA70E48" w:rsidR="00494C71" w:rsidRPr="00042BB1" w:rsidRDefault="00494C71" w:rsidP="007D0732">
            <w:pPr>
              <w:spacing w:after="0" w:line="240" w:lineRule="auto"/>
              <w:rPr>
                <w:rFonts w:eastAsia="Times New Roman" w:cs="Calibri"/>
                <w:b/>
                <w:bCs/>
                <w:color w:val="000000"/>
              </w:rPr>
            </w:pPr>
          </w:p>
        </w:tc>
      </w:tr>
      <w:tr w:rsidR="00494C71" w:rsidRPr="00042BB1" w14:paraId="4AC7B007" w14:textId="77777777" w:rsidTr="00F4649C">
        <w:trPr>
          <w:trHeight w:val="315"/>
        </w:trPr>
        <w:tc>
          <w:tcPr>
            <w:tcW w:w="678" w:type="dxa"/>
            <w:tcBorders>
              <w:top w:val="nil"/>
              <w:left w:val="nil"/>
              <w:bottom w:val="single" w:sz="12" w:space="0" w:color="auto"/>
              <w:right w:val="nil"/>
            </w:tcBorders>
            <w:shd w:val="clear" w:color="auto" w:fill="auto"/>
            <w:noWrap/>
            <w:vAlign w:val="bottom"/>
            <w:hideMark/>
          </w:tcPr>
          <w:p w14:paraId="5BF64FDF" w14:textId="77777777" w:rsidR="00494C71" w:rsidRPr="00F4649C" w:rsidRDefault="00494C71" w:rsidP="00494C71">
            <w:pPr>
              <w:spacing w:after="0" w:line="240" w:lineRule="auto"/>
              <w:jc w:val="center"/>
              <w:rPr>
                <w:rFonts w:eastAsia="Times New Roman" w:cs="Calibri"/>
                <w:b/>
                <w:bCs/>
                <w:color w:val="000000"/>
              </w:rPr>
            </w:pPr>
          </w:p>
        </w:tc>
        <w:tc>
          <w:tcPr>
            <w:tcW w:w="1052" w:type="dxa"/>
            <w:tcBorders>
              <w:top w:val="nil"/>
              <w:left w:val="nil"/>
              <w:bottom w:val="nil"/>
              <w:right w:val="nil"/>
            </w:tcBorders>
            <w:shd w:val="clear" w:color="auto" w:fill="auto"/>
            <w:noWrap/>
            <w:vAlign w:val="bottom"/>
            <w:hideMark/>
          </w:tcPr>
          <w:p w14:paraId="136317EC" w14:textId="77777777" w:rsidR="00494C71" w:rsidRPr="00042BB1" w:rsidRDefault="00494C71" w:rsidP="00494C71">
            <w:pPr>
              <w:spacing w:after="0" w:line="240" w:lineRule="auto"/>
              <w:rPr>
                <w:rFonts w:ascii="Times New Roman" w:eastAsia="Times New Roman" w:hAnsi="Times New Roman"/>
              </w:rPr>
            </w:pPr>
          </w:p>
        </w:tc>
        <w:tc>
          <w:tcPr>
            <w:tcW w:w="1069" w:type="dxa"/>
            <w:tcBorders>
              <w:top w:val="nil"/>
              <w:left w:val="nil"/>
              <w:bottom w:val="nil"/>
              <w:right w:val="nil"/>
            </w:tcBorders>
            <w:shd w:val="clear" w:color="auto" w:fill="auto"/>
            <w:noWrap/>
            <w:vAlign w:val="bottom"/>
            <w:hideMark/>
          </w:tcPr>
          <w:p w14:paraId="5B998084" w14:textId="77777777" w:rsidR="00494C71" w:rsidRPr="00042BB1" w:rsidRDefault="00494C71" w:rsidP="00494C71">
            <w:pPr>
              <w:spacing w:after="0" w:line="240" w:lineRule="auto"/>
              <w:rPr>
                <w:rFonts w:ascii="Times New Roman" w:eastAsia="Times New Roman" w:hAnsi="Times New Roman"/>
              </w:rPr>
            </w:pPr>
          </w:p>
        </w:tc>
        <w:tc>
          <w:tcPr>
            <w:tcW w:w="1063" w:type="dxa"/>
            <w:tcBorders>
              <w:top w:val="nil"/>
              <w:left w:val="nil"/>
              <w:bottom w:val="nil"/>
              <w:right w:val="nil"/>
            </w:tcBorders>
            <w:shd w:val="clear" w:color="auto" w:fill="auto"/>
            <w:noWrap/>
            <w:vAlign w:val="bottom"/>
            <w:hideMark/>
          </w:tcPr>
          <w:p w14:paraId="2AE4223E" w14:textId="77777777" w:rsidR="00494C71" w:rsidRPr="00042BB1" w:rsidRDefault="00494C71" w:rsidP="00494C71">
            <w:pPr>
              <w:spacing w:after="0" w:line="240" w:lineRule="auto"/>
              <w:rPr>
                <w:rFonts w:ascii="Times New Roman" w:eastAsia="Times New Roman" w:hAnsi="Times New Roman"/>
              </w:rPr>
            </w:pPr>
          </w:p>
        </w:tc>
        <w:tc>
          <w:tcPr>
            <w:tcW w:w="1096" w:type="dxa"/>
            <w:tcBorders>
              <w:top w:val="nil"/>
              <w:left w:val="nil"/>
              <w:bottom w:val="nil"/>
              <w:right w:val="nil"/>
            </w:tcBorders>
            <w:shd w:val="clear" w:color="auto" w:fill="auto"/>
            <w:noWrap/>
            <w:vAlign w:val="bottom"/>
            <w:hideMark/>
          </w:tcPr>
          <w:p w14:paraId="0D0279A5" w14:textId="77777777" w:rsidR="00494C71" w:rsidRPr="00042BB1" w:rsidRDefault="00494C71" w:rsidP="00494C71">
            <w:pPr>
              <w:spacing w:after="0" w:line="240" w:lineRule="auto"/>
              <w:rPr>
                <w:rFonts w:ascii="Times New Roman" w:eastAsia="Times New Roman" w:hAnsi="Times New Roman"/>
              </w:rPr>
            </w:pPr>
          </w:p>
        </w:tc>
        <w:tc>
          <w:tcPr>
            <w:tcW w:w="988" w:type="dxa"/>
            <w:tcBorders>
              <w:top w:val="nil"/>
              <w:left w:val="nil"/>
              <w:bottom w:val="nil"/>
              <w:right w:val="nil"/>
            </w:tcBorders>
            <w:shd w:val="clear" w:color="auto" w:fill="auto"/>
            <w:noWrap/>
            <w:vAlign w:val="bottom"/>
            <w:hideMark/>
          </w:tcPr>
          <w:p w14:paraId="33016F9B" w14:textId="77777777" w:rsidR="00494C71" w:rsidRPr="00042BB1" w:rsidRDefault="00494C71" w:rsidP="00494C71">
            <w:pPr>
              <w:spacing w:after="0" w:line="240" w:lineRule="auto"/>
              <w:rPr>
                <w:rFonts w:ascii="Times New Roman" w:eastAsia="Times New Roman" w:hAnsi="Times New Roman"/>
              </w:rPr>
            </w:pPr>
          </w:p>
        </w:tc>
        <w:tc>
          <w:tcPr>
            <w:tcW w:w="1339" w:type="dxa"/>
            <w:tcBorders>
              <w:top w:val="nil"/>
              <w:left w:val="nil"/>
              <w:bottom w:val="nil"/>
              <w:right w:val="nil"/>
            </w:tcBorders>
            <w:shd w:val="clear" w:color="auto" w:fill="auto"/>
            <w:noWrap/>
            <w:vAlign w:val="bottom"/>
            <w:hideMark/>
          </w:tcPr>
          <w:p w14:paraId="59235DC8" w14:textId="77777777" w:rsidR="00494C71" w:rsidRPr="00042BB1" w:rsidRDefault="00494C71" w:rsidP="00494C71">
            <w:pPr>
              <w:spacing w:after="0" w:line="240" w:lineRule="auto"/>
              <w:rPr>
                <w:rFonts w:ascii="Times New Roman" w:eastAsia="Times New Roman" w:hAnsi="Times New Roman"/>
              </w:rPr>
            </w:pPr>
          </w:p>
        </w:tc>
        <w:tc>
          <w:tcPr>
            <w:tcW w:w="1387" w:type="dxa"/>
            <w:tcBorders>
              <w:top w:val="nil"/>
              <w:left w:val="nil"/>
              <w:bottom w:val="nil"/>
              <w:right w:val="nil"/>
            </w:tcBorders>
            <w:shd w:val="clear" w:color="auto" w:fill="auto"/>
            <w:noWrap/>
            <w:vAlign w:val="bottom"/>
            <w:hideMark/>
          </w:tcPr>
          <w:p w14:paraId="3CD19EA5" w14:textId="77777777" w:rsidR="00494C71" w:rsidRPr="00042BB1" w:rsidRDefault="00494C71" w:rsidP="00494C71">
            <w:pPr>
              <w:spacing w:after="0" w:line="240" w:lineRule="auto"/>
              <w:rPr>
                <w:rFonts w:ascii="Times New Roman" w:eastAsia="Times New Roman" w:hAnsi="Times New Roman"/>
              </w:rPr>
            </w:pPr>
          </w:p>
        </w:tc>
        <w:tc>
          <w:tcPr>
            <w:tcW w:w="1357" w:type="dxa"/>
            <w:tcBorders>
              <w:top w:val="nil"/>
              <w:left w:val="nil"/>
              <w:bottom w:val="nil"/>
              <w:right w:val="nil"/>
            </w:tcBorders>
            <w:shd w:val="clear" w:color="auto" w:fill="auto"/>
            <w:noWrap/>
            <w:vAlign w:val="bottom"/>
            <w:hideMark/>
          </w:tcPr>
          <w:p w14:paraId="50BFE360" w14:textId="77777777" w:rsidR="00494C71" w:rsidRPr="00042BB1" w:rsidRDefault="00494C71" w:rsidP="00494C71">
            <w:pPr>
              <w:spacing w:after="0" w:line="240" w:lineRule="auto"/>
              <w:rPr>
                <w:rFonts w:ascii="Times New Roman" w:eastAsia="Times New Roman" w:hAnsi="Times New Roman"/>
              </w:rPr>
            </w:pPr>
          </w:p>
        </w:tc>
        <w:tc>
          <w:tcPr>
            <w:tcW w:w="971" w:type="dxa"/>
            <w:tcBorders>
              <w:top w:val="nil"/>
              <w:left w:val="nil"/>
              <w:bottom w:val="nil"/>
              <w:right w:val="nil"/>
            </w:tcBorders>
            <w:shd w:val="clear" w:color="auto" w:fill="auto"/>
            <w:noWrap/>
            <w:vAlign w:val="bottom"/>
            <w:hideMark/>
          </w:tcPr>
          <w:p w14:paraId="6C82C5FE" w14:textId="77777777" w:rsidR="00494C71" w:rsidRPr="00042BB1" w:rsidRDefault="00494C71" w:rsidP="00494C71">
            <w:pPr>
              <w:spacing w:after="0" w:line="240" w:lineRule="auto"/>
              <w:rPr>
                <w:rFonts w:ascii="Times New Roman" w:eastAsia="Times New Roman" w:hAnsi="Times New Roman"/>
              </w:rPr>
            </w:pPr>
          </w:p>
        </w:tc>
        <w:tc>
          <w:tcPr>
            <w:tcW w:w="1052" w:type="dxa"/>
            <w:tcBorders>
              <w:top w:val="nil"/>
              <w:left w:val="nil"/>
              <w:bottom w:val="nil"/>
              <w:right w:val="nil"/>
            </w:tcBorders>
            <w:shd w:val="clear" w:color="auto" w:fill="auto"/>
            <w:noWrap/>
            <w:vAlign w:val="bottom"/>
            <w:hideMark/>
          </w:tcPr>
          <w:p w14:paraId="6FF2A598" w14:textId="77777777" w:rsidR="00494C71" w:rsidRPr="00042BB1" w:rsidRDefault="00494C71" w:rsidP="00494C71">
            <w:pPr>
              <w:spacing w:after="0" w:line="240" w:lineRule="auto"/>
              <w:rPr>
                <w:rFonts w:ascii="Times New Roman" w:eastAsia="Times New Roman" w:hAnsi="Times New Roman"/>
              </w:rPr>
            </w:pPr>
          </w:p>
        </w:tc>
      </w:tr>
      <w:tr w:rsidR="00494C71" w:rsidRPr="00042BB1" w14:paraId="62FF72B5" w14:textId="77777777" w:rsidTr="002D7395">
        <w:trPr>
          <w:trHeight w:val="360"/>
        </w:trPr>
        <w:tc>
          <w:tcPr>
            <w:tcW w:w="678" w:type="dxa"/>
            <w:vMerge w:val="restart"/>
            <w:tcBorders>
              <w:top w:val="single" w:sz="12" w:space="0" w:color="auto"/>
              <w:left w:val="single" w:sz="12" w:space="0" w:color="auto"/>
              <w:bottom w:val="nil"/>
              <w:right w:val="nil"/>
            </w:tcBorders>
            <w:shd w:val="clear" w:color="auto" w:fill="auto"/>
            <w:noWrap/>
            <w:vAlign w:val="center"/>
            <w:hideMark/>
          </w:tcPr>
          <w:p w14:paraId="69B8E777"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YEAR</w:t>
            </w:r>
          </w:p>
        </w:tc>
        <w:tc>
          <w:tcPr>
            <w:tcW w:w="4280" w:type="dxa"/>
            <w:gridSpan w:val="4"/>
            <w:tcBorders>
              <w:top w:val="single" w:sz="12" w:space="0" w:color="auto"/>
              <w:left w:val="single" w:sz="8" w:space="0" w:color="auto"/>
              <w:bottom w:val="single" w:sz="8" w:space="0" w:color="auto"/>
              <w:right w:val="single" w:sz="8" w:space="0" w:color="000000"/>
            </w:tcBorders>
            <w:shd w:val="clear" w:color="auto" w:fill="F2DBDB" w:themeFill="accent2" w:themeFillTint="33"/>
            <w:noWrap/>
            <w:vAlign w:val="bottom"/>
            <w:hideMark/>
          </w:tcPr>
          <w:p w14:paraId="7594A1C9"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CITY WATER DEMAND (WSA)</w:t>
            </w:r>
          </w:p>
        </w:tc>
        <w:tc>
          <w:tcPr>
            <w:tcW w:w="6042" w:type="dxa"/>
            <w:gridSpan w:val="5"/>
            <w:tcBorders>
              <w:top w:val="single" w:sz="12" w:space="0" w:color="auto"/>
              <w:left w:val="nil"/>
              <w:bottom w:val="single" w:sz="8" w:space="0" w:color="auto"/>
              <w:right w:val="single" w:sz="8" w:space="0" w:color="000000"/>
            </w:tcBorders>
            <w:shd w:val="clear" w:color="auto" w:fill="DAEEF3" w:themeFill="accent5" w:themeFillTint="33"/>
            <w:noWrap/>
            <w:hideMark/>
          </w:tcPr>
          <w:p w14:paraId="620F88E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CITY WATER SUPPLY</w:t>
            </w:r>
          </w:p>
        </w:tc>
        <w:tc>
          <w:tcPr>
            <w:tcW w:w="1052" w:type="dxa"/>
            <w:vMerge w:val="restart"/>
            <w:tcBorders>
              <w:top w:val="single" w:sz="12" w:space="0" w:color="auto"/>
              <w:left w:val="nil"/>
              <w:bottom w:val="nil"/>
              <w:right w:val="single" w:sz="12" w:space="0" w:color="auto"/>
            </w:tcBorders>
            <w:shd w:val="clear" w:color="auto" w:fill="auto"/>
            <w:vAlign w:val="center"/>
            <w:hideMark/>
          </w:tcPr>
          <w:p w14:paraId="16331FE7" w14:textId="77777777" w:rsidR="00494C71" w:rsidRDefault="00494C71" w:rsidP="00494C71">
            <w:pPr>
              <w:spacing w:after="0" w:line="240" w:lineRule="auto"/>
              <w:jc w:val="center"/>
              <w:rPr>
                <w:rFonts w:eastAsia="Times New Roman" w:cs="Calibri"/>
                <w:color w:val="000000"/>
              </w:rPr>
            </w:pPr>
            <w:r w:rsidRPr="00042BB1">
              <w:rPr>
                <w:rFonts w:eastAsia="Times New Roman" w:cs="Calibri"/>
                <w:color w:val="000000"/>
              </w:rPr>
              <w:t>10            SUPPLY VERSUS DEMAND</w:t>
            </w:r>
          </w:p>
          <w:p w14:paraId="090369D3" w14:textId="425B9871" w:rsidR="00F4649C" w:rsidRPr="00042BB1" w:rsidRDefault="00F4649C" w:rsidP="00494C71">
            <w:pPr>
              <w:spacing w:after="0" w:line="240" w:lineRule="auto"/>
              <w:jc w:val="center"/>
              <w:rPr>
                <w:rFonts w:eastAsia="Times New Roman" w:cs="Calibri"/>
                <w:color w:val="000000"/>
              </w:rPr>
            </w:pPr>
            <w:r>
              <w:rPr>
                <w:rFonts w:eastAsia="Times New Roman" w:cs="Calibri"/>
                <w:color w:val="000000"/>
              </w:rPr>
              <w:t>(CFS)</w:t>
            </w:r>
          </w:p>
        </w:tc>
      </w:tr>
      <w:tr w:rsidR="00494C71" w:rsidRPr="00042BB1" w14:paraId="53A408B1" w14:textId="77777777" w:rsidTr="002D7395">
        <w:trPr>
          <w:trHeight w:val="1545"/>
        </w:trPr>
        <w:tc>
          <w:tcPr>
            <w:tcW w:w="678" w:type="dxa"/>
            <w:vMerge/>
            <w:tcBorders>
              <w:top w:val="single" w:sz="12" w:space="0" w:color="auto"/>
              <w:left w:val="single" w:sz="12" w:space="0" w:color="auto"/>
              <w:bottom w:val="nil"/>
              <w:right w:val="nil"/>
            </w:tcBorders>
            <w:vAlign w:val="center"/>
            <w:hideMark/>
          </w:tcPr>
          <w:p w14:paraId="7CE06649" w14:textId="77777777" w:rsidR="00494C71" w:rsidRPr="00042BB1" w:rsidRDefault="00494C71" w:rsidP="00494C71">
            <w:pPr>
              <w:spacing w:after="0" w:line="240" w:lineRule="auto"/>
              <w:rPr>
                <w:rFonts w:eastAsia="Times New Roman" w:cs="Calibri"/>
                <w:color w:val="000000"/>
              </w:rPr>
            </w:pPr>
          </w:p>
        </w:tc>
        <w:tc>
          <w:tcPr>
            <w:tcW w:w="1052" w:type="dxa"/>
            <w:tcBorders>
              <w:top w:val="nil"/>
              <w:left w:val="single" w:sz="8" w:space="0" w:color="auto"/>
              <w:bottom w:val="single" w:sz="4" w:space="0" w:color="auto"/>
              <w:right w:val="single" w:sz="4" w:space="0" w:color="auto"/>
            </w:tcBorders>
            <w:shd w:val="clear" w:color="auto" w:fill="F2DBDB" w:themeFill="accent2" w:themeFillTint="33"/>
            <w:hideMark/>
          </w:tcPr>
          <w:p w14:paraId="47C10B3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  DEMAND (MGY)</w:t>
            </w:r>
          </w:p>
        </w:tc>
        <w:tc>
          <w:tcPr>
            <w:tcW w:w="1069" w:type="dxa"/>
            <w:tcBorders>
              <w:top w:val="nil"/>
              <w:left w:val="nil"/>
              <w:bottom w:val="single" w:sz="4" w:space="0" w:color="auto"/>
              <w:right w:val="single" w:sz="4" w:space="0" w:color="auto"/>
            </w:tcBorders>
            <w:shd w:val="clear" w:color="auto" w:fill="F2DBDB" w:themeFill="accent2" w:themeFillTint="33"/>
            <w:hideMark/>
          </w:tcPr>
          <w:p w14:paraId="37EC08D6" w14:textId="77777777" w:rsidR="00F4649C" w:rsidRDefault="00494C71" w:rsidP="00494C71">
            <w:pPr>
              <w:spacing w:after="0" w:line="240" w:lineRule="auto"/>
              <w:jc w:val="center"/>
              <w:rPr>
                <w:rFonts w:eastAsia="Times New Roman" w:cs="Calibri"/>
                <w:color w:val="000000"/>
              </w:rPr>
            </w:pPr>
            <w:r w:rsidRPr="00042BB1">
              <w:rPr>
                <w:rFonts w:eastAsia="Times New Roman" w:cs="Calibri"/>
                <w:color w:val="000000"/>
              </w:rPr>
              <w:t>2  AVERAGE</w:t>
            </w:r>
          </w:p>
          <w:p w14:paraId="53D8DB6E" w14:textId="45D620B8" w:rsidR="00494C71" w:rsidRPr="00042BB1" w:rsidRDefault="00F4649C" w:rsidP="00494C71">
            <w:pPr>
              <w:spacing w:after="0" w:line="240" w:lineRule="auto"/>
              <w:jc w:val="center"/>
              <w:rPr>
                <w:rFonts w:eastAsia="Times New Roman" w:cs="Calibri"/>
                <w:color w:val="000000"/>
              </w:rPr>
            </w:pPr>
            <w:r>
              <w:rPr>
                <w:rFonts w:eastAsia="Times New Roman" w:cs="Calibri"/>
                <w:color w:val="000000"/>
              </w:rPr>
              <w:t>DAILY</w:t>
            </w:r>
            <w:r w:rsidR="00494C71" w:rsidRPr="00042BB1">
              <w:rPr>
                <w:rFonts w:eastAsia="Times New Roman" w:cs="Calibri"/>
                <w:color w:val="000000"/>
              </w:rPr>
              <w:t xml:space="preserve"> DEMAND (MGD)</w:t>
            </w:r>
          </w:p>
        </w:tc>
        <w:tc>
          <w:tcPr>
            <w:tcW w:w="1063" w:type="dxa"/>
            <w:tcBorders>
              <w:top w:val="nil"/>
              <w:left w:val="nil"/>
              <w:bottom w:val="single" w:sz="4" w:space="0" w:color="auto"/>
              <w:right w:val="single" w:sz="4" w:space="0" w:color="auto"/>
            </w:tcBorders>
            <w:shd w:val="clear" w:color="auto" w:fill="F2DBDB" w:themeFill="accent2" w:themeFillTint="33"/>
            <w:hideMark/>
          </w:tcPr>
          <w:p w14:paraId="4166F49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3                   PEAK DAY DEMAND (MG)</w:t>
            </w:r>
          </w:p>
        </w:tc>
        <w:tc>
          <w:tcPr>
            <w:tcW w:w="1096" w:type="dxa"/>
            <w:tcBorders>
              <w:top w:val="nil"/>
              <w:left w:val="nil"/>
              <w:bottom w:val="single" w:sz="4" w:space="0" w:color="auto"/>
              <w:right w:val="single" w:sz="8" w:space="0" w:color="auto"/>
            </w:tcBorders>
            <w:shd w:val="clear" w:color="auto" w:fill="F2DBDB" w:themeFill="accent2" w:themeFillTint="33"/>
            <w:hideMark/>
          </w:tcPr>
          <w:p w14:paraId="25C2E2D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4                PEAK DAY DEMAND (CFS)</w:t>
            </w:r>
          </w:p>
        </w:tc>
        <w:tc>
          <w:tcPr>
            <w:tcW w:w="988" w:type="dxa"/>
            <w:tcBorders>
              <w:top w:val="nil"/>
              <w:left w:val="nil"/>
              <w:bottom w:val="single" w:sz="4" w:space="0" w:color="auto"/>
              <w:right w:val="single" w:sz="4" w:space="0" w:color="auto"/>
            </w:tcBorders>
            <w:shd w:val="clear" w:color="auto" w:fill="DAEEF3" w:themeFill="accent5" w:themeFillTint="33"/>
            <w:hideMark/>
          </w:tcPr>
          <w:p w14:paraId="4085D1C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5               Mt SI SPRINGS (CFS)</w:t>
            </w:r>
          </w:p>
        </w:tc>
        <w:tc>
          <w:tcPr>
            <w:tcW w:w="1339" w:type="dxa"/>
            <w:tcBorders>
              <w:top w:val="nil"/>
              <w:left w:val="nil"/>
              <w:bottom w:val="single" w:sz="4" w:space="0" w:color="auto"/>
              <w:right w:val="single" w:sz="4" w:space="0" w:color="auto"/>
            </w:tcBorders>
            <w:shd w:val="clear" w:color="auto" w:fill="DAEEF3" w:themeFill="accent5" w:themeFillTint="33"/>
            <w:hideMark/>
          </w:tcPr>
          <w:p w14:paraId="68CCF66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6                      HOBO SPRINGS MITIGATION (CFS)</w:t>
            </w:r>
          </w:p>
        </w:tc>
        <w:tc>
          <w:tcPr>
            <w:tcW w:w="1387" w:type="dxa"/>
            <w:tcBorders>
              <w:top w:val="nil"/>
              <w:left w:val="nil"/>
              <w:bottom w:val="single" w:sz="4" w:space="0" w:color="auto"/>
              <w:right w:val="single" w:sz="4" w:space="0" w:color="auto"/>
            </w:tcBorders>
            <w:shd w:val="clear" w:color="auto" w:fill="DAEEF3" w:themeFill="accent5" w:themeFillTint="33"/>
            <w:hideMark/>
          </w:tcPr>
          <w:p w14:paraId="1A1517E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7                    WWTP MITIGATION (CFS)</w:t>
            </w:r>
          </w:p>
        </w:tc>
        <w:tc>
          <w:tcPr>
            <w:tcW w:w="1357" w:type="dxa"/>
            <w:tcBorders>
              <w:top w:val="nil"/>
              <w:left w:val="nil"/>
              <w:bottom w:val="single" w:sz="4" w:space="0" w:color="auto"/>
              <w:right w:val="single" w:sz="4" w:space="0" w:color="auto"/>
            </w:tcBorders>
            <w:shd w:val="clear" w:color="auto" w:fill="DAEEF3" w:themeFill="accent5" w:themeFillTint="33"/>
            <w:hideMark/>
          </w:tcPr>
          <w:p w14:paraId="53ADE7A0" w14:textId="77777777" w:rsidR="00442C2A" w:rsidRDefault="00494C71" w:rsidP="00494C71">
            <w:pPr>
              <w:spacing w:after="0" w:line="240" w:lineRule="auto"/>
              <w:jc w:val="center"/>
              <w:rPr>
                <w:rFonts w:eastAsia="Times New Roman" w:cs="Calibri"/>
                <w:color w:val="000000"/>
              </w:rPr>
            </w:pPr>
            <w:r w:rsidRPr="00042BB1">
              <w:rPr>
                <w:rFonts w:eastAsia="Times New Roman" w:cs="Calibri"/>
                <w:color w:val="000000"/>
              </w:rPr>
              <w:t>8   CENTENNIAL</w:t>
            </w:r>
          </w:p>
          <w:p w14:paraId="3643780D" w14:textId="62D6AEEA" w:rsidR="00494C71" w:rsidRPr="00042BB1" w:rsidRDefault="00442C2A" w:rsidP="00494C71">
            <w:pPr>
              <w:spacing w:after="0" w:line="240" w:lineRule="auto"/>
              <w:jc w:val="center"/>
              <w:rPr>
                <w:rFonts w:eastAsia="Times New Roman" w:cs="Calibri"/>
                <w:color w:val="000000"/>
              </w:rPr>
            </w:pPr>
            <w:r>
              <w:rPr>
                <w:rFonts w:eastAsia="Times New Roman" w:cs="Calibri"/>
                <w:color w:val="000000"/>
              </w:rPr>
              <w:t>MITIGATED</w:t>
            </w:r>
            <w:r w:rsidR="00494C71" w:rsidRPr="00042BB1">
              <w:rPr>
                <w:rFonts w:eastAsia="Times New Roman" w:cs="Calibri"/>
                <w:color w:val="000000"/>
              </w:rPr>
              <w:t xml:space="preserve"> DRAW       (CFS)</w:t>
            </w:r>
          </w:p>
        </w:tc>
        <w:tc>
          <w:tcPr>
            <w:tcW w:w="971" w:type="dxa"/>
            <w:tcBorders>
              <w:top w:val="nil"/>
              <w:left w:val="nil"/>
              <w:bottom w:val="single" w:sz="4" w:space="0" w:color="auto"/>
              <w:right w:val="single" w:sz="8" w:space="0" w:color="auto"/>
            </w:tcBorders>
            <w:shd w:val="clear" w:color="auto" w:fill="DAEEF3" w:themeFill="accent5" w:themeFillTint="33"/>
            <w:hideMark/>
          </w:tcPr>
          <w:p w14:paraId="556150DB" w14:textId="4C70C443"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xml:space="preserve">9                 TOTAL </w:t>
            </w:r>
            <w:r w:rsidR="00442C2A">
              <w:rPr>
                <w:rFonts w:eastAsia="Times New Roman" w:cs="Calibri"/>
                <w:color w:val="000000"/>
              </w:rPr>
              <w:t xml:space="preserve">MITIGATED </w:t>
            </w:r>
            <w:r w:rsidRPr="00042BB1">
              <w:rPr>
                <w:rFonts w:eastAsia="Times New Roman" w:cs="Calibri"/>
                <w:color w:val="000000"/>
              </w:rPr>
              <w:t>SUPPLY (CFS)</w:t>
            </w:r>
          </w:p>
        </w:tc>
        <w:tc>
          <w:tcPr>
            <w:tcW w:w="1052" w:type="dxa"/>
            <w:vMerge/>
            <w:tcBorders>
              <w:top w:val="single" w:sz="12" w:space="0" w:color="auto"/>
              <w:left w:val="nil"/>
              <w:bottom w:val="nil"/>
              <w:right w:val="single" w:sz="12" w:space="0" w:color="auto"/>
            </w:tcBorders>
            <w:vAlign w:val="center"/>
            <w:hideMark/>
          </w:tcPr>
          <w:p w14:paraId="1167BC00" w14:textId="77777777" w:rsidR="00494C71" w:rsidRPr="00042BB1" w:rsidRDefault="00494C71" w:rsidP="00494C71">
            <w:pPr>
              <w:spacing w:after="0" w:line="240" w:lineRule="auto"/>
              <w:rPr>
                <w:rFonts w:eastAsia="Times New Roman" w:cs="Calibri"/>
                <w:color w:val="000000"/>
              </w:rPr>
            </w:pPr>
          </w:p>
        </w:tc>
      </w:tr>
      <w:tr w:rsidR="00494C71" w:rsidRPr="00042BB1" w14:paraId="63103D14" w14:textId="77777777" w:rsidTr="002D7395">
        <w:trPr>
          <w:trHeight w:val="120"/>
        </w:trPr>
        <w:tc>
          <w:tcPr>
            <w:tcW w:w="678"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14:paraId="56EE4D16"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52" w:type="dxa"/>
            <w:tcBorders>
              <w:top w:val="nil"/>
              <w:left w:val="nil"/>
              <w:bottom w:val="single" w:sz="4" w:space="0" w:color="auto"/>
              <w:right w:val="nil"/>
            </w:tcBorders>
            <w:shd w:val="clear" w:color="auto" w:fill="F2DBDB" w:themeFill="accent2" w:themeFillTint="33"/>
            <w:noWrap/>
            <w:vAlign w:val="bottom"/>
            <w:hideMark/>
          </w:tcPr>
          <w:p w14:paraId="0F101638"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69" w:type="dxa"/>
            <w:tcBorders>
              <w:top w:val="nil"/>
              <w:left w:val="nil"/>
              <w:bottom w:val="single" w:sz="4" w:space="0" w:color="auto"/>
              <w:right w:val="nil"/>
            </w:tcBorders>
            <w:shd w:val="clear" w:color="auto" w:fill="F2DBDB" w:themeFill="accent2" w:themeFillTint="33"/>
            <w:noWrap/>
            <w:vAlign w:val="bottom"/>
            <w:hideMark/>
          </w:tcPr>
          <w:p w14:paraId="773111EC"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63" w:type="dxa"/>
            <w:tcBorders>
              <w:top w:val="nil"/>
              <w:left w:val="nil"/>
              <w:bottom w:val="single" w:sz="4" w:space="0" w:color="auto"/>
              <w:right w:val="nil"/>
            </w:tcBorders>
            <w:shd w:val="clear" w:color="auto" w:fill="F2DBDB" w:themeFill="accent2" w:themeFillTint="33"/>
            <w:noWrap/>
            <w:vAlign w:val="bottom"/>
            <w:hideMark/>
          </w:tcPr>
          <w:p w14:paraId="308971B0"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23DB3698"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988" w:type="dxa"/>
            <w:tcBorders>
              <w:top w:val="nil"/>
              <w:left w:val="nil"/>
              <w:bottom w:val="single" w:sz="4" w:space="0" w:color="auto"/>
              <w:right w:val="nil"/>
            </w:tcBorders>
            <w:shd w:val="clear" w:color="auto" w:fill="DAEEF3" w:themeFill="accent5" w:themeFillTint="33"/>
            <w:noWrap/>
            <w:vAlign w:val="bottom"/>
            <w:hideMark/>
          </w:tcPr>
          <w:p w14:paraId="2BCA2DE7"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39" w:type="dxa"/>
            <w:tcBorders>
              <w:top w:val="nil"/>
              <w:left w:val="nil"/>
              <w:bottom w:val="single" w:sz="4" w:space="0" w:color="auto"/>
              <w:right w:val="nil"/>
            </w:tcBorders>
            <w:shd w:val="clear" w:color="auto" w:fill="DAEEF3" w:themeFill="accent5" w:themeFillTint="33"/>
            <w:noWrap/>
            <w:vAlign w:val="bottom"/>
            <w:hideMark/>
          </w:tcPr>
          <w:p w14:paraId="064FB1BE"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87" w:type="dxa"/>
            <w:tcBorders>
              <w:top w:val="nil"/>
              <w:left w:val="nil"/>
              <w:bottom w:val="single" w:sz="4" w:space="0" w:color="auto"/>
              <w:right w:val="nil"/>
            </w:tcBorders>
            <w:shd w:val="clear" w:color="auto" w:fill="DAEEF3" w:themeFill="accent5" w:themeFillTint="33"/>
            <w:noWrap/>
            <w:vAlign w:val="bottom"/>
            <w:hideMark/>
          </w:tcPr>
          <w:p w14:paraId="3A6269B1"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57" w:type="dxa"/>
            <w:tcBorders>
              <w:top w:val="nil"/>
              <w:left w:val="nil"/>
              <w:bottom w:val="single" w:sz="4" w:space="0" w:color="auto"/>
              <w:right w:val="nil"/>
            </w:tcBorders>
            <w:shd w:val="clear" w:color="auto" w:fill="DAEEF3" w:themeFill="accent5" w:themeFillTint="33"/>
            <w:noWrap/>
            <w:vAlign w:val="bottom"/>
            <w:hideMark/>
          </w:tcPr>
          <w:p w14:paraId="6C7D7075"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23502B72"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52" w:type="dxa"/>
            <w:tcBorders>
              <w:top w:val="single" w:sz="4" w:space="0" w:color="auto"/>
              <w:left w:val="nil"/>
              <w:bottom w:val="single" w:sz="4" w:space="0" w:color="auto"/>
              <w:right w:val="single" w:sz="12" w:space="0" w:color="auto"/>
            </w:tcBorders>
            <w:shd w:val="clear" w:color="auto" w:fill="auto"/>
            <w:noWrap/>
            <w:vAlign w:val="bottom"/>
            <w:hideMark/>
          </w:tcPr>
          <w:p w14:paraId="559F8077"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r>
      <w:tr w:rsidR="00494C71" w:rsidRPr="00042BB1" w14:paraId="6C40EF4D"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01041F0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16272590"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76D8CCDE"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763857E5"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6A90DC5B"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52628C1D"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29A6147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636B201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1FBA3765"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45EBE3E6"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52" w:type="dxa"/>
            <w:tcBorders>
              <w:top w:val="nil"/>
              <w:left w:val="nil"/>
              <w:bottom w:val="single" w:sz="4" w:space="0" w:color="auto"/>
              <w:right w:val="single" w:sz="12" w:space="0" w:color="auto"/>
            </w:tcBorders>
            <w:shd w:val="clear" w:color="auto" w:fill="auto"/>
            <w:noWrap/>
            <w:vAlign w:val="bottom"/>
            <w:hideMark/>
          </w:tcPr>
          <w:p w14:paraId="0592CFF7"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 </w:t>
            </w:r>
          </w:p>
        </w:tc>
      </w:tr>
      <w:tr w:rsidR="00494C71" w:rsidRPr="00042BB1" w14:paraId="278E2F1A"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12293C2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2015</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52F4B234"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205</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1065442B"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0.562</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17F4DFD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1.17</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283C1A1E"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1.82</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24C2B0AA"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5C003356"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0EBE525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0.53</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3668D2BB"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1.03</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6E691996"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1.53</w:t>
            </w:r>
          </w:p>
        </w:tc>
        <w:tc>
          <w:tcPr>
            <w:tcW w:w="1052" w:type="dxa"/>
            <w:tcBorders>
              <w:top w:val="nil"/>
              <w:left w:val="nil"/>
              <w:bottom w:val="single" w:sz="4" w:space="0" w:color="auto"/>
              <w:right w:val="single" w:sz="12" w:space="0" w:color="auto"/>
            </w:tcBorders>
            <w:shd w:val="clear" w:color="auto" w:fill="auto"/>
            <w:noWrap/>
            <w:vAlign w:val="bottom"/>
            <w:hideMark/>
          </w:tcPr>
          <w:p w14:paraId="51077E89"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-0.29</w:t>
            </w:r>
          </w:p>
        </w:tc>
      </w:tr>
      <w:tr w:rsidR="00494C71" w:rsidRPr="00042BB1" w14:paraId="3F292E0A"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14B1D06A"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04952F6E"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6A4935E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15A689F6"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3107531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010AB5EE"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12F21D84"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6D631151"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0C9C36E5"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5FF29E9F"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52" w:type="dxa"/>
            <w:tcBorders>
              <w:top w:val="nil"/>
              <w:left w:val="nil"/>
              <w:bottom w:val="single" w:sz="4" w:space="0" w:color="auto"/>
              <w:right w:val="single" w:sz="12" w:space="0" w:color="auto"/>
            </w:tcBorders>
            <w:shd w:val="clear" w:color="auto" w:fill="auto"/>
            <w:noWrap/>
            <w:vAlign w:val="bottom"/>
            <w:hideMark/>
          </w:tcPr>
          <w:p w14:paraId="79BC12C6"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 </w:t>
            </w:r>
          </w:p>
        </w:tc>
      </w:tr>
      <w:tr w:rsidR="00494C71" w:rsidRPr="00042BB1" w14:paraId="650D1E78"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29D81611"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2020</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61D35B3F"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250</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04606E4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0.685</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0272A2D0"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1.43</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02DCA7F5"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2.22</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662423CB"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137DFFA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63C584DB"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0.69</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2B86A19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1.19</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66F139F9"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1.69</w:t>
            </w:r>
          </w:p>
        </w:tc>
        <w:tc>
          <w:tcPr>
            <w:tcW w:w="1052" w:type="dxa"/>
            <w:tcBorders>
              <w:top w:val="nil"/>
              <w:left w:val="nil"/>
              <w:bottom w:val="single" w:sz="4" w:space="0" w:color="auto"/>
              <w:right w:val="single" w:sz="12" w:space="0" w:color="auto"/>
            </w:tcBorders>
            <w:shd w:val="clear" w:color="auto" w:fill="auto"/>
            <w:noWrap/>
            <w:vAlign w:val="bottom"/>
            <w:hideMark/>
          </w:tcPr>
          <w:p w14:paraId="4F4A00CA"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-0.53</w:t>
            </w:r>
          </w:p>
        </w:tc>
      </w:tr>
      <w:tr w:rsidR="00494C71" w:rsidRPr="00042BB1" w14:paraId="0B760E10"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4356E0A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76F602B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56D33DAF"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00F251B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6B34DB7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65D3B70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06223EE0"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6AD2BFF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321C119F"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79DCC9F7"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 </w:t>
            </w:r>
          </w:p>
        </w:tc>
        <w:tc>
          <w:tcPr>
            <w:tcW w:w="1052" w:type="dxa"/>
            <w:tcBorders>
              <w:top w:val="nil"/>
              <w:left w:val="nil"/>
              <w:bottom w:val="single" w:sz="4" w:space="0" w:color="auto"/>
              <w:right w:val="single" w:sz="12" w:space="0" w:color="auto"/>
            </w:tcBorders>
            <w:shd w:val="clear" w:color="auto" w:fill="auto"/>
            <w:noWrap/>
            <w:vAlign w:val="bottom"/>
            <w:hideMark/>
          </w:tcPr>
          <w:p w14:paraId="263CF454"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 </w:t>
            </w:r>
          </w:p>
        </w:tc>
      </w:tr>
      <w:tr w:rsidR="00494C71" w:rsidRPr="00042BB1" w14:paraId="15EE5C07" w14:textId="77777777" w:rsidTr="002D7395">
        <w:trPr>
          <w:trHeight w:val="300"/>
        </w:trPr>
        <w:tc>
          <w:tcPr>
            <w:tcW w:w="678" w:type="dxa"/>
            <w:tcBorders>
              <w:top w:val="nil"/>
              <w:left w:val="single" w:sz="12" w:space="0" w:color="auto"/>
              <w:bottom w:val="single" w:sz="4" w:space="0" w:color="auto"/>
              <w:right w:val="nil"/>
            </w:tcBorders>
            <w:shd w:val="clear" w:color="auto" w:fill="auto"/>
            <w:noWrap/>
            <w:vAlign w:val="bottom"/>
            <w:hideMark/>
          </w:tcPr>
          <w:p w14:paraId="4B06439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2025</w:t>
            </w:r>
          </w:p>
        </w:tc>
        <w:tc>
          <w:tcPr>
            <w:tcW w:w="1052" w:type="dxa"/>
            <w:tcBorders>
              <w:top w:val="nil"/>
              <w:left w:val="single" w:sz="8" w:space="0" w:color="auto"/>
              <w:bottom w:val="single" w:sz="4" w:space="0" w:color="auto"/>
              <w:right w:val="single" w:sz="4" w:space="0" w:color="auto"/>
            </w:tcBorders>
            <w:shd w:val="clear" w:color="auto" w:fill="F2DBDB" w:themeFill="accent2" w:themeFillTint="33"/>
            <w:noWrap/>
            <w:vAlign w:val="bottom"/>
            <w:hideMark/>
          </w:tcPr>
          <w:p w14:paraId="4A5BF882"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440</w:t>
            </w:r>
          </w:p>
        </w:tc>
        <w:tc>
          <w:tcPr>
            <w:tcW w:w="1069" w:type="dxa"/>
            <w:tcBorders>
              <w:top w:val="nil"/>
              <w:left w:val="nil"/>
              <w:bottom w:val="single" w:sz="4" w:space="0" w:color="auto"/>
              <w:right w:val="single" w:sz="4" w:space="0" w:color="auto"/>
            </w:tcBorders>
            <w:shd w:val="clear" w:color="auto" w:fill="F2DBDB" w:themeFill="accent2" w:themeFillTint="33"/>
            <w:noWrap/>
            <w:vAlign w:val="bottom"/>
            <w:hideMark/>
          </w:tcPr>
          <w:p w14:paraId="4559685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1.21</w:t>
            </w:r>
          </w:p>
        </w:tc>
        <w:tc>
          <w:tcPr>
            <w:tcW w:w="1063" w:type="dxa"/>
            <w:tcBorders>
              <w:top w:val="nil"/>
              <w:left w:val="nil"/>
              <w:bottom w:val="single" w:sz="4" w:space="0" w:color="auto"/>
              <w:right w:val="single" w:sz="4" w:space="0" w:color="auto"/>
            </w:tcBorders>
            <w:shd w:val="clear" w:color="auto" w:fill="F2DBDB" w:themeFill="accent2" w:themeFillTint="33"/>
            <w:noWrap/>
            <w:vAlign w:val="bottom"/>
            <w:hideMark/>
          </w:tcPr>
          <w:p w14:paraId="1204DF00"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2.53</w:t>
            </w:r>
          </w:p>
        </w:tc>
        <w:tc>
          <w:tcPr>
            <w:tcW w:w="1096" w:type="dxa"/>
            <w:tcBorders>
              <w:top w:val="nil"/>
              <w:left w:val="nil"/>
              <w:bottom w:val="single" w:sz="4" w:space="0" w:color="auto"/>
              <w:right w:val="single" w:sz="8" w:space="0" w:color="auto"/>
            </w:tcBorders>
            <w:shd w:val="clear" w:color="auto" w:fill="F2DBDB" w:themeFill="accent2" w:themeFillTint="33"/>
            <w:noWrap/>
            <w:vAlign w:val="bottom"/>
            <w:hideMark/>
          </w:tcPr>
          <w:p w14:paraId="5FEBAD1C"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3.92</w:t>
            </w:r>
          </w:p>
        </w:tc>
        <w:tc>
          <w:tcPr>
            <w:tcW w:w="988" w:type="dxa"/>
            <w:tcBorders>
              <w:top w:val="nil"/>
              <w:left w:val="nil"/>
              <w:bottom w:val="single" w:sz="4" w:space="0" w:color="auto"/>
              <w:right w:val="single" w:sz="4" w:space="0" w:color="auto"/>
            </w:tcBorders>
            <w:shd w:val="clear" w:color="auto" w:fill="DAEEF3" w:themeFill="accent5" w:themeFillTint="33"/>
            <w:noWrap/>
            <w:vAlign w:val="bottom"/>
            <w:hideMark/>
          </w:tcPr>
          <w:p w14:paraId="6F5CE828"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39" w:type="dxa"/>
            <w:tcBorders>
              <w:top w:val="nil"/>
              <w:left w:val="nil"/>
              <w:bottom w:val="single" w:sz="4" w:space="0" w:color="auto"/>
              <w:right w:val="single" w:sz="4" w:space="0" w:color="auto"/>
            </w:tcBorders>
            <w:shd w:val="clear" w:color="auto" w:fill="DAEEF3" w:themeFill="accent5" w:themeFillTint="33"/>
            <w:noWrap/>
            <w:vAlign w:val="bottom"/>
            <w:hideMark/>
          </w:tcPr>
          <w:p w14:paraId="5A433054"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0.5</w:t>
            </w:r>
          </w:p>
        </w:tc>
        <w:tc>
          <w:tcPr>
            <w:tcW w:w="1387" w:type="dxa"/>
            <w:tcBorders>
              <w:top w:val="nil"/>
              <w:left w:val="nil"/>
              <w:bottom w:val="single" w:sz="4" w:space="0" w:color="auto"/>
              <w:right w:val="single" w:sz="4" w:space="0" w:color="auto"/>
            </w:tcBorders>
            <w:shd w:val="clear" w:color="auto" w:fill="DAEEF3" w:themeFill="accent5" w:themeFillTint="33"/>
            <w:noWrap/>
            <w:vAlign w:val="bottom"/>
            <w:hideMark/>
          </w:tcPr>
          <w:p w14:paraId="5EA1F2A3"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1.37</w:t>
            </w:r>
          </w:p>
        </w:tc>
        <w:tc>
          <w:tcPr>
            <w:tcW w:w="1357" w:type="dxa"/>
            <w:tcBorders>
              <w:top w:val="nil"/>
              <w:left w:val="nil"/>
              <w:bottom w:val="single" w:sz="4" w:space="0" w:color="auto"/>
              <w:right w:val="single" w:sz="4" w:space="0" w:color="auto"/>
            </w:tcBorders>
            <w:shd w:val="clear" w:color="auto" w:fill="DAEEF3" w:themeFill="accent5" w:themeFillTint="33"/>
            <w:noWrap/>
            <w:vAlign w:val="bottom"/>
            <w:hideMark/>
          </w:tcPr>
          <w:p w14:paraId="05E6352E"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1.87</w:t>
            </w:r>
          </w:p>
        </w:tc>
        <w:tc>
          <w:tcPr>
            <w:tcW w:w="971" w:type="dxa"/>
            <w:tcBorders>
              <w:top w:val="nil"/>
              <w:left w:val="nil"/>
              <w:bottom w:val="single" w:sz="4" w:space="0" w:color="auto"/>
              <w:right w:val="single" w:sz="8" w:space="0" w:color="auto"/>
            </w:tcBorders>
            <w:shd w:val="clear" w:color="auto" w:fill="DAEEF3" w:themeFill="accent5" w:themeFillTint="33"/>
            <w:noWrap/>
            <w:vAlign w:val="bottom"/>
            <w:hideMark/>
          </w:tcPr>
          <w:p w14:paraId="6B92D0A4" w14:textId="77777777" w:rsidR="00494C71" w:rsidRPr="00042BB1" w:rsidRDefault="00494C71" w:rsidP="00494C71">
            <w:pPr>
              <w:spacing w:after="0" w:line="240" w:lineRule="auto"/>
              <w:jc w:val="center"/>
              <w:rPr>
                <w:rFonts w:eastAsia="Times New Roman" w:cs="Calibri"/>
                <w:color w:val="000000"/>
              </w:rPr>
            </w:pPr>
            <w:r w:rsidRPr="00042BB1">
              <w:rPr>
                <w:rFonts w:eastAsia="Times New Roman" w:cs="Calibri"/>
                <w:color w:val="000000"/>
              </w:rPr>
              <w:t>2.37</w:t>
            </w:r>
          </w:p>
        </w:tc>
        <w:tc>
          <w:tcPr>
            <w:tcW w:w="1052" w:type="dxa"/>
            <w:tcBorders>
              <w:top w:val="nil"/>
              <w:left w:val="nil"/>
              <w:bottom w:val="single" w:sz="4" w:space="0" w:color="auto"/>
              <w:right w:val="single" w:sz="12" w:space="0" w:color="auto"/>
            </w:tcBorders>
            <w:shd w:val="clear" w:color="auto" w:fill="auto"/>
            <w:noWrap/>
            <w:vAlign w:val="bottom"/>
            <w:hideMark/>
          </w:tcPr>
          <w:p w14:paraId="7A5B26D9" w14:textId="77777777" w:rsidR="00494C71" w:rsidRPr="00042BB1" w:rsidRDefault="00494C71" w:rsidP="00494C71">
            <w:pPr>
              <w:spacing w:after="0" w:line="240" w:lineRule="auto"/>
              <w:jc w:val="center"/>
              <w:rPr>
                <w:rFonts w:eastAsia="Times New Roman" w:cs="Calibri"/>
                <w:color w:val="FF0000"/>
              </w:rPr>
            </w:pPr>
            <w:r w:rsidRPr="00042BB1">
              <w:rPr>
                <w:rFonts w:eastAsia="Times New Roman" w:cs="Calibri"/>
                <w:color w:val="FF0000"/>
              </w:rPr>
              <w:t>-1.55</w:t>
            </w:r>
          </w:p>
        </w:tc>
      </w:tr>
      <w:tr w:rsidR="00494C71" w:rsidRPr="00042BB1" w14:paraId="6AFE2334" w14:textId="77777777" w:rsidTr="002D7395">
        <w:trPr>
          <w:trHeight w:val="315"/>
        </w:trPr>
        <w:tc>
          <w:tcPr>
            <w:tcW w:w="678" w:type="dxa"/>
            <w:tcBorders>
              <w:top w:val="nil"/>
              <w:left w:val="single" w:sz="12" w:space="0" w:color="auto"/>
              <w:bottom w:val="single" w:sz="12" w:space="0" w:color="auto"/>
              <w:right w:val="nil"/>
            </w:tcBorders>
            <w:shd w:val="clear" w:color="auto" w:fill="auto"/>
            <w:noWrap/>
            <w:vAlign w:val="bottom"/>
            <w:hideMark/>
          </w:tcPr>
          <w:p w14:paraId="744D427F"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52" w:type="dxa"/>
            <w:tcBorders>
              <w:top w:val="nil"/>
              <w:left w:val="single" w:sz="8" w:space="0" w:color="auto"/>
              <w:bottom w:val="single" w:sz="12" w:space="0" w:color="auto"/>
              <w:right w:val="single" w:sz="4" w:space="0" w:color="auto"/>
            </w:tcBorders>
            <w:shd w:val="clear" w:color="auto" w:fill="F2DBDB" w:themeFill="accent2" w:themeFillTint="33"/>
            <w:noWrap/>
            <w:vAlign w:val="bottom"/>
            <w:hideMark/>
          </w:tcPr>
          <w:p w14:paraId="52FCE6B1"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69" w:type="dxa"/>
            <w:tcBorders>
              <w:top w:val="nil"/>
              <w:left w:val="nil"/>
              <w:bottom w:val="single" w:sz="12" w:space="0" w:color="auto"/>
              <w:right w:val="single" w:sz="4" w:space="0" w:color="auto"/>
            </w:tcBorders>
            <w:shd w:val="clear" w:color="auto" w:fill="F2DBDB" w:themeFill="accent2" w:themeFillTint="33"/>
            <w:noWrap/>
            <w:vAlign w:val="bottom"/>
            <w:hideMark/>
          </w:tcPr>
          <w:p w14:paraId="4B2AE526"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63" w:type="dxa"/>
            <w:tcBorders>
              <w:top w:val="nil"/>
              <w:left w:val="nil"/>
              <w:bottom w:val="single" w:sz="12" w:space="0" w:color="auto"/>
              <w:right w:val="single" w:sz="4" w:space="0" w:color="auto"/>
            </w:tcBorders>
            <w:shd w:val="clear" w:color="auto" w:fill="F2DBDB" w:themeFill="accent2" w:themeFillTint="33"/>
            <w:noWrap/>
            <w:vAlign w:val="bottom"/>
            <w:hideMark/>
          </w:tcPr>
          <w:p w14:paraId="47A5BC45"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96" w:type="dxa"/>
            <w:tcBorders>
              <w:top w:val="nil"/>
              <w:left w:val="nil"/>
              <w:bottom w:val="single" w:sz="12" w:space="0" w:color="auto"/>
              <w:right w:val="single" w:sz="8" w:space="0" w:color="auto"/>
            </w:tcBorders>
            <w:shd w:val="clear" w:color="auto" w:fill="F2DBDB" w:themeFill="accent2" w:themeFillTint="33"/>
            <w:noWrap/>
            <w:vAlign w:val="bottom"/>
            <w:hideMark/>
          </w:tcPr>
          <w:p w14:paraId="3C347843"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988" w:type="dxa"/>
            <w:tcBorders>
              <w:top w:val="nil"/>
              <w:left w:val="nil"/>
              <w:bottom w:val="single" w:sz="12" w:space="0" w:color="auto"/>
              <w:right w:val="single" w:sz="4" w:space="0" w:color="auto"/>
            </w:tcBorders>
            <w:shd w:val="clear" w:color="auto" w:fill="DAEEF3" w:themeFill="accent5" w:themeFillTint="33"/>
            <w:noWrap/>
            <w:vAlign w:val="bottom"/>
            <w:hideMark/>
          </w:tcPr>
          <w:p w14:paraId="43F669F9"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39" w:type="dxa"/>
            <w:tcBorders>
              <w:top w:val="nil"/>
              <w:left w:val="nil"/>
              <w:bottom w:val="single" w:sz="12" w:space="0" w:color="auto"/>
              <w:right w:val="single" w:sz="4" w:space="0" w:color="auto"/>
            </w:tcBorders>
            <w:shd w:val="clear" w:color="auto" w:fill="DAEEF3" w:themeFill="accent5" w:themeFillTint="33"/>
            <w:noWrap/>
            <w:vAlign w:val="bottom"/>
            <w:hideMark/>
          </w:tcPr>
          <w:p w14:paraId="5F4C41CF"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87" w:type="dxa"/>
            <w:tcBorders>
              <w:top w:val="nil"/>
              <w:left w:val="nil"/>
              <w:bottom w:val="single" w:sz="12" w:space="0" w:color="auto"/>
              <w:right w:val="single" w:sz="4" w:space="0" w:color="auto"/>
            </w:tcBorders>
            <w:shd w:val="clear" w:color="auto" w:fill="DAEEF3" w:themeFill="accent5" w:themeFillTint="33"/>
            <w:noWrap/>
            <w:vAlign w:val="bottom"/>
            <w:hideMark/>
          </w:tcPr>
          <w:p w14:paraId="0B857F90"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357" w:type="dxa"/>
            <w:tcBorders>
              <w:top w:val="nil"/>
              <w:left w:val="nil"/>
              <w:bottom w:val="single" w:sz="12" w:space="0" w:color="auto"/>
              <w:right w:val="single" w:sz="4" w:space="0" w:color="auto"/>
            </w:tcBorders>
            <w:shd w:val="clear" w:color="auto" w:fill="DAEEF3" w:themeFill="accent5" w:themeFillTint="33"/>
            <w:noWrap/>
            <w:vAlign w:val="bottom"/>
            <w:hideMark/>
          </w:tcPr>
          <w:p w14:paraId="1B7B773B"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971" w:type="dxa"/>
            <w:tcBorders>
              <w:top w:val="nil"/>
              <w:left w:val="nil"/>
              <w:bottom w:val="single" w:sz="12" w:space="0" w:color="auto"/>
              <w:right w:val="single" w:sz="8" w:space="0" w:color="auto"/>
            </w:tcBorders>
            <w:shd w:val="clear" w:color="auto" w:fill="DAEEF3" w:themeFill="accent5" w:themeFillTint="33"/>
            <w:noWrap/>
            <w:vAlign w:val="bottom"/>
            <w:hideMark/>
          </w:tcPr>
          <w:p w14:paraId="6A99C396" w14:textId="77777777" w:rsidR="00494C71" w:rsidRPr="00042BB1" w:rsidRDefault="00494C71" w:rsidP="00494C71">
            <w:pPr>
              <w:spacing w:after="0" w:line="240" w:lineRule="auto"/>
              <w:rPr>
                <w:rFonts w:eastAsia="Times New Roman" w:cs="Calibri"/>
                <w:color w:val="000000"/>
              </w:rPr>
            </w:pPr>
            <w:r w:rsidRPr="00042BB1">
              <w:rPr>
                <w:rFonts w:eastAsia="Times New Roman" w:cs="Calibri"/>
                <w:color w:val="000000"/>
              </w:rPr>
              <w:t> </w:t>
            </w:r>
          </w:p>
        </w:tc>
        <w:tc>
          <w:tcPr>
            <w:tcW w:w="1052" w:type="dxa"/>
            <w:tcBorders>
              <w:top w:val="nil"/>
              <w:left w:val="nil"/>
              <w:bottom w:val="single" w:sz="12" w:space="0" w:color="auto"/>
              <w:right w:val="single" w:sz="12" w:space="0" w:color="auto"/>
            </w:tcBorders>
            <w:shd w:val="clear" w:color="auto" w:fill="auto"/>
            <w:noWrap/>
            <w:vAlign w:val="bottom"/>
            <w:hideMark/>
          </w:tcPr>
          <w:p w14:paraId="27F13154" w14:textId="77777777" w:rsidR="00494C71" w:rsidRPr="00042BB1" w:rsidRDefault="00494C71" w:rsidP="00494C71">
            <w:pPr>
              <w:spacing w:after="0" w:line="240" w:lineRule="auto"/>
              <w:rPr>
                <w:rFonts w:eastAsia="Times New Roman" w:cs="Calibri"/>
                <w:color w:val="FF0000"/>
              </w:rPr>
            </w:pPr>
            <w:r w:rsidRPr="00042BB1">
              <w:rPr>
                <w:rFonts w:eastAsia="Times New Roman" w:cs="Calibri"/>
                <w:color w:val="FF0000"/>
              </w:rPr>
              <w:t> </w:t>
            </w:r>
          </w:p>
        </w:tc>
      </w:tr>
      <w:tr w:rsidR="00494C71" w:rsidRPr="00042BB1" w14:paraId="53C64979" w14:textId="77777777" w:rsidTr="00494C71">
        <w:trPr>
          <w:trHeight w:val="315"/>
        </w:trPr>
        <w:tc>
          <w:tcPr>
            <w:tcW w:w="678" w:type="dxa"/>
            <w:tcBorders>
              <w:top w:val="nil"/>
              <w:left w:val="nil"/>
              <w:bottom w:val="nil"/>
              <w:right w:val="nil"/>
            </w:tcBorders>
            <w:shd w:val="clear" w:color="auto" w:fill="auto"/>
            <w:noWrap/>
            <w:vAlign w:val="bottom"/>
            <w:hideMark/>
          </w:tcPr>
          <w:p w14:paraId="32996ADE" w14:textId="77777777" w:rsidR="00494C71" w:rsidRPr="00042BB1" w:rsidRDefault="00494C71" w:rsidP="00494C71">
            <w:pPr>
              <w:spacing w:after="0" w:line="240" w:lineRule="auto"/>
              <w:rPr>
                <w:rFonts w:eastAsia="Times New Roman" w:cs="Calibri"/>
                <w:color w:val="FF0000"/>
              </w:rPr>
            </w:pPr>
          </w:p>
        </w:tc>
        <w:tc>
          <w:tcPr>
            <w:tcW w:w="1052" w:type="dxa"/>
            <w:tcBorders>
              <w:top w:val="nil"/>
              <w:left w:val="nil"/>
              <w:bottom w:val="nil"/>
              <w:right w:val="nil"/>
            </w:tcBorders>
            <w:shd w:val="clear" w:color="auto" w:fill="auto"/>
            <w:noWrap/>
            <w:vAlign w:val="bottom"/>
            <w:hideMark/>
          </w:tcPr>
          <w:p w14:paraId="42A58C8F" w14:textId="77777777" w:rsidR="00494C71" w:rsidRPr="00042BB1" w:rsidRDefault="00494C71" w:rsidP="00494C71">
            <w:pPr>
              <w:spacing w:after="0" w:line="240" w:lineRule="auto"/>
              <w:rPr>
                <w:rFonts w:ascii="Times New Roman" w:eastAsia="Times New Roman" w:hAnsi="Times New Roman"/>
              </w:rPr>
            </w:pPr>
          </w:p>
        </w:tc>
        <w:tc>
          <w:tcPr>
            <w:tcW w:w="1069" w:type="dxa"/>
            <w:tcBorders>
              <w:top w:val="nil"/>
              <w:left w:val="nil"/>
              <w:bottom w:val="nil"/>
              <w:right w:val="nil"/>
            </w:tcBorders>
            <w:shd w:val="clear" w:color="auto" w:fill="auto"/>
            <w:noWrap/>
            <w:vAlign w:val="bottom"/>
            <w:hideMark/>
          </w:tcPr>
          <w:p w14:paraId="640E0F7B" w14:textId="77777777" w:rsidR="00494C71" w:rsidRPr="00042BB1" w:rsidRDefault="00494C71" w:rsidP="00494C71">
            <w:pPr>
              <w:spacing w:after="0" w:line="240" w:lineRule="auto"/>
              <w:rPr>
                <w:rFonts w:ascii="Times New Roman" w:eastAsia="Times New Roman" w:hAnsi="Times New Roman"/>
              </w:rPr>
            </w:pPr>
          </w:p>
        </w:tc>
        <w:tc>
          <w:tcPr>
            <w:tcW w:w="1063" w:type="dxa"/>
            <w:tcBorders>
              <w:top w:val="nil"/>
              <w:left w:val="nil"/>
              <w:bottom w:val="nil"/>
              <w:right w:val="nil"/>
            </w:tcBorders>
            <w:shd w:val="clear" w:color="auto" w:fill="auto"/>
            <w:noWrap/>
            <w:vAlign w:val="bottom"/>
            <w:hideMark/>
          </w:tcPr>
          <w:p w14:paraId="0A74D11B" w14:textId="77777777" w:rsidR="00494C71" w:rsidRPr="00042BB1" w:rsidRDefault="00494C71" w:rsidP="00494C71">
            <w:pPr>
              <w:spacing w:after="0" w:line="240" w:lineRule="auto"/>
              <w:rPr>
                <w:rFonts w:ascii="Times New Roman" w:eastAsia="Times New Roman" w:hAnsi="Times New Roman"/>
              </w:rPr>
            </w:pPr>
          </w:p>
        </w:tc>
        <w:tc>
          <w:tcPr>
            <w:tcW w:w="1096" w:type="dxa"/>
            <w:tcBorders>
              <w:top w:val="nil"/>
              <w:left w:val="nil"/>
              <w:bottom w:val="nil"/>
              <w:right w:val="nil"/>
            </w:tcBorders>
            <w:shd w:val="clear" w:color="auto" w:fill="auto"/>
            <w:noWrap/>
            <w:vAlign w:val="bottom"/>
            <w:hideMark/>
          </w:tcPr>
          <w:p w14:paraId="3E86B01B" w14:textId="77777777" w:rsidR="00494C71" w:rsidRPr="00042BB1" w:rsidRDefault="00494C71" w:rsidP="00494C71">
            <w:pPr>
              <w:spacing w:after="0" w:line="240" w:lineRule="auto"/>
              <w:rPr>
                <w:rFonts w:ascii="Times New Roman" w:eastAsia="Times New Roman" w:hAnsi="Times New Roman"/>
              </w:rPr>
            </w:pPr>
          </w:p>
        </w:tc>
        <w:tc>
          <w:tcPr>
            <w:tcW w:w="988" w:type="dxa"/>
            <w:tcBorders>
              <w:top w:val="nil"/>
              <w:left w:val="nil"/>
              <w:bottom w:val="nil"/>
              <w:right w:val="nil"/>
            </w:tcBorders>
            <w:shd w:val="clear" w:color="auto" w:fill="auto"/>
            <w:noWrap/>
            <w:vAlign w:val="bottom"/>
            <w:hideMark/>
          </w:tcPr>
          <w:p w14:paraId="501ED798" w14:textId="77777777" w:rsidR="00494C71" w:rsidRPr="00042BB1" w:rsidRDefault="00494C71" w:rsidP="00494C71">
            <w:pPr>
              <w:spacing w:after="0" w:line="240" w:lineRule="auto"/>
              <w:rPr>
                <w:rFonts w:ascii="Times New Roman" w:eastAsia="Times New Roman" w:hAnsi="Times New Roman"/>
              </w:rPr>
            </w:pPr>
          </w:p>
        </w:tc>
        <w:tc>
          <w:tcPr>
            <w:tcW w:w="1339" w:type="dxa"/>
            <w:tcBorders>
              <w:top w:val="nil"/>
              <w:left w:val="nil"/>
              <w:bottom w:val="nil"/>
              <w:right w:val="nil"/>
            </w:tcBorders>
            <w:shd w:val="clear" w:color="auto" w:fill="auto"/>
            <w:noWrap/>
            <w:vAlign w:val="bottom"/>
            <w:hideMark/>
          </w:tcPr>
          <w:p w14:paraId="4A41CF9D" w14:textId="77777777" w:rsidR="00494C71" w:rsidRPr="00042BB1" w:rsidRDefault="00494C71" w:rsidP="00494C71">
            <w:pPr>
              <w:spacing w:after="0" w:line="240" w:lineRule="auto"/>
              <w:rPr>
                <w:rFonts w:ascii="Times New Roman" w:eastAsia="Times New Roman" w:hAnsi="Times New Roman"/>
              </w:rPr>
            </w:pPr>
          </w:p>
        </w:tc>
        <w:tc>
          <w:tcPr>
            <w:tcW w:w="1387" w:type="dxa"/>
            <w:tcBorders>
              <w:top w:val="nil"/>
              <w:left w:val="nil"/>
              <w:bottom w:val="nil"/>
              <w:right w:val="nil"/>
            </w:tcBorders>
            <w:shd w:val="clear" w:color="auto" w:fill="auto"/>
            <w:noWrap/>
            <w:vAlign w:val="bottom"/>
            <w:hideMark/>
          </w:tcPr>
          <w:p w14:paraId="59C69B5E" w14:textId="77777777" w:rsidR="00494C71" w:rsidRPr="00042BB1" w:rsidRDefault="00494C71" w:rsidP="00494C71">
            <w:pPr>
              <w:spacing w:after="0" w:line="240" w:lineRule="auto"/>
              <w:rPr>
                <w:rFonts w:ascii="Times New Roman" w:eastAsia="Times New Roman" w:hAnsi="Times New Roman"/>
              </w:rPr>
            </w:pPr>
          </w:p>
        </w:tc>
        <w:tc>
          <w:tcPr>
            <w:tcW w:w="1357" w:type="dxa"/>
            <w:tcBorders>
              <w:top w:val="nil"/>
              <w:left w:val="nil"/>
              <w:bottom w:val="nil"/>
              <w:right w:val="nil"/>
            </w:tcBorders>
            <w:shd w:val="clear" w:color="auto" w:fill="auto"/>
            <w:noWrap/>
            <w:vAlign w:val="bottom"/>
            <w:hideMark/>
          </w:tcPr>
          <w:p w14:paraId="33433D1E" w14:textId="77777777" w:rsidR="00494C71" w:rsidRPr="00042BB1" w:rsidRDefault="00494C71" w:rsidP="00494C71">
            <w:pPr>
              <w:spacing w:after="0" w:line="240" w:lineRule="auto"/>
              <w:rPr>
                <w:rFonts w:ascii="Times New Roman" w:eastAsia="Times New Roman" w:hAnsi="Times New Roman"/>
              </w:rPr>
            </w:pPr>
          </w:p>
        </w:tc>
        <w:tc>
          <w:tcPr>
            <w:tcW w:w="971" w:type="dxa"/>
            <w:tcBorders>
              <w:top w:val="nil"/>
              <w:left w:val="nil"/>
              <w:bottom w:val="nil"/>
              <w:right w:val="nil"/>
            </w:tcBorders>
            <w:shd w:val="clear" w:color="auto" w:fill="auto"/>
            <w:noWrap/>
            <w:vAlign w:val="bottom"/>
            <w:hideMark/>
          </w:tcPr>
          <w:p w14:paraId="358C64D1" w14:textId="77777777" w:rsidR="00494C71" w:rsidRPr="00042BB1" w:rsidRDefault="00494C71" w:rsidP="00494C71">
            <w:pPr>
              <w:spacing w:after="0" w:line="240" w:lineRule="auto"/>
              <w:rPr>
                <w:rFonts w:ascii="Times New Roman" w:eastAsia="Times New Roman" w:hAnsi="Times New Roman"/>
              </w:rPr>
            </w:pPr>
          </w:p>
        </w:tc>
        <w:tc>
          <w:tcPr>
            <w:tcW w:w="1052" w:type="dxa"/>
            <w:tcBorders>
              <w:top w:val="nil"/>
              <w:left w:val="nil"/>
              <w:bottom w:val="nil"/>
              <w:right w:val="nil"/>
            </w:tcBorders>
            <w:shd w:val="clear" w:color="auto" w:fill="auto"/>
            <w:noWrap/>
            <w:vAlign w:val="bottom"/>
            <w:hideMark/>
          </w:tcPr>
          <w:p w14:paraId="66047340" w14:textId="77777777" w:rsidR="00494C71" w:rsidRPr="00042BB1" w:rsidRDefault="00494C71" w:rsidP="00494C71">
            <w:pPr>
              <w:spacing w:after="0" w:line="240" w:lineRule="auto"/>
              <w:rPr>
                <w:rFonts w:ascii="Times New Roman" w:eastAsia="Times New Roman" w:hAnsi="Times New Roman"/>
              </w:rPr>
            </w:pPr>
          </w:p>
        </w:tc>
      </w:tr>
    </w:tbl>
    <w:bookmarkEnd w:id="0"/>
    <w:p w14:paraId="0D6ADA4A" w14:textId="7E20044F" w:rsidR="00F4649C" w:rsidRPr="007D0732" w:rsidRDefault="007D0732">
      <w:pPr>
        <w:rPr>
          <w:b/>
          <w:bCs/>
        </w:rPr>
      </w:pPr>
      <w:r w:rsidRPr="004D2445">
        <w:rPr>
          <w:b/>
          <w:bCs/>
        </w:rPr>
        <w:t>KEY</w:t>
      </w:r>
    </w:p>
    <w:p w14:paraId="6C34689C" w14:textId="7D7495F9" w:rsidR="00641C96" w:rsidRPr="00042BB1" w:rsidRDefault="00641C96">
      <w:r w:rsidRPr="00042BB1">
        <w:t>MGY = million gallons per year</w:t>
      </w:r>
    </w:p>
    <w:p w14:paraId="319E1FCF" w14:textId="0C5047FB" w:rsidR="00641C96" w:rsidRPr="00042BB1" w:rsidRDefault="00641C96">
      <w:r w:rsidRPr="00042BB1">
        <w:t>MGD = million gallons per day</w:t>
      </w:r>
    </w:p>
    <w:p w14:paraId="1A371AD9" w14:textId="68E0A6C6" w:rsidR="00641C96" w:rsidRDefault="00641C96">
      <w:r w:rsidRPr="00042BB1">
        <w:t>CFS = cubic feet per second</w:t>
      </w:r>
    </w:p>
    <w:p w14:paraId="52A70E30" w14:textId="7D004B08" w:rsidR="00F4649C" w:rsidRPr="004D69C5" w:rsidRDefault="00F4649C">
      <w:pPr>
        <w:rPr>
          <w:color w:val="FF0000"/>
        </w:rPr>
      </w:pPr>
      <w:r>
        <w:t xml:space="preserve">WSA = North Bend Water Supply Area </w:t>
      </w:r>
      <w:r w:rsidR="00444A2D">
        <w:t>as used in the Golder report</w:t>
      </w:r>
    </w:p>
    <w:p w14:paraId="7AD875F6" w14:textId="77777777" w:rsidR="00F62D5D" w:rsidRDefault="00F62D5D"/>
    <w:p w14:paraId="78F65C0F" w14:textId="208CBFCE" w:rsidR="00F4649C" w:rsidRPr="00F4649C" w:rsidRDefault="00F4649C">
      <w:pPr>
        <w:rPr>
          <w:b/>
        </w:rPr>
      </w:pPr>
      <w:r w:rsidRPr="00F4649C">
        <w:rPr>
          <w:b/>
        </w:rPr>
        <w:t xml:space="preserve">PROJECTED CITY WATER DEMAND </w:t>
      </w:r>
    </w:p>
    <w:p w14:paraId="4F0DB7B8" w14:textId="77154E9B" w:rsidR="00641C96" w:rsidRPr="00042BB1" w:rsidRDefault="00DF25EB" w:rsidP="00042BB1">
      <w:bookmarkStart w:id="3" w:name="_GoBack"/>
      <w:bookmarkEnd w:id="3"/>
      <w:r>
        <w:t>C</w:t>
      </w:r>
      <w:r w:rsidR="00641C96" w:rsidRPr="00042BB1">
        <w:t xml:space="preserve">olumn 1: </w:t>
      </w:r>
      <w:r w:rsidR="00F62D5D">
        <w:t xml:space="preserve">Water Demand for the City of North Bend. </w:t>
      </w:r>
      <w:r w:rsidR="00641C96" w:rsidRPr="00042BB1">
        <w:t>Year 2015 from Table A-9 in draft Golder Report (Octob</w:t>
      </w:r>
      <w:r w:rsidR="00F62D5D">
        <w:t>er 2019). Years 2020 and 2025</w:t>
      </w:r>
      <w:r w:rsidR="00641C96" w:rsidRPr="00042BB1">
        <w:t xml:space="preserve"> estimated from</w:t>
      </w:r>
      <w:r>
        <w:t xml:space="preserve">       </w:t>
      </w:r>
      <w:r w:rsidR="00641C96" w:rsidRPr="00042BB1">
        <w:t>Figure B-1, Scenario 5, in the draft Golder Report (October 2019).</w:t>
      </w:r>
    </w:p>
    <w:p w14:paraId="5C4DF338" w14:textId="21D82255" w:rsidR="00641C96" w:rsidRPr="00042BB1" w:rsidRDefault="00F62D5D" w:rsidP="00150701">
      <w:r>
        <w:t xml:space="preserve"> </w:t>
      </w:r>
      <w:r w:rsidR="00641C96" w:rsidRPr="00042BB1">
        <w:t>Column 2: Average daily water demand = Column 1/365 (days in a year).</w:t>
      </w:r>
    </w:p>
    <w:p w14:paraId="7ABFBA6D" w14:textId="67186B04" w:rsidR="00F62D5D" w:rsidRDefault="00F62D5D">
      <w:r>
        <w:t xml:space="preserve"> C</w:t>
      </w:r>
      <w:r w:rsidR="00641C96" w:rsidRPr="00042BB1">
        <w:t>olumn 3: Peak Day MG per day = Column 2 X 2.09, which is Peaking Fa</w:t>
      </w:r>
      <w:r>
        <w:t>ctor from North Bend’s 2010 Water Supply Plan.</w:t>
      </w:r>
    </w:p>
    <w:p w14:paraId="6FF85B70" w14:textId="2ECE5C2F" w:rsidR="00641C96" w:rsidRPr="00042BB1" w:rsidRDefault="00641C96">
      <w:r w:rsidRPr="00042BB1">
        <w:t xml:space="preserve"> Column 4: Peak Day CFS = Column 3 X 1.55 (converting MG/day to CFS</w:t>
      </w:r>
      <w:r w:rsidR="00C9528F" w:rsidRPr="00042BB1">
        <w:t>)</w:t>
      </w:r>
      <w:r w:rsidR="00F62D5D">
        <w:t>.</w:t>
      </w:r>
    </w:p>
    <w:p w14:paraId="7ADC91F6" w14:textId="354B50A3" w:rsidR="00F62D5D" w:rsidRPr="002D7395" w:rsidRDefault="008753EF">
      <w:r w:rsidRPr="00042BB1">
        <w:t xml:space="preserve">  </w:t>
      </w:r>
    </w:p>
    <w:p w14:paraId="06476C8C" w14:textId="259D3D76" w:rsidR="00641C96" w:rsidRPr="00F62D5D" w:rsidRDefault="00F62D5D" w:rsidP="00F62D5D">
      <w:pPr>
        <w:ind w:hanging="180"/>
        <w:rPr>
          <w:b/>
          <w:bCs/>
        </w:rPr>
      </w:pPr>
      <w:r>
        <w:rPr>
          <w:b/>
          <w:bCs/>
        </w:rPr>
        <w:t xml:space="preserve">    </w:t>
      </w:r>
      <w:r w:rsidR="00641C96" w:rsidRPr="00042BB1">
        <w:rPr>
          <w:b/>
          <w:bCs/>
        </w:rPr>
        <w:t>PROJECTED WATER SUPPLY FOR PEAK MONTHS JULY – SEPTEMBER</w:t>
      </w:r>
    </w:p>
    <w:p w14:paraId="7D1BF559" w14:textId="1D260F7D" w:rsidR="00641C96" w:rsidRPr="00042BB1" w:rsidRDefault="00F62D5D">
      <w:r>
        <w:t xml:space="preserve">Column 5:  </w:t>
      </w:r>
      <w:r w:rsidR="00C9528F" w:rsidRPr="00042BB1">
        <w:t xml:space="preserve"> </w:t>
      </w:r>
      <w:r w:rsidR="00641C96" w:rsidRPr="00042BB1">
        <w:t>0.5 CFS from</w:t>
      </w:r>
      <w:r w:rsidR="00C3415D">
        <w:t xml:space="preserve"> Mt. Si Springs for supply</w:t>
      </w:r>
      <w:r w:rsidR="00641C96" w:rsidRPr="00042BB1">
        <w:t>.</w:t>
      </w:r>
      <w:r w:rsidR="00C3415D">
        <w:t xml:space="preserve"> Estimated from</w:t>
      </w:r>
      <w:r w:rsidR="00641C96" w:rsidRPr="00042BB1">
        <w:t xml:space="preserve"> Figure A-2 in dra</w:t>
      </w:r>
      <w:r w:rsidR="00C9528F" w:rsidRPr="00042BB1">
        <w:t>ft Golder Report</w:t>
      </w:r>
      <w:r w:rsidR="00C3415D">
        <w:t xml:space="preserve">. Graph shows </w:t>
      </w:r>
      <w:r w:rsidR="00C9528F" w:rsidRPr="00042BB1">
        <w:t xml:space="preserve">Mt. Si </w:t>
      </w:r>
      <w:r w:rsidR="00641C96" w:rsidRPr="00042BB1">
        <w:t>Springs flow is low during this time of year. During a dry year we are estimating it could go as low as 3.5</w:t>
      </w:r>
      <w:r w:rsidR="00442C2A">
        <w:t xml:space="preserve"> </w:t>
      </w:r>
      <w:r w:rsidR="00641C96" w:rsidRPr="00042BB1">
        <w:t>CFS, thus only 0.5 CFS available for supply</w:t>
      </w:r>
      <w:r w:rsidR="00641C96" w:rsidRPr="00042BB1">
        <w:rPr>
          <w:color w:val="0000FF"/>
        </w:rPr>
        <w:t xml:space="preserve"> </w:t>
      </w:r>
      <w:r w:rsidR="00641C96" w:rsidRPr="00042BB1">
        <w:t>with City’s new pumps</w:t>
      </w:r>
      <w:r w:rsidR="00C3415D">
        <w:t xml:space="preserve"> (as 3 CFS required for by-pass)</w:t>
      </w:r>
      <w:r w:rsidR="00641C96" w:rsidRPr="00042BB1">
        <w:t>. Note: it could possibly go lower.</w:t>
      </w:r>
    </w:p>
    <w:p w14:paraId="34A043E7" w14:textId="587F9485" w:rsidR="00C9528F" w:rsidRPr="00042BB1" w:rsidRDefault="00F62D5D" w:rsidP="00BC2117">
      <w:r>
        <w:t xml:space="preserve">Column 6: </w:t>
      </w:r>
      <w:r w:rsidR="00C9528F" w:rsidRPr="00042BB1">
        <w:t xml:space="preserve"> </w:t>
      </w:r>
      <w:r w:rsidR="00641C96" w:rsidRPr="00042BB1">
        <w:t>0.5 CFS f</w:t>
      </w:r>
      <w:r w:rsidR="00C3415D">
        <w:t>rom Hobo Springs available for mitigation</w:t>
      </w:r>
      <w:r w:rsidR="00641C96" w:rsidRPr="00042BB1">
        <w:t xml:space="preserve">. Estimate based on minimum daily flow during September </w:t>
      </w:r>
      <w:r w:rsidR="00C3415D">
        <w:t>as shown in Figure A-4 in</w:t>
      </w:r>
      <w:r w:rsidR="00641C96" w:rsidRPr="00042BB1">
        <w:t xml:space="preserve"> draft Golder Report. </w:t>
      </w:r>
      <w:r w:rsidR="00E20895" w:rsidRPr="00042BB1">
        <w:t>Figure is attached. Note y-axis in acre feet per day which is equal to 0.5 CFS.</w:t>
      </w:r>
    </w:p>
    <w:p w14:paraId="0359D667" w14:textId="54D1FE49" w:rsidR="00641C96" w:rsidRDefault="00F62D5D" w:rsidP="00BC2117">
      <w:r>
        <w:t xml:space="preserve">Column 7: </w:t>
      </w:r>
      <w:r w:rsidR="00C3415D">
        <w:t xml:space="preserve"> Wastewater Treatment Plant (WWTP) return</w:t>
      </w:r>
      <w:r w:rsidR="00641C96" w:rsidRPr="00042BB1">
        <w:t xml:space="preserve"> f</w:t>
      </w:r>
      <w:r w:rsidR="00C3415D">
        <w:t>low credit for mit</w:t>
      </w:r>
      <w:r w:rsidR="0096279C">
        <w:t>igation = 40% of projected peak day demand (Column 4)</w:t>
      </w:r>
      <w:r w:rsidR="00C3415D">
        <w:t>. B</w:t>
      </w:r>
      <w:r w:rsidR="00641C96" w:rsidRPr="00042BB1">
        <w:t>ased on review of WWTP credit during peak time of year as reported in 2009 – 201</w:t>
      </w:r>
      <w:r w:rsidR="00C9528F" w:rsidRPr="00042BB1">
        <w:t>9</w:t>
      </w:r>
      <w:r w:rsidR="00C9528F" w:rsidRPr="00042BB1">
        <w:rPr>
          <w:color w:val="0000FF"/>
        </w:rPr>
        <w:t xml:space="preserve"> </w:t>
      </w:r>
      <w:r w:rsidR="00641C96" w:rsidRPr="00042BB1">
        <w:t>Golder annual mitigation system reports for City of North Bend</w:t>
      </w:r>
      <w:r w:rsidR="0096279C">
        <w:t xml:space="preserve"> a factor of .4</w:t>
      </w:r>
      <w:r w:rsidR="00442C2A">
        <w:t xml:space="preserve"> (40% of Centennial with</w:t>
      </w:r>
      <w:r w:rsidR="0096279C">
        <w:t>drawals) was determined</w:t>
      </w:r>
      <w:r w:rsidR="00641C96" w:rsidRPr="00042BB1">
        <w:t>. Again, we believe this is a conservative factor</w:t>
      </w:r>
      <w:r w:rsidR="00C9528F" w:rsidRPr="00042BB1">
        <w:t xml:space="preserve"> (conservative meaning that it is allowing for high end of estimated water available)</w:t>
      </w:r>
      <w:r w:rsidR="00641C96" w:rsidRPr="00042BB1">
        <w:t xml:space="preserve"> for this time of year mainly because WWTP return is based on average of previous 365 days of Centennial</w:t>
      </w:r>
      <w:r w:rsidR="00C9528F" w:rsidRPr="00042BB1">
        <w:t xml:space="preserve"> </w:t>
      </w:r>
      <w:r w:rsidR="00641C96" w:rsidRPr="00042BB1">
        <w:t xml:space="preserve">withdrawals.  </w:t>
      </w:r>
      <w:r w:rsidR="0096279C" w:rsidRPr="0096279C">
        <w:t>The total WWTP return flow has been factored up proportionate to</w:t>
      </w:r>
      <w:r w:rsidR="0096279C">
        <w:t xml:space="preserve"> the growth in demand.</w:t>
      </w:r>
    </w:p>
    <w:p w14:paraId="06E524BC" w14:textId="61012232" w:rsidR="00F62D5D" w:rsidRDefault="00F62D5D" w:rsidP="00BC2117">
      <w:r>
        <w:t xml:space="preserve">Column 8: </w:t>
      </w:r>
      <w:r w:rsidR="00DF25EB">
        <w:t xml:space="preserve"> </w:t>
      </w:r>
      <w:r>
        <w:t xml:space="preserve">Centennial </w:t>
      </w:r>
      <w:r w:rsidR="00442C2A">
        <w:t xml:space="preserve">Mitigated </w:t>
      </w:r>
      <w:r>
        <w:t>Dra</w:t>
      </w:r>
      <w:r w:rsidR="00DF25EB">
        <w:t>w = the amount of water that can be drawn from the Centennial Well based on the amount of mitigation available, which is equal to Column 6 + Column 7 (Hobo Springs plus WWTP credit).</w:t>
      </w:r>
    </w:p>
    <w:p w14:paraId="1F028BFE" w14:textId="33D21038" w:rsidR="00DF25EB" w:rsidRPr="00042BB1" w:rsidRDefault="00DF25EB" w:rsidP="00BC2117">
      <w:r>
        <w:t xml:space="preserve">Column 9:  Total </w:t>
      </w:r>
      <w:r w:rsidR="00442C2A">
        <w:t xml:space="preserve">Mitigated </w:t>
      </w:r>
      <w:r>
        <w:t>Supply = Colum</w:t>
      </w:r>
      <w:r w:rsidR="00442C2A">
        <w:t>n 8 + Column 5 (Centennial Mitigated D</w:t>
      </w:r>
      <w:r w:rsidR="00520B24">
        <w:t xml:space="preserve">raw </w:t>
      </w:r>
      <w:r>
        <w:t>plus Mt. Si Springs).</w:t>
      </w:r>
    </w:p>
    <w:p w14:paraId="2882ECF5" w14:textId="4E84F3FD" w:rsidR="00641C96" w:rsidRDefault="00520B24" w:rsidP="00BC2117">
      <w:pPr>
        <w:rPr>
          <w:b/>
          <w:bCs/>
        </w:rPr>
      </w:pPr>
      <w:r>
        <w:rPr>
          <w:b/>
          <w:bCs/>
        </w:rPr>
        <w:lastRenderedPageBreak/>
        <w:t>SUPPLY VS DEMAND</w:t>
      </w:r>
    </w:p>
    <w:p w14:paraId="511275CE" w14:textId="17C89BD1" w:rsidR="000766F0" w:rsidRDefault="00520B24" w:rsidP="00BC2117">
      <w:pPr>
        <w:rPr>
          <w:bCs/>
        </w:rPr>
      </w:pPr>
      <w:r>
        <w:rPr>
          <w:bCs/>
        </w:rPr>
        <w:t xml:space="preserve">Column 10:  Total </w:t>
      </w:r>
      <w:r w:rsidR="00442C2A">
        <w:rPr>
          <w:bCs/>
        </w:rPr>
        <w:t xml:space="preserve">Mitigated </w:t>
      </w:r>
      <w:r>
        <w:rPr>
          <w:bCs/>
        </w:rPr>
        <w:t>Supply of Water versus Peak Day Demand = Column 9 minus Column 4.  Negative numbers indicate insufficient mitigation available.</w:t>
      </w:r>
    </w:p>
    <w:p w14:paraId="67AEF37A" w14:textId="4A99D08A" w:rsidR="000766F0" w:rsidRPr="004D2445" w:rsidRDefault="000766F0" w:rsidP="000766F0">
      <w:pPr>
        <w:spacing w:before="100" w:beforeAutospacing="1" w:after="100" w:afterAutospacing="1"/>
      </w:pPr>
      <w:r w:rsidRPr="004D2445">
        <w:rPr>
          <w:b/>
          <w:bCs/>
        </w:rPr>
        <w:t>CAVEAT REGARDING THE DATA</w:t>
      </w:r>
      <w:r w:rsidR="002D7395" w:rsidRPr="004D2445">
        <w:rPr>
          <w:b/>
          <w:bCs/>
        </w:rPr>
        <w:t xml:space="preserve"> USED IN ANALYSIS</w:t>
      </w:r>
    </w:p>
    <w:p w14:paraId="461C4B5F" w14:textId="6012DE7E" w:rsidR="000766F0" w:rsidRPr="004D2445" w:rsidRDefault="000766F0" w:rsidP="000766F0">
      <w:pPr>
        <w:spacing w:before="100" w:beforeAutospacing="1" w:after="100" w:afterAutospacing="1"/>
      </w:pPr>
      <w:r w:rsidRPr="004D2445">
        <w:t xml:space="preserve">Our analysis is based on the same data provided by Golder in their DRAFT October 2019 Mitigation Report as well as annual Golder Mitigation Reports and therefore inherits any limitations their base data </w:t>
      </w:r>
      <w:r w:rsidR="002D7395" w:rsidRPr="004D2445">
        <w:t xml:space="preserve">may </w:t>
      </w:r>
      <w:r w:rsidRPr="004D2445">
        <w:t>present.  Three examples of possible data limitations follow:</w:t>
      </w:r>
    </w:p>
    <w:p w14:paraId="5E98C908" w14:textId="1E0418FE" w:rsidR="000766F0" w:rsidRPr="004D2445" w:rsidRDefault="000766F0" w:rsidP="002D7395">
      <w:pPr>
        <w:pStyle w:val="ListParagraph"/>
        <w:numPr>
          <w:ilvl w:val="0"/>
          <w:numId w:val="5"/>
        </w:numPr>
        <w:rPr>
          <w:rFonts w:ascii="Times New Roman" w:eastAsia="Times New Roman" w:hAnsi="Times New Roman"/>
          <w:sz w:val="24"/>
          <w:szCs w:val="24"/>
        </w:rPr>
      </w:pPr>
      <w:r w:rsidRPr="004D2445">
        <w:rPr>
          <w:rFonts w:ascii="Times New Roman" w:hAnsi="Times New Roman"/>
          <w:sz w:val="24"/>
          <w:szCs w:val="24"/>
        </w:rPr>
        <w:t xml:space="preserve">Golder states that </w:t>
      </w:r>
      <w:r w:rsidRPr="004D2445">
        <w:rPr>
          <w:rFonts w:ascii="Times New Roman" w:eastAsia="Times New Roman" w:hAnsi="Times New Roman"/>
          <w:sz w:val="24"/>
          <w:szCs w:val="24"/>
        </w:rPr>
        <w:t>“At the time the model was constructed, records were not sufficient to understand the seasonal limitations of Mt Si Spring source."</w:t>
      </w:r>
      <w:r w:rsidRPr="004D2445">
        <w:rPr>
          <w:rFonts w:ascii="Times New Roman" w:hAnsi="Times New Roman"/>
          <w:sz w:val="24"/>
          <w:szCs w:val="24"/>
        </w:rPr>
        <w:t xml:space="preserve">  (</w:t>
      </w:r>
      <w:r w:rsidR="002D7395" w:rsidRPr="004D2445">
        <w:rPr>
          <w:rFonts w:ascii="Times New Roman" w:hAnsi="Times New Roman"/>
          <w:sz w:val="24"/>
          <w:szCs w:val="24"/>
        </w:rPr>
        <w:t>See</w:t>
      </w:r>
      <w:r w:rsidRPr="004D2445">
        <w:rPr>
          <w:rFonts w:ascii="Times New Roman" w:hAnsi="Times New Roman"/>
          <w:sz w:val="24"/>
          <w:szCs w:val="24"/>
        </w:rPr>
        <w:t xml:space="preserve"> </w:t>
      </w:r>
      <w:r w:rsidRPr="004D2445">
        <w:rPr>
          <w:rFonts w:ascii="Times New Roman" w:eastAsia="Times New Roman" w:hAnsi="Times New Roman"/>
          <w:sz w:val="24"/>
          <w:szCs w:val="24"/>
        </w:rPr>
        <w:t xml:space="preserve">Golder Report section 5.1) Being able to account for seasonal variations is important to assessing what is occurring during low-flow months. </w:t>
      </w:r>
      <w:bookmarkStart w:id="4" w:name="_Hlk35422086"/>
      <w:r w:rsidRPr="004D2445">
        <w:rPr>
          <w:rFonts w:ascii="Times New Roman" w:eastAsia="Times New Roman" w:hAnsi="Times New Roman"/>
          <w:sz w:val="24"/>
          <w:szCs w:val="24"/>
        </w:rPr>
        <w:t xml:space="preserve">Also, this quote appears to be </w:t>
      </w:r>
      <w:r w:rsidR="002D7395" w:rsidRPr="004D2445">
        <w:rPr>
          <w:rFonts w:ascii="Times New Roman" w:eastAsia="Times New Roman" w:hAnsi="Times New Roman"/>
          <w:sz w:val="24"/>
          <w:szCs w:val="24"/>
        </w:rPr>
        <w:t xml:space="preserve">inconsistent </w:t>
      </w:r>
      <w:r w:rsidRPr="004D2445">
        <w:rPr>
          <w:rFonts w:ascii="Times New Roman" w:eastAsia="Times New Roman" w:hAnsi="Times New Roman"/>
          <w:sz w:val="24"/>
          <w:szCs w:val="24"/>
        </w:rPr>
        <w:t>with information in Figure A-2 which graphs seasonal differences.</w:t>
      </w:r>
      <w:bookmarkEnd w:id="4"/>
      <w:r w:rsidR="002D7395" w:rsidRPr="004D2445">
        <w:rPr>
          <w:rFonts w:ascii="Times New Roman" w:eastAsia="Times New Roman" w:hAnsi="Times New Roman"/>
          <w:sz w:val="24"/>
          <w:szCs w:val="24"/>
        </w:rPr>
        <w:t xml:space="preserve"> </w:t>
      </w:r>
    </w:p>
    <w:p w14:paraId="76B960DC" w14:textId="6215DF30" w:rsidR="002D7395" w:rsidRPr="004D2445" w:rsidRDefault="000766F0" w:rsidP="002D7395">
      <w:pPr>
        <w:pStyle w:val="ListParagraph"/>
        <w:numPr>
          <w:ilvl w:val="0"/>
          <w:numId w:val="5"/>
        </w:numPr>
        <w:rPr>
          <w:rFonts w:ascii="Times New Roman" w:eastAsia="Times New Roman" w:hAnsi="Times New Roman"/>
          <w:sz w:val="24"/>
          <w:szCs w:val="24"/>
        </w:rPr>
      </w:pPr>
      <w:r w:rsidRPr="004D2445">
        <w:rPr>
          <w:rFonts w:ascii="Times New Roman" w:eastAsia="Times New Roman" w:hAnsi="Times New Roman"/>
          <w:sz w:val="24"/>
          <w:szCs w:val="24"/>
        </w:rPr>
        <w:t xml:space="preserve">Hobo Springs had 18 missing years of data (1982-2000) Numerous failures could have occurred in these 18 years for which there are no records.  The relative importance of this data gap is unknown.  </w:t>
      </w:r>
    </w:p>
    <w:p w14:paraId="4B221CD8" w14:textId="7B2A4ADD" w:rsidR="002D7395" w:rsidRDefault="002D7395" w:rsidP="004D2445">
      <w:pPr>
        <w:pStyle w:val="ListParagraph"/>
        <w:numPr>
          <w:ilvl w:val="0"/>
          <w:numId w:val="5"/>
        </w:numPr>
        <w:rPr>
          <w:rFonts w:ascii="Times New Roman" w:eastAsia="Times New Roman" w:hAnsi="Times New Roman"/>
          <w:sz w:val="24"/>
          <w:szCs w:val="24"/>
        </w:rPr>
      </w:pPr>
      <w:r w:rsidRPr="004D2445">
        <w:rPr>
          <w:rFonts w:ascii="Times New Roman" w:eastAsia="Times New Roman" w:hAnsi="Times New Roman"/>
          <w:sz w:val="24"/>
          <w:szCs w:val="24"/>
        </w:rPr>
        <w:t>We’ve been unable to account for 160 residential units which may be missing from Golder’s demand calculations.  Due to the way the data are presented, vetting these numbers is impossible.</w:t>
      </w:r>
    </w:p>
    <w:p w14:paraId="612BB849" w14:textId="66CEB487" w:rsidR="000C2E6B" w:rsidRPr="00444A2D" w:rsidRDefault="000C2E6B" w:rsidP="000C2E6B">
      <w:pPr>
        <w:rPr>
          <w:rFonts w:ascii="Times New Roman" w:eastAsia="Times New Roman" w:hAnsi="Times New Roman"/>
          <w:b/>
          <w:sz w:val="24"/>
          <w:szCs w:val="24"/>
        </w:rPr>
      </w:pPr>
      <w:r w:rsidRPr="00444A2D">
        <w:rPr>
          <w:rFonts w:ascii="Times New Roman" w:eastAsia="Times New Roman" w:hAnsi="Times New Roman"/>
          <w:b/>
          <w:sz w:val="24"/>
          <w:szCs w:val="24"/>
        </w:rPr>
        <w:t>POSTSCRIPT REGARDING JUST RELEASED 2020 NORTH BEND WSP</w:t>
      </w:r>
    </w:p>
    <w:p w14:paraId="3F2C5C87" w14:textId="77777777" w:rsidR="004D69C5" w:rsidRPr="00444A2D" w:rsidRDefault="000C2E6B" w:rsidP="000C2E6B">
      <w:pPr>
        <w:rPr>
          <w:rFonts w:ascii="Times New Roman" w:eastAsia="Times New Roman" w:hAnsi="Times New Roman"/>
          <w:sz w:val="24"/>
          <w:szCs w:val="24"/>
        </w:rPr>
      </w:pPr>
      <w:r w:rsidRPr="00444A2D">
        <w:rPr>
          <w:rFonts w:ascii="Times New Roman" w:eastAsia="Times New Roman" w:hAnsi="Times New Roman"/>
          <w:sz w:val="24"/>
          <w:szCs w:val="24"/>
        </w:rPr>
        <w:t xml:space="preserve">The 2020 North Bend Water System Plan (WSP) has been so recently released for review that no data from the document was used in this assessment.  However it is worth noting that the Executive Summary states: </w:t>
      </w:r>
    </w:p>
    <w:p w14:paraId="190819B3" w14:textId="57DA2FF6" w:rsidR="000C2E6B" w:rsidRPr="00444A2D" w:rsidRDefault="000C2E6B" w:rsidP="000C2E6B">
      <w:pPr>
        <w:rPr>
          <w:sz w:val="24"/>
          <w:szCs w:val="24"/>
        </w:rPr>
      </w:pPr>
      <w:r w:rsidRPr="00444A2D">
        <w:rPr>
          <w:rFonts w:ascii="Times New Roman" w:eastAsia="Times New Roman" w:hAnsi="Times New Roman"/>
          <w:sz w:val="24"/>
          <w:szCs w:val="24"/>
        </w:rPr>
        <w:t xml:space="preserve"> “</w:t>
      </w:r>
      <w:r w:rsidRPr="00444A2D">
        <w:rPr>
          <w:sz w:val="24"/>
          <w:szCs w:val="24"/>
        </w:rPr>
        <w:t>The City anticipates growth of approximately 2.5 percent over the 10-year planning period and has adequate water rights, source, and storage capacity to meet the water demand projected over the next 10 years. However, the City is at or near its mitigation capacity limits. Mitigation capacity dictates how much water can be withdrawn from the Centennial Well. Unfortunately, during the dry summer months high overall water demand coincides with a severely limited withdrawal capacity from Mount Si Springs. As a result, the City must depend on the Centennial Well for the majority of its water production. This often coincides with low instream flows in the Snoqualmie River which leads to increased mitigation requirements. Under present peak summer demand, if a drier summer were to occur, the flows at Hobo Springs would be at or just below those required to properly mitigate water demand. The City must therefore increase its mitigation capacity by implementing two measures. 1. Enact water conservation policies that curb</w:t>
      </w:r>
      <w:r w:rsidR="004D69C5" w:rsidRPr="00444A2D">
        <w:rPr>
          <w:sz w:val="24"/>
          <w:szCs w:val="24"/>
        </w:rPr>
        <w:t xml:space="preserve"> peak season water use…..  2. Obtain additional sources of mitigation water…..”</w:t>
      </w:r>
    </w:p>
    <w:p w14:paraId="5BF11B06" w14:textId="0F61FA48" w:rsidR="004D69C5" w:rsidRPr="00444A2D" w:rsidRDefault="004D69C5" w:rsidP="000C2E6B">
      <w:pPr>
        <w:rPr>
          <w:rFonts w:ascii="Times New Roman" w:eastAsia="Times New Roman" w:hAnsi="Times New Roman"/>
          <w:b/>
          <w:sz w:val="24"/>
          <w:szCs w:val="24"/>
        </w:rPr>
      </w:pPr>
      <w:r w:rsidRPr="00444A2D">
        <w:rPr>
          <w:b/>
          <w:sz w:val="24"/>
          <w:szCs w:val="24"/>
        </w:rPr>
        <w:t>The WSP entirely supports our conclusion that t</w:t>
      </w:r>
      <w:r w:rsidR="00C12B18">
        <w:rPr>
          <w:b/>
          <w:sz w:val="24"/>
          <w:szCs w:val="24"/>
        </w:rPr>
        <w:t>he City has inadequate supply</w:t>
      </w:r>
      <w:r w:rsidRPr="00444A2D">
        <w:rPr>
          <w:b/>
          <w:sz w:val="24"/>
          <w:szCs w:val="24"/>
        </w:rPr>
        <w:t xml:space="preserve"> at the present time </w:t>
      </w:r>
      <w:r w:rsidR="00C12B18">
        <w:rPr>
          <w:b/>
          <w:sz w:val="24"/>
          <w:szCs w:val="24"/>
        </w:rPr>
        <w:t xml:space="preserve">to </w:t>
      </w:r>
      <w:r w:rsidRPr="00444A2D">
        <w:rPr>
          <w:b/>
          <w:sz w:val="24"/>
          <w:szCs w:val="24"/>
        </w:rPr>
        <w:t>meet demands in the event of a dry year.</w:t>
      </w:r>
    </w:p>
    <w:p w14:paraId="0B87C464" w14:textId="77777777" w:rsidR="000766F0" w:rsidRPr="00444A2D" w:rsidRDefault="000766F0" w:rsidP="00BC2117">
      <w:pPr>
        <w:rPr>
          <w:bCs/>
        </w:rPr>
      </w:pPr>
    </w:p>
    <w:p w14:paraId="0D607B3A" w14:textId="77777777" w:rsidR="00641C96" w:rsidRDefault="00641C96"/>
    <w:sectPr w:rsidR="00641C96" w:rsidSect="00EB03E2">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42C9" w14:textId="77777777" w:rsidR="005F6CDC" w:rsidRDefault="005F6CDC" w:rsidP="005B362F">
      <w:pPr>
        <w:spacing w:after="0" w:line="240" w:lineRule="auto"/>
      </w:pPr>
      <w:r>
        <w:separator/>
      </w:r>
    </w:p>
  </w:endnote>
  <w:endnote w:type="continuationSeparator" w:id="0">
    <w:p w14:paraId="5150E464" w14:textId="77777777" w:rsidR="005F6CDC" w:rsidRDefault="005F6CDC" w:rsidP="005B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4D7E" w14:textId="77777777" w:rsidR="005F6CDC" w:rsidRDefault="005F6CDC" w:rsidP="005B362F">
      <w:pPr>
        <w:spacing w:after="0" w:line="240" w:lineRule="auto"/>
      </w:pPr>
      <w:r>
        <w:separator/>
      </w:r>
    </w:p>
  </w:footnote>
  <w:footnote w:type="continuationSeparator" w:id="0">
    <w:p w14:paraId="41ED1F4C" w14:textId="77777777" w:rsidR="005F6CDC" w:rsidRDefault="005F6CDC" w:rsidP="005B3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D998" w14:textId="6AB3774D" w:rsidR="005B362F" w:rsidRDefault="005B3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D58"/>
    <w:multiLevelType w:val="hybridMultilevel"/>
    <w:tmpl w:val="4126E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96EE0"/>
    <w:multiLevelType w:val="hybridMultilevel"/>
    <w:tmpl w:val="A4C6B78C"/>
    <w:lvl w:ilvl="0" w:tplc="A450065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6753DEA"/>
    <w:multiLevelType w:val="hybridMultilevel"/>
    <w:tmpl w:val="AD4A5D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C3D0957"/>
    <w:multiLevelType w:val="hybridMultilevel"/>
    <w:tmpl w:val="4BDEF9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E4A21B6"/>
    <w:multiLevelType w:val="hybridMultilevel"/>
    <w:tmpl w:val="BFA0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99"/>
    <w:rsid w:val="0000184C"/>
    <w:rsid w:val="00007F4F"/>
    <w:rsid w:val="00035A2E"/>
    <w:rsid w:val="00042BB1"/>
    <w:rsid w:val="00050C36"/>
    <w:rsid w:val="000766F0"/>
    <w:rsid w:val="0009243A"/>
    <w:rsid w:val="000A14A6"/>
    <w:rsid w:val="000C2E6B"/>
    <w:rsid w:val="000F54E8"/>
    <w:rsid w:val="00111646"/>
    <w:rsid w:val="00133869"/>
    <w:rsid w:val="00150701"/>
    <w:rsid w:val="00165A46"/>
    <w:rsid w:val="001849FF"/>
    <w:rsid w:val="001B7DF2"/>
    <w:rsid w:val="001E7B96"/>
    <w:rsid w:val="00203554"/>
    <w:rsid w:val="0024686D"/>
    <w:rsid w:val="00272C4D"/>
    <w:rsid w:val="002D7395"/>
    <w:rsid w:val="002E4550"/>
    <w:rsid w:val="00331F48"/>
    <w:rsid w:val="003A30D6"/>
    <w:rsid w:val="003C5BE1"/>
    <w:rsid w:val="003C7E97"/>
    <w:rsid w:val="00401AB3"/>
    <w:rsid w:val="00404890"/>
    <w:rsid w:val="004075D0"/>
    <w:rsid w:val="00442C2A"/>
    <w:rsid w:val="00444A2D"/>
    <w:rsid w:val="00457210"/>
    <w:rsid w:val="004867DB"/>
    <w:rsid w:val="00494C71"/>
    <w:rsid w:val="004B21E0"/>
    <w:rsid w:val="004D1799"/>
    <w:rsid w:val="004D2445"/>
    <w:rsid w:val="004D69C5"/>
    <w:rsid w:val="004F6AAE"/>
    <w:rsid w:val="0050659C"/>
    <w:rsid w:val="005168E7"/>
    <w:rsid w:val="00520B24"/>
    <w:rsid w:val="00525C85"/>
    <w:rsid w:val="00537CD3"/>
    <w:rsid w:val="00544FE6"/>
    <w:rsid w:val="005B2D04"/>
    <w:rsid w:val="005B362F"/>
    <w:rsid w:val="005C7FDA"/>
    <w:rsid w:val="005F2FE2"/>
    <w:rsid w:val="005F6CDC"/>
    <w:rsid w:val="00641C96"/>
    <w:rsid w:val="00645512"/>
    <w:rsid w:val="00661FB6"/>
    <w:rsid w:val="006A073F"/>
    <w:rsid w:val="006A31EE"/>
    <w:rsid w:val="006A38A5"/>
    <w:rsid w:val="006C57C0"/>
    <w:rsid w:val="006D1B08"/>
    <w:rsid w:val="007829AC"/>
    <w:rsid w:val="007B45B5"/>
    <w:rsid w:val="007D0732"/>
    <w:rsid w:val="007D5242"/>
    <w:rsid w:val="007F0863"/>
    <w:rsid w:val="0081166A"/>
    <w:rsid w:val="00841E50"/>
    <w:rsid w:val="00872710"/>
    <w:rsid w:val="008753EF"/>
    <w:rsid w:val="008B65C6"/>
    <w:rsid w:val="00933A6C"/>
    <w:rsid w:val="0096279C"/>
    <w:rsid w:val="009A6BF0"/>
    <w:rsid w:val="009D0176"/>
    <w:rsid w:val="009E4478"/>
    <w:rsid w:val="00A63285"/>
    <w:rsid w:val="00A63A06"/>
    <w:rsid w:val="00A90D8E"/>
    <w:rsid w:val="00AF0F2A"/>
    <w:rsid w:val="00B31320"/>
    <w:rsid w:val="00B47D54"/>
    <w:rsid w:val="00B7159C"/>
    <w:rsid w:val="00B851F9"/>
    <w:rsid w:val="00B944E0"/>
    <w:rsid w:val="00BA72F4"/>
    <w:rsid w:val="00BC0D40"/>
    <w:rsid w:val="00BC2117"/>
    <w:rsid w:val="00C12B18"/>
    <w:rsid w:val="00C157A4"/>
    <w:rsid w:val="00C25F1F"/>
    <w:rsid w:val="00C317E8"/>
    <w:rsid w:val="00C3415D"/>
    <w:rsid w:val="00C81A72"/>
    <w:rsid w:val="00C9528F"/>
    <w:rsid w:val="00C973BB"/>
    <w:rsid w:val="00D1363C"/>
    <w:rsid w:val="00D34676"/>
    <w:rsid w:val="00DF067B"/>
    <w:rsid w:val="00DF25EB"/>
    <w:rsid w:val="00E20895"/>
    <w:rsid w:val="00E24AF6"/>
    <w:rsid w:val="00E24E1F"/>
    <w:rsid w:val="00E81039"/>
    <w:rsid w:val="00EB03E2"/>
    <w:rsid w:val="00F1532F"/>
    <w:rsid w:val="00F1583B"/>
    <w:rsid w:val="00F301BF"/>
    <w:rsid w:val="00F4649C"/>
    <w:rsid w:val="00F62D5D"/>
    <w:rsid w:val="00F7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AC2B0"/>
  <w15:docId w15:val="{408B5526-070E-49B4-A55B-165FCB1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17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799"/>
    <w:pPr>
      <w:ind w:left="720"/>
      <w:contextualSpacing/>
    </w:pPr>
  </w:style>
  <w:style w:type="paragraph" w:styleId="Title">
    <w:name w:val="Title"/>
    <w:basedOn w:val="Normal"/>
    <w:next w:val="Normal"/>
    <w:link w:val="TitleChar"/>
    <w:uiPriority w:val="99"/>
    <w:qFormat/>
    <w:rsid w:val="004D179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4D1799"/>
    <w:rPr>
      <w:rFonts w:ascii="Calibri Light" w:hAnsi="Calibri Light" w:cs="Times New Roman"/>
      <w:spacing w:val="-10"/>
      <w:kern w:val="28"/>
      <w:sz w:val="56"/>
      <w:szCs w:val="56"/>
    </w:rPr>
  </w:style>
  <w:style w:type="character" w:styleId="Strong">
    <w:name w:val="Strong"/>
    <w:basedOn w:val="DefaultParagraphFont"/>
    <w:uiPriority w:val="99"/>
    <w:qFormat/>
    <w:rsid w:val="004D1799"/>
    <w:rPr>
      <w:rFonts w:cs="Times New Roman"/>
      <w:b/>
      <w:bCs/>
    </w:rPr>
  </w:style>
  <w:style w:type="paragraph" w:styleId="NoSpacing">
    <w:name w:val="No Spacing"/>
    <w:uiPriority w:val="99"/>
    <w:qFormat/>
    <w:rsid w:val="004D1799"/>
  </w:style>
  <w:style w:type="character" w:styleId="IntenseReference">
    <w:name w:val="Intense Reference"/>
    <w:basedOn w:val="DefaultParagraphFont"/>
    <w:uiPriority w:val="32"/>
    <w:qFormat/>
    <w:rsid w:val="00AF0F2A"/>
    <w:rPr>
      <w:b/>
      <w:bCs/>
      <w:smallCaps/>
      <w:color w:val="4F81BD" w:themeColor="accent1"/>
      <w:spacing w:val="5"/>
    </w:rPr>
  </w:style>
  <w:style w:type="character" w:styleId="CommentReference">
    <w:name w:val="annotation reference"/>
    <w:basedOn w:val="DefaultParagraphFont"/>
    <w:uiPriority w:val="99"/>
    <w:semiHidden/>
    <w:unhideWhenUsed/>
    <w:rsid w:val="00C25F1F"/>
    <w:rPr>
      <w:sz w:val="16"/>
      <w:szCs w:val="16"/>
    </w:rPr>
  </w:style>
  <w:style w:type="paragraph" w:styleId="CommentText">
    <w:name w:val="annotation text"/>
    <w:basedOn w:val="Normal"/>
    <w:link w:val="CommentTextChar"/>
    <w:uiPriority w:val="99"/>
    <w:unhideWhenUsed/>
    <w:rsid w:val="00C25F1F"/>
    <w:pPr>
      <w:spacing w:line="240" w:lineRule="auto"/>
    </w:pPr>
    <w:rPr>
      <w:sz w:val="20"/>
      <w:szCs w:val="20"/>
    </w:rPr>
  </w:style>
  <w:style w:type="character" w:customStyle="1" w:styleId="CommentTextChar">
    <w:name w:val="Comment Text Char"/>
    <w:basedOn w:val="DefaultParagraphFont"/>
    <w:link w:val="CommentText"/>
    <w:uiPriority w:val="99"/>
    <w:rsid w:val="00C25F1F"/>
    <w:rPr>
      <w:sz w:val="20"/>
      <w:szCs w:val="20"/>
    </w:rPr>
  </w:style>
  <w:style w:type="paragraph" w:styleId="CommentSubject">
    <w:name w:val="annotation subject"/>
    <w:basedOn w:val="CommentText"/>
    <w:next w:val="CommentText"/>
    <w:link w:val="CommentSubjectChar"/>
    <w:uiPriority w:val="99"/>
    <w:semiHidden/>
    <w:unhideWhenUsed/>
    <w:rsid w:val="00C25F1F"/>
    <w:rPr>
      <w:b/>
      <w:bCs/>
    </w:rPr>
  </w:style>
  <w:style w:type="character" w:customStyle="1" w:styleId="CommentSubjectChar">
    <w:name w:val="Comment Subject Char"/>
    <w:basedOn w:val="CommentTextChar"/>
    <w:link w:val="CommentSubject"/>
    <w:uiPriority w:val="99"/>
    <w:semiHidden/>
    <w:rsid w:val="00C25F1F"/>
    <w:rPr>
      <w:b/>
      <w:bCs/>
      <w:sz w:val="20"/>
      <w:szCs w:val="20"/>
    </w:rPr>
  </w:style>
  <w:style w:type="paragraph" w:styleId="BalloonText">
    <w:name w:val="Balloon Text"/>
    <w:basedOn w:val="Normal"/>
    <w:link w:val="BalloonTextChar"/>
    <w:uiPriority w:val="99"/>
    <w:semiHidden/>
    <w:unhideWhenUsed/>
    <w:rsid w:val="00C2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1F"/>
    <w:rPr>
      <w:rFonts w:ascii="Segoe UI" w:hAnsi="Segoe UI" w:cs="Segoe UI"/>
      <w:sz w:val="18"/>
      <w:szCs w:val="18"/>
    </w:rPr>
  </w:style>
  <w:style w:type="paragraph" w:styleId="Revision">
    <w:name w:val="Revision"/>
    <w:hidden/>
    <w:uiPriority w:val="99"/>
    <w:semiHidden/>
    <w:rsid w:val="00A63A06"/>
  </w:style>
  <w:style w:type="paragraph" w:styleId="Header">
    <w:name w:val="header"/>
    <w:basedOn w:val="Normal"/>
    <w:link w:val="HeaderChar"/>
    <w:uiPriority w:val="99"/>
    <w:unhideWhenUsed/>
    <w:rsid w:val="005B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2F"/>
  </w:style>
  <w:style w:type="paragraph" w:styleId="Footer">
    <w:name w:val="footer"/>
    <w:basedOn w:val="Normal"/>
    <w:link w:val="FooterChar"/>
    <w:uiPriority w:val="99"/>
    <w:unhideWhenUsed/>
    <w:rsid w:val="005B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1920">
      <w:marLeft w:val="0"/>
      <w:marRight w:val="0"/>
      <w:marTop w:val="0"/>
      <w:marBottom w:val="0"/>
      <w:divBdr>
        <w:top w:val="none" w:sz="0" w:space="0" w:color="auto"/>
        <w:left w:val="none" w:sz="0" w:space="0" w:color="auto"/>
        <w:bottom w:val="none" w:sz="0" w:space="0" w:color="auto"/>
        <w:right w:val="none" w:sz="0" w:space="0" w:color="auto"/>
      </w:divBdr>
    </w:div>
    <w:div w:id="345521921">
      <w:marLeft w:val="0"/>
      <w:marRight w:val="0"/>
      <w:marTop w:val="0"/>
      <w:marBottom w:val="0"/>
      <w:divBdr>
        <w:top w:val="none" w:sz="0" w:space="0" w:color="auto"/>
        <w:left w:val="none" w:sz="0" w:space="0" w:color="auto"/>
        <w:bottom w:val="none" w:sz="0" w:space="0" w:color="auto"/>
        <w:right w:val="none" w:sz="0" w:space="0" w:color="auto"/>
      </w:divBdr>
    </w:div>
    <w:div w:id="601374255">
      <w:bodyDiv w:val="1"/>
      <w:marLeft w:val="0"/>
      <w:marRight w:val="0"/>
      <w:marTop w:val="0"/>
      <w:marBottom w:val="0"/>
      <w:divBdr>
        <w:top w:val="none" w:sz="0" w:space="0" w:color="auto"/>
        <w:left w:val="none" w:sz="0" w:space="0" w:color="auto"/>
        <w:bottom w:val="none" w:sz="0" w:space="0" w:color="auto"/>
        <w:right w:val="none" w:sz="0" w:space="0" w:color="auto"/>
      </w:divBdr>
    </w:div>
    <w:div w:id="778447822">
      <w:bodyDiv w:val="1"/>
      <w:marLeft w:val="0"/>
      <w:marRight w:val="0"/>
      <w:marTop w:val="0"/>
      <w:marBottom w:val="0"/>
      <w:divBdr>
        <w:top w:val="none" w:sz="0" w:space="0" w:color="auto"/>
        <w:left w:val="none" w:sz="0" w:space="0" w:color="auto"/>
        <w:bottom w:val="none" w:sz="0" w:space="0" w:color="auto"/>
        <w:right w:val="none" w:sz="0" w:space="0" w:color="auto"/>
      </w:divBdr>
    </w:div>
    <w:div w:id="1410227479">
      <w:bodyDiv w:val="1"/>
      <w:marLeft w:val="0"/>
      <w:marRight w:val="0"/>
      <w:marTop w:val="0"/>
      <w:marBottom w:val="0"/>
      <w:divBdr>
        <w:top w:val="none" w:sz="0" w:space="0" w:color="auto"/>
        <w:left w:val="none" w:sz="0" w:space="0" w:color="auto"/>
        <w:bottom w:val="none" w:sz="0" w:space="0" w:color="auto"/>
        <w:right w:val="none" w:sz="0" w:space="0" w:color="auto"/>
      </w:divBdr>
    </w:div>
    <w:div w:id="1478955984">
      <w:bodyDiv w:val="1"/>
      <w:marLeft w:val="0"/>
      <w:marRight w:val="0"/>
      <w:marTop w:val="0"/>
      <w:marBottom w:val="0"/>
      <w:divBdr>
        <w:top w:val="none" w:sz="0" w:space="0" w:color="auto"/>
        <w:left w:val="none" w:sz="0" w:space="0" w:color="auto"/>
        <w:bottom w:val="none" w:sz="0" w:space="0" w:color="auto"/>
        <w:right w:val="none" w:sz="0" w:space="0" w:color="auto"/>
      </w:divBdr>
    </w:div>
    <w:div w:id="1702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8F06-E742-4DFF-ABBA-E8A73E46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4</cp:revision>
  <cp:lastPrinted>2020-03-11T06:59:00Z</cp:lastPrinted>
  <dcterms:created xsi:type="dcterms:W3CDTF">2020-04-04T17:52:00Z</dcterms:created>
  <dcterms:modified xsi:type="dcterms:W3CDTF">2020-04-04T20:18:00Z</dcterms:modified>
</cp:coreProperties>
</file>