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5006" w14:textId="281F0EB3" w:rsidR="005B7911" w:rsidRDefault="005B7911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E799B2" wp14:editId="241938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21280" cy="1600200"/>
            <wp:effectExtent l="0" t="0" r="7620" b="0"/>
            <wp:wrapSquare wrapText="bothSides"/>
            <wp:docPr id="2059064179" name="Picture 1" descr="C:\Users\Manager\AppData\Local\Microsoft\Windows\INetCache\Content.MSO\195C2E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AppData\Local\Microsoft\Windows\INetCache\Content.MSO\195C2E1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B5C93" w14:textId="77777777" w:rsidR="005B7911" w:rsidRDefault="005B7911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2851B68" w14:textId="77777777" w:rsidR="005B7911" w:rsidRDefault="005B7911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C792414" w14:textId="77777777" w:rsidR="005B7911" w:rsidRDefault="005B7911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D49B274" w14:textId="77777777" w:rsidR="005B7911" w:rsidRDefault="005B7911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228CA61" w14:textId="76A89ADB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59674444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5B7911" w:rsidRPr="005B7911">
        <w:rPr>
          <w:b w:val="0"/>
          <w:sz w:val="22"/>
          <w:szCs w:val="22"/>
        </w:rPr>
        <w:t>YEALMPTON PRE-SCHOOL</w:t>
      </w:r>
      <w:r w:rsidRPr="0049232B">
        <w:rPr>
          <w:b w:val="0"/>
          <w:sz w:val="22"/>
          <w:szCs w:val="22"/>
        </w:rPr>
        <w:t xml:space="preserve"> on </w:t>
      </w:r>
      <w:r w:rsidR="005B7911" w:rsidRPr="005B7911">
        <w:rPr>
          <w:b w:val="0"/>
          <w:sz w:val="22"/>
          <w:szCs w:val="22"/>
        </w:rPr>
        <w:t>25/01/2024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5C946917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snacks which promote health and reduce the risk of obesity and heart disease that may begin in childhood. </w:t>
      </w:r>
    </w:p>
    <w:p w14:paraId="637805D2" w14:textId="5E800E7B" w:rsidR="00395ECF" w:rsidRPr="00787FC7" w:rsidRDefault="00F85543" w:rsidP="00787FC7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</w:t>
      </w:r>
      <w:r w:rsidR="00787FC7">
        <w:rPr>
          <w:rFonts w:ascii="Arial" w:hAnsi="Arial" w:cs="Arial"/>
          <w:sz w:val="22"/>
          <w:szCs w:val="22"/>
        </w:rPr>
        <w:t>snacks.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CC77E88" w14:textId="791F9E53" w:rsidR="00395ECF" w:rsidRPr="00787FC7" w:rsidRDefault="00395ECF" w:rsidP="00787FC7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0BB0C6FC" w14:textId="77777777" w:rsidR="00787FC7" w:rsidRDefault="00787FC7" w:rsidP="00787FC7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lastRenderedPageBreak/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000000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2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5E4FB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CC45" w14:textId="77777777" w:rsidR="005E4FBE" w:rsidRDefault="005E4FBE" w:rsidP="00E07382">
      <w:r>
        <w:separator/>
      </w:r>
    </w:p>
  </w:endnote>
  <w:endnote w:type="continuationSeparator" w:id="0">
    <w:p w14:paraId="1737DDDF" w14:textId="77777777" w:rsidR="005E4FBE" w:rsidRDefault="005E4FBE" w:rsidP="00E07382">
      <w:r>
        <w:continuationSeparator/>
      </w:r>
    </w:p>
  </w:endnote>
  <w:endnote w:type="continuationNotice" w:id="1">
    <w:p w14:paraId="2F9C151C" w14:textId="77777777" w:rsidR="005E4FBE" w:rsidRDefault="005E4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3710" w14:textId="2364F453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 w:rsidR="00917261">
      <w:rPr>
        <w:rFonts w:ascii="Arial" w:hAnsi="Arial" w:cs="Arial"/>
        <w:i/>
        <w:iCs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 w:rsidR="00917261">
      <w:rPr>
        <w:rFonts w:ascii="Arial" w:hAnsi="Arial" w:cs="Arial"/>
        <w:sz w:val="20"/>
        <w:szCs w:val="20"/>
      </w:rPr>
      <w:t>4</w:t>
    </w:r>
    <w:r w:rsidRPr="000322F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57B4" w14:textId="77777777" w:rsidR="005E4FBE" w:rsidRDefault="005E4FBE" w:rsidP="00E07382">
      <w:r>
        <w:separator/>
      </w:r>
    </w:p>
  </w:footnote>
  <w:footnote w:type="continuationSeparator" w:id="0">
    <w:p w14:paraId="6118A032" w14:textId="77777777" w:rsidR="005E4FBE" w:rsidRDefault="005E4FBE" w:rsidP="00E07382">
      <w:r>
        <w:continuationSeparator/>
      </w:r>
    </w:p>
  </w:footnote>
  <w:footnote w:type="continuationNotice" w:id="1">
    <w:p w14:paraId="42C55B37" w14:textId="77777777" w:rsidR="005E4FBE" w:rsidRDefault="005E4F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B7911"/>
    <w:rsid w:val="005C5BED"/>
    <w:rsid w:val="005D3974"/>
    <w:rsid w:val="005D7EEE"/>
    <w:rsid w:val="005E0053"/>
    <w:rsid w:val="005E29D2"/>
    <w:rsid w:val="005E3BF5"/>
    <w:rsid w:val="005E4046"/>
    <w:rsid w:val="005E4FBE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87FC7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7779B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-for-cater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C5C7D-BA57-42BD-9378-9AE9E750D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Laura Farleigh</cp:lastModifiedBy>
  <cp:revision>2</cp:revision>
  <cp:lastPrinted>2011-11-21T12:20:00Z</cp:lastPrinted>
  <dcterms:created xsi:type="dcterms:W3CDTF">2024-01-25T19:16:00Z</dcterms:created>
  <dcterms:modified xsi:type="dcterms:W3CDTF">2024-01-25T19:16:00Z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