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0C366" w14:textId="020BBF5A" w:rsidR="001A1DC1" w:rsidRDefault="00491AE0" w:rsidP="00491AE0">
      <w:pPr>
        <w:spacing w:before="14"/>
        <w:ind w:left="112" w:right="4105"/>
        <w:rPr>
          <w:rFonts w:ascii="Calibri" w:eastAsia="Calibri" w:hAnsi="Calibri" w:cs="Calibri"/>
          <w:b/>
          <w:bCs/>
          <w:spacing w:val="29"/>
          <w:sz w:val="28"/>
          <w:szCs w:val="28"/>
          <w:lang w:val="en-ZA"/>
        </w:rPr>
      </w:pPr>
      <w:bookmarkStart w:id="0" w:name="_Toc336500039"/>
      <w:r w:rsidRPr="00A84AE9">
        <w:rPr>
          <w:rFonts w:ascii="Calibri" w:eastAsia="Calibri" w:hAnsi="Calibri" w:cs="Calibri"/>
          <w:b/>
          <w:bCs/>
          <w:spacing w:val="-1"/>
          <w:sz w:val="28"/>
          <w:szCs w:val="28"/>
          <w:lang w:val="en-ZA"/>
        </w:rPr>
        <w:t>Learner</w:t>
      </w:r>
      <w:r w:rsidRPr="00A84AE9">
        <w:rPr>
          <w:rFonts w:ascii="Calibri" w:eastAsia="Calibri" w:hAnsi="Calibri" w:cs="Calibri"/>
          <w:b/>
          <w:bCs/>
          <w:sz w:val="28"/>
          <w:szCs w:val="28"/>
          <w:lang w:val="en-ZA"/>
        </w:rPr>
        <w:t xml:space="preserve"> </w:t>
      </w:r>
      <w:r w:rsidRPr="00A84AE9">
        <w:rPr>
          <w:rFonts w:ascii="Calibri" w:eastAsia="Calibri" w:hAnsi="Calibri" w:cs="Calibri"/>
          <w:b/>
          <w:bCs/>
          <w:spacing w:val="-1"/>
          <w:sz w:val="28"/>
          <w:szCs w:val="28"/>
          <w:lang w:val="en-ZA"/>
        </w:rPr>
        <w:t>Assessment</w:t>
      </w:r>
      <w:r w:rsidRPr="00A84AE9">
        <w:rPr>
          <w:rFonts w:ascii="Calibri" w:eastAsia="Calibri" w:hAnsi="Calibri" w:cs="Calibri"/>
          <w:b/>
          <w:bCs/>
          <w:spacing w:val="-3"/>
          <w:sz w:val="28"/>
          <w:szCs w:val="28"/>
          <w:lang w:val="en-ZA"/>
        </w:rPr>
        <w:t xml:space="preserve"> </w:t>
      </w:r>
      <w:r w:rsidRPr="00A84AE9">
        <w:rPr>
          <w:rFonts w:ascii="Calibri" w:eastAsia="Calibri" w:hAnsi="Calibri" w:cs="Calibri"/>
          <w:b/>
          <w:bCs/>
          <w:spacing w:val="-1"/>
          <w:sz w:val="28"/>
          <w:szCs w:val="28"/>
          <w:lang w:val="en-ZA"/>
        </w:rPr>
        <w:t xml:space="preserve">Guide </w:t>
      </w:r>
      <w:r w:rsidRPr="00A84AE9">
        <w:rPr>
          <w:rFonts w:ascii="Calibri" w:eastAsia="Calibri" w:hAnsi="Calibri" w:cs="Calibri"/>
          <w:b/>
          <w:bCs/>
          <w:sz w:val="28"/>
          <w:szCs w:val="28"/>
          <w:lang w:val="en-ZA"/>
        </w:rPr>
        <w:t>–</w:t>
      </w:r>
      <w:r w:rsidRPr="00A84AE9">
        <w:rPr>
          <w:rFonts w:ascii="Calibri" w:eastAsia="Calibri" w:hAnsi="Calibri" w:cs="Calibri"/>
          <w:b/>
          <w:bCs/>
          <w:spacing w:val="-2"/>
          <w:sz w:val="28"/>
          <w:szCs w:val="28"/>
          <w:lang w:val="en-ZA"/>
        </w:rPr>
        <w:t xml:space="preserve"> </w:t>
      </w:r>
      <w:r w:rsidR="001A1DC1" w:rsidRPr="001A1DC1">
        <w:rPr>
          <w:rFonts w:ascii="Calibri" w:eastAsia="Calibri" w:hAnsi="Calibri" w:cs="Calibri"/>
          <w:b/>
          <w:bCs/>
          <w:spacing w:val="-1"/>
          <w:sz w:val="28"/>
          <w:szCs w:val="28"/>
          <w:lang w:val="en-ZA"/>
        </w:rPr>
        <w:t>End User</w:t>
      </w:r>
      <w:r w:rsidR="001A1DC1">
        <w:rPr>
          <w:rFonts w:ascii="Calibri" w:eastAsia="Calibri" w:hAnsi="Calibri" w:cs="Calibri"/>
          <w:b/>
          <w:bCs/>
          <w:spacing w:val="-1"/>
          <w:sz w:val="28"/>
          <w:szCs w:val="28"/>
          <w:lang w:val="en-ZA"/>
        </w:rPr>
        <w:t xml:space="preserve"> </w:t>
      </w:r>
      <w:r w:rsidR="001A1DC1" w:rsidRPr="001A1DC1">
        <w:rPr>
          <w:rFonts w:ascii="Calibri" w:eastAsia="Calibri" w:hAnsi="Calibri" w:cs="Calibri"/>
          <w:b/>
          <w:bCs/>
          <w:spacing w:val="-1"/>
          <w:sz w:val="28"/>
          <w:szCs w:val="28"/>
          <w:lang w:val="en-ZA"/>
        </w:rPr>
        <w:t>Computing</w:t>
      </w:r>
      <w:r w:rsidRPr="00A84AE9">
        <w:rPr>
          <w:rFonts w:ascii="Calibri" w:eastAsia="Calibri" w:hAnsi="Calibri" w:cs="Calibri"/>
          <w:b/>
          <w:bCs/>
          <w:spacing w:val="29"/>
          <w:sz w:val="28"/>
          <w:szCs w:val="28"/>
          <w:lang w:val="en-ZA"/>
        </w:rPr>
        <w:t xml:space="preserve"> </w:t>
      </w:r>
    </w:p>
    <w:p w14:paraId="7520CE50" w14:textId="60D1D68D" w:rsidR="00491AE0" w:rsidRPr="00A84AE9" w:rsidRDefault="00491AE0" w:rsidP="00491AE0">
      <w:pPr>
        <w:spacing w:before="14"/>
        <w:ind w:left="112" w:right="4105"/>
        <w:rPr>
          <w:rFonts w:ascii="Calibri" w:eastAsia="Calibri" w:hAnsi="Calibri" w:cs="Calibri"/>
          <w:sz w:val="28"/>
          <w:szCs w:val="28"/>
          <w:lang w:val="en-ZA"/>
        </w:rPr>
      </w:pPr>
      <w:r w:rsidRPr="00A84AE9">
        <w:rPr>
          <w:rFonts w:ascii="Calibri" w:eastAsia="Calibri" w:hAnsi="Calibri" w:cs="Calibri"/>
          <w:b/>
          <w:bCs/>
          <w:spacing w:val="-1"/>
          <w:sz w:val="28"/>
          <w:szCs w:val="28"/>
          <w:lang w:val="en-ZA"/>
        </w:rPr>
        <w:t xml:space="preserve">UNIT STANDARD </w:t>
      </w:r>
      <w:r w:rsidR="001A1DC1">
        <w:rPr>
          <w:rFonts w:ascii="Calibri" w:eastAsia="Calibri" w:hAnsi="Calibri" w:cs="Calibri"/>
          <w:b/>
          <w:bCs/>
          <w:spacing w:val="-1"/>
          <w:sz w:val="28"/>
          <w:szCs w:val="28"/>
          <w:lang w:val="en-ZA"/>
        </w:rPr>
        <w:t>49077</w:t>
      </w:r>
    </w:p>
    <w:p w14:paraId="0697C22F" w14:textId="77777777" w:rsidR="00491AE0" w:rsidRPr="00A84AE9" w:rsidRDefault="00491AE0" w:rsidP="00491AE0">
      <w:pPr>
        <w:spacing w:before="118"/>
        <w:ind w:left="112" w:right="303"/>
        <w:rPr>
          <w:rFonts w:ascii="Calibri" w:eastAsia="Calibri" w:hAnsi="Calibri" w:cs="Calibri"/>
          <w:sz w:val="24"/>
          <w:szCs w:val="24"/>
          <w:lang w:val="en-ZA"/>
        </w:rPr>
      </w:pPr>
      <w:bookmarkStart w:id="1" w:name="Title"/>
      <w:bookmarkEnd w:id="1"/>
      <w:r w:rsidRPr="00A84AE9">
        <w:rPr>
          <w:rFonts w:ascii="Calibri"/>
          <w:b/>
          <w:sz w:val="24"/>
          <w:lang w:val="en-ZA"/>
        </w:rPr>
        <w:t>Title</w:t>
      </w:r>
    </w:p>
    <w:p w14:paraId="03723189" w14:textId="77777777" w:rsidR="001A1DC1" w:rsidRDefault="001A1DC1" w:rsidP="00491AE0">
      <w:pPr>
        <w:pStyle w:val="BodyText"/>
        <w:spacing w:before="0"/>
        <w:ind w:left="112" w:right="303" w:firstLine="0"/>
        <w:rPr>
          <w:spacing w:val="-1"/>
        </w:rPr>
      </w:pPr>
      <w:r w:rsidRPr="001A1DC1">
        <w:rPr>
          <w:spacing w:val="-1"/>
        </w:rPr>
        <w:t>National Certificate: Information Technology: End User Computing</w:t>
      </w:r>
    </w:p>
    <w:p w14:paraId="570B3210" w14:textId="6D557B90" w:rsidR="00491AE0" w:rsidRPr="00A84AE9" w:rsidRDefault="00491AE0" w:rsidP="00491AE0">
      <w:pPr>
        <w:pStyle w:val="BodyText"/>
        <w:spacing w:before="0"/>
        <w:ind w:left="112" w:right="303" w:firstLine="0"/>
        <w:rPr>
          <w:lang w:val="en-ZA"/>
        </w:rPr>
      </w:pPr>
      <w:r w:rsidRPr="00A84AE9">
        <w:rPr>
          <w:lang w:val="en-ZA"/>
        </w:rPr>
        <w:t>NQF</w:t>
      </w:r>
      <w:r w:rsidRPr="00A84AE9">
        <w:rPr>
          <w:spacing w:val="-5"/>
          <w:lang w:val="en-ZA"/>
        </w:rPr>
        <w:t xml:space="preserve"> </w:t>
      </w:r>
      <w:r w:rsidRPr="00A84AE9">
        <w:rPr>
          <w:spacing w:val="-1"/>
          <w:lang w:val="en-ZA"/>
        </w:rPr>
        <w:t>level</w:t>
      </w:r>
      <w:r w:rsidRPr="00A84AE9">
        <w:rPr>
          <w:spacing w:val="-4"/>
          <w:lang w:val="en-ZA"/>
        </w:rPr>
        <w:t xml:space="preserve"> </w:t>
      </w:r>
      <w:r w:rsidR="001A1DC1">
        <w:rPr>
          <w:lang w:val="en-ZA"/>
        </w:rPr>
        <w:t>3</w:t>
      </w:r>
    </w:p>
    <w:p w14:paraId="638C7796" w14:textId="1011DC65" w:rsidR="00491AE0" w:rsidRDefault="00491AE0" w:rsidP="00491AE0">
      <w:pPr>
        <w:pStyle w:val="BodyText"/>
        <w:spacing w:before="0"/>
        <w:ind w:left="112" w:right="303" w:firstLine="0"/>
        <w:rPr>
          <w:lang w:val="en-ZA"/>
        </w:rPr>
      </w:pPr>
      <w:r w:rsidRPr="00A84AE9">
        <w:rPr>
          <w:spacing w:val="-1"/>
          <w:lang w:val="en-ZA"/>
        </w:rPr>
        <w:t>Credits</w:t>
      </w:r>
      <w:r w:rsidRPr="00A84AE9">
        <w:rPr>
          <w:spacing w:val="-8"/>
          <w:lang w:val="en-ZA"/>
        </w:rPr>
        <w:t xml:space="preserve"> </w:t>
      </w:r>
      <w:r w:rsidR="001A1DC1">
        <w:rPr>
          <w:lang w:val="en-ZA"/>
        </w:rPr>
        <w:t>130</w:t>
      </w:r>
    </w:p>
    <w:p w14:paraId="38526F94" w14:textId="77777777" w:rsidR="001A1DC1" w:rsidRDefault="001A1DC1" w:rsidP="00491AE0">
      <w:pPr>
        <w:pStyle w:val="BodyText"/>
        <w:spacing w:before="0"/>
        <w:ind w:left="112" w:right="303" w:firstLine="0"/>
        <w:rPr>
          <w:lang w:val="en-ZA"/>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2AD45ABF" w14:textId="77777777" w:rsidTr="001A1DC1">
        <w:trPr>
          <w:tblCellSpacing w:w="15" w:type="dxa"/>
          <w:jc w:val="center"/>
        </w:trPr>
        <w:tc>
          <w:tcPr>
            <w:tcW w:w="0" w:type="auto"/>
            <w:vAlign w:val="center"/>
            <w:hideMark/>
          </w:tcPr>
          <w:p w14:paraId="33C86B97"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QUALIFICATION RULES</w:t>
            </w:r>
            <w:r w:rsidRPr="001A1DC1">
              <w:rPr>
                <w:rFonts w:ascii="Tahoma" w:eastAsia="Times New Roman" w:hAnsi="Tahoma" w:cs="Tahoma"/>
                <w:color w:val="000000"/>
                <w:sz w:val="18"/>
                <w:szCs w:val="18"/>
              </w:rPr>
              <w:t> </w:t>
            </w:r>
          </w:p>
        </w:tc>
      </w:tr>
    </w:tbl>
    <w:p w14:paraId="2FAA1187"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06486EEB" w14:textId="77777777" w:rsidTr="001A1DC1">
        <w:trPr>
          <w:tblCellSpacing w:w="15" w:type="dxa"/>
          <w:jc w:val="center"/>
        </w:trPr>
        <w:tc>
          <w:tcPr>
            <w:tcW w:w="0" w:type="auto"/>
            <w:vAlign w:val="center"/>
            <w:hideMark/>
          </w:tcPr>
          <w:p w14:paraId="2A6F2E1A"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color w:val="000000"/>
                <w:sz w:val="18"/>
                <w:szCs w:val="18"/>
              </w:rPr>
              <w:t>Rules regarding NQF levels of credits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The qualification consists of a minimum of 130 credits and has been designed in accordance with the SAQA regulations and rules of combination</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Rules regarding Fundamental, Core and Electives</w:t>
            </w:r>
            <w:r w:rsidRPr="001A1DC1">
              <w:rPr>
                <w:rFonts w:ascii="Tahoma" w:eastAsia="Times New Roman" w:hAnsi="Tahoma" w:cs="Tahoma"/>
                <w:color w:val="000000"/>
                <w:sz w:val="18"/>
                <w:szCs w:val="18"/>
              </w:rPr>
              <w:br/>
              <w:t>1. All fundamental unit standards are compulsory for this qualification. (47 credits)</w:t>
            </w:r>
            <w:r w:rsidRPr="001A1DC1">
              <w:rPr>
                <w:rFonts w:ascii="Tahoma" w:eastAsia="Times New Roman" w:hAnsi="Tahoma" w:cs="Tahoma"/>
                <w:color w:val="000000"/>
                <w:sz w:val="18"/>
                <w:szCs w:val="18"/>
              </w:rPr>
              <w:br/>
              <w:t>2. All core unit standards are compulsory. (56 credits)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Rules regarding Electives</w:t>
            </w:r>
            <w:r w:rsidRPr="001A1DC1">
              <w:rPr>
                <w:rFonts w:ascii="Tahoma" w:eastAsia="Times New Roman" w:hAnsi="Tahoma" w:cs="Tahoma"/>
                <w:color w:val="000000"/>
                <w:sz w:val="18"/>
                <w:szCs w:val="18"/>
              </w:rPr>
              <w:br/>
              <w:t xml:space="preserve">Elective unit standards </w:t>
            </w:r>
            <w:proofErr w:type="spellStart"/>
            <w:r w:rsidRPr="001A1DC1">
              <w:rPr>
                <w:rFonts w:ascii="Tahoma" w:eastAsia="Times New Roman" w:hAnsi="Tahoma" w:cs="Tahoma"/>
                <w:color w:val="000000"/>
                <w:sz w:val="18"/>
                <w:szCs w:val="18"/>
              </w:rPr>
              <w:t>totalling</w:t>
            </w:r>
            <w:proofErr w:type="spellEnd"/>
            <w:r w:rsidRPr="001A1DC1">
              <w:rPr>
                <w:rFonts w:ascii="Tahoma" w:eastAsia="Times New Roman" w:hAnsi="Tahoma" w:cs="Tahoma"/>
                <w:color w:val="000000"/>
                <w:sz w:val="18"/>
                <w:szCs w:val="18"/>
              </w:rPr>
              <w:t xml:space="preserve"> a minimum of 27 credits needs to be completed. </w:t>
            </w:r>
          </w:p>
        </w:tc>
      </w:tr>
    </w:tbl>
    <w:p w14:paraId="23D3EE30" w14:textId="77777777" w:rsidR="001A1DC1" w:rsidRPr="001A1DC1" w:rsidRDefault="001A1DC1" w:rsidP="001A1DC1">
      <w:pPr>
        <w:widowControl/>
        <w:rPr>
          <w:rFonts w:ascii="Times New Roman" w:eastAsia="Times New Roman" w:hAnsi="Times New Roman" w:cs="Times New Roman"/>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100CECCB" w14:textId="77777777" w:rsidTr="001A1DC1">
        <w:trPr>
          <w:tblCellSpacing w:w="15" w:type="dxa"/>
          <w:jc w:val="center"/>
        </w:trPr>
        <w:tc>
          <w:tcPr>
            <w:tcW w:w="0" w:type="auto"/>
            <w:vAlign w:val="center"/>
            <w:hideMark/>
          </w:tcPr>
          <w:p w14:paraId="14655F7D"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EXIT LEVEL OUTCOMES</w:t>
            </w:r>
            <w:r w:rsidRPr="001A1DC1">
              <w:rPr>
                <w:rFonts w:ascii="Tahoma" w:eastAsia="Times New Roman" w:hAnsi="Tahoma" w:cs="Tahoma"/>
                <w:color w:val="000000"/>
                <w:sz w:val="18"/>
                <w:szCs w:val="18"/>
              </w:rPr>
              <w:t> </w:t>
            </w:r>
          </w:p>
        </w:tc>
      </w:tr>
    </w:tbl>
    <w:p w14:paraId="5AE4EBEE"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653AFF3E" w14:textId="77777777" w:rsidTr="001A1DC1">
        <w:trPr>
          <w:tblCellSpacing w:w="15" w:type="dxa"/>
          <w:jc w:val="center"/>
        </w:trPr>
        <w:tc>
          <w:tcPr>
            <w:tcW w:w="0" w:type="auto"/>
            <w:vAlign w:val="center"/>
            <w:hideMark/>
          </w:tcPr>
          <w:p w14:paraId="1B3BEE8B"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color w:val="000000"/>
                <w:sz w:val="18"/>
                <w:szCs w:val="18"/>
              </w:rPr>
              <w:t>1. Demonstrate an understanding of applying Graphical User Interface (GUI)-based Word Processing Application skills in the Workplace.</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2. Demonstrate an understanding of applying Graphical User Interface (GUI)-based Presentation Application skills in the Workplace.</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3. Demonstrate an understanding of applying GUI-based Spreadsheet Application skills in the Workplace.</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4. Demonstrate an understanding of applying GUI-based Electronic Mail Application skills in the Workplace.</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5. Demonstrate an understanding of applying GUI-based Web Browser Application skills in the Workplace.</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6. Improve Communication by combining communication skills with End User Computing skills.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7. Improve the application of mathematical literacy in the workplace, by better </w:t>
            </w:r>
            <w:proofErr w:type="spellStart"/>
            <w:r w:rsidRPr="001A1DC1">
              <w:rPr>
                <w:rFonts w:ascii="Tahoma" w:eastAsia="Times New Roman" w:hAnsi="Tahoma" w:cs="Tahoma"/>
                <w:color w:val="000000"/>
                <w:sz w:val="18"/>
                <w:szCs w:val="18"/>
              </w:rPr>
              <w:t>utilising</w:t>
            </w:r>
            <w:proofErr w:type="spellEnd"/>
            <w:r w:rsidRPr="001A1DC1">
              <w:rPr>
                <w:rFonts w:ascii="Tahoma" w:eastAsia="Times New Roman" w:hAnsi="Tahoma" w:cs="Tahoma"/>
                <w:color w:val="000000"/>
                <w:sz w:val="18"/>
                <w:szCs w:val="18"/>
              </w:rPr>
              <w:t xml:space="preserve"> End User Computing Applications.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8. Demonstrate an understanding of the use of Information Communications &amp; Technology (ICT) in an </w:t>
            </w:r>
            <w:proofErr w:type="spellStart"/>
            <w:r w:rsidRPr="001A1DC1">
              <w:rPr>
                <w:rFonts w:ascii="Tahoma" w:eastAsia="Times New Roman" w:hAnsi="Tahoma" w:cs="Tahoma"/>
                <w:color w:val="000000"/>
                <w:sz w:val="18"/>
                <w:szCs w:val="18"/>
              </w:rPr>
              <w:t>organisation</w:t>
            </w:r>
            <w:proofErr w:type="spellEnd"/>
            <w:r w:rsidRPr="001A1DC1">
              <w:rPr>
                <w:rFonts w:ascii="Tahoma" w:eastAsia="Times New Roman" w:hAnsi="Tahoma" w:cs="Tahoma"/>
                <w:color w:val="000000"/>
                <w:sz w:val="18"/>
                <w:szCs w:val="18"/>
              </w:rPr>
              <w:t xml:space="preserve"> &amp; the impact it has on societies.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In addition to the above, unit standards will be </w:t>
            </w:r>
            <w:proofErr w:type="spellStart"/>
            <w:r w:rsidRPr="001A1DC1">
              <w:rPr>
                <w:rFonts w:ascii="Tahoma" w:eastAsia="Times New Roman" w:hAnsi="Tahoma" w:cs="Tahoma"/>
                <w:color w:val="000000"/>
                <w:sz w:val="18"/>
                <w:szCs w:val="18"/>
              </w:rPr>
              <w:t>utilised</w:t>
            </w:r>
            <w:proofErr w:type="spellEnd"/>
            <w:r w:rsidRPr="001A1DC1">
              <w:rPr>
                <w:rFonts w:ascii="Tahoma" w:eastAsia="Times New Roman" w:hAnsi="Tahoma" w:cs="Tahoma"/>
                <w:color w:val="000000"/>
                <w:sz w:val="18"/>
                <w:szCs w:val="18"/>
              </w:rPr>
              <w:t xml:space="preserve"> to provide depth of specification of the </w:t>
            </w:r>
            <w:proofErr w:type="gramStart"/>
            <w:r w:rsidRPr="001A1DC1">
              <w:rPr>
                <w:rFonts w:ascii="Tahoma" w:eastAsia="Times New Roman" w:hAnsi="Tahoma" w:cs="Tahoma"/>
                <w:color w:val="000000"/>
                <w:sz w:val="18"/>
                <w:szCs w:val="18"/>
              </w:rPr>
              <w:t>outcomes</w:t>
            </w:r>
            <w:proofErr w:type="gramEnd"/>
            <w:r w:rsidRPr="001A1DC1">
              <w:rPr>
                <w:rFonts w:ascii="Tahoma" w:eastAsia="Times New Roman" w:hAnsi="Tahoma" w:cs="Tahoma"/>
                <w:color w:val="000000"/>
                <w:sz w:val="18"/>
                <w:szCs w:val="18"/>
              </w:rPr>
              <w:t xml:space="preserve"> ranges and the assessment criteria and processes. </w:t>
            </w:r>
          </w:p>
        </w:tc>
      </w:tr>
    </w:tbl>
    <w:p w14:paraId="235EE8EF" w14:textId="77777777" w:rsidR="001A1DC1" w:rsidRPr="001A1DC1" w:rsidRDefault="001A1DC1" w:rsidP="001A1DC1">
      <w:pPr>
        <w:widowControl/>
        <w:rPr>
          <w:rFonts w:ascii="Times New Roman" w:eastAsia="Times New Roman" w:hAnsi="Times New Roman" w:cs="Times New Roman"/>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1F0B0CEA" w14:textId="77777777" w:rsidTr="001A1DC1">
        <w:trPr>
          <w:tblCellSpacing w:w="15" w:type="dxa"/>
          <w:jc w:val="center"/>
        </w:trPr>
        <w:tc>
          <w:tcPr>
            <w:tcW w:w="0" w:type="auto"/>
            <w:vAlign w:val="center"/>
            <w:hideMark/>
          </w:tcPr>
          <w:p w14:paraId="0B1AD286"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ASSOCIATED ASSESSMENT CRITERIA</w:t>
            </w:r>
            <w:r w:rsidRPr="001A1DC1">
              <w:rPr>
                <w:rFonts w:ascii="Tahoma" w:eastAsia="Times New Roman" w:hAnsi="Tahoma" w:cs="Tahoma"/>
                <w:color w:val="000000"/>
                <w:sz w:val="18"/>
                <w:szCs w:val="18"/>
              </w:rPr>
              <w:t> </w:t>
            </w:r>
          </w:p>
        </w:tc>
      </w:tr>
    </w:tbl>
    <w:p w14:paraId="05FB2343"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3CB2DED8" w14:textId="77777777" w:rsidTr="001A1DC1">
        <w:trPr>
          <w:tblCellSpacing w:w="15" w:type="dxa"/>
          <w:jc w:val="center"/>
        </w:trPr>
        <w:tc>
          <w:tcPr>
            <w:tcW w:w="0" w:type="auto"/>
            <w:vAlign w:val="center"/>
            <w:hideMark/>
          </w:tcPr>
          <w:p w14:paraId="0E8461F0"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color w:val="000000"/>
                <w:sz w:val="18"/>
                <w:szCs w:val="18"/>
              </w:rPr>
              <w:t>1. The ability to apply word processing skills in a GUI-based application, is demonstrated by being able to do the following:</w:t>
            </w:r>
          </w:p>
          <w:p w14:paraId="07ADE831"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Create</w:t>
            </w:r>
            <w:proofErr w:type="gramEnd"/>
            <w:r w:rsidRPr="001A1DC1">
              <w:rPr>
                <w:rFonts w:ascii="Tahoma" w:eastAsia="Times New Roman" w:hAnsi="Tahoma" w:cs="Tahoma"/>
                <w:color w:val="000000"/>
                <w:sz w:val="18"/>
                <w:szCs w:val="18"/>
              </w:rPr>
              <w:t>, edit and format documents</w:t>
            </w:r>
          </w:p>
          <w:p w14:paraId="35B15586"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Enhance</w:t>
            </w:r>
            <w:proofErr w:type="gramEnd"/>
            <w:r w:rsidRPr="001A1DC1">
              <w:rPr>
                <w:rFonts w:ascii="Tahoma" w:eastAsia="Times New Roman" w:hAnsi="Tahoma" w:cs="Tahoma"/>
                <w:color w:val="000000"/>
                <w:sz w:val="18"/>
                <w:szCs w:val="18"/>
              </w:rPr>
              <w:t xml:space="preserve"> document appearance and to create merged documents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2. The ability to apply presentation skills in a GUI-based application, is demonstrated by being able to do the following:</w:t>
            </w:r>
          </w:p>
          <w:p w14:paraId="6F2AD895"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Create</w:t>
            </w:r>
            <w:proofErr w:type="gramEnd"/>
            <w:r w:rsidRPr="001A1DC1">
              <w:rPr>
                <w:rFonts w:ascii="Tahoma" w:eastAsia="Times New Roman" w:hAnsi="Tahoma" w:cs="Tahoma"/>
                <w:color w:val="000000"/>
                <w:sz w:val="18"/>
                <w:szCs w:val="18"/>
              </w:rPr>
              <w:t xml:space="preserve"> and edit slide presentations</w:t>
            </w:r>
          </w:p>
          <w:p w14:paraId="59C3C357"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Produce</w:t>
            </w:r>
            <w:proofErr w:type="gramEnd"/>
            <w:r w:rsidRPr="001A1DC1">
              <w:rPr>
                <w:rFonts w:ascii="Tahoma" w:eastAsia="Times New Roman" w:hAnsi="Tahoma" w:cs="Tahoma"/>
                <w:color w:val="000000"/>
                <w:sz w:val="18"/>
                <w:szCs w:val="18"/>
              </w:rPr>
              <w:t xml:space="preserve"> a presentation for a specific purpose</w:t>
            </w:r>
          </w:p>
          <w:p w14:paraId="4629BA25"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Enhance</w:t>
            </w:r>
            <w:proofErr w:type="gramEnd"/>
            <w:r w:rsidRPr="001A1DC1">
              <w:rPr>
                <w:rFonts w:ascii="Tahoma" w:eastAsia="Times New Roman" w:hAnsi="Tahoma" w:cs="Tahoma"/>
                <w:color w:val="000000"/>
                <w:sz w:val="18"/>
                <w:szCs w:val="18"/>
              </w:rPr>
              <w:t xml:space="preserve"> the appearance of a presentation</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3. The ability to apply spreadsheet skills in a GUI-based application, is demonstrated by being able to do the following:</w:t>
            </w:r>
          </w:p>
          <w:p w14:paraId="49D6F99A"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Create</w:t>
            </w:r>
            <w:proofErr w:type="gramEnd"/>
            <w:r w:rsidRPr="001A1DC1">
              <w:rPr>
                <w:rFonts w:ascii="Tahoma" w:eastAsia="Times New Roman" w:hAnsi="Tahoma" w:cs="Tahoma"/>
                <w:color w:val="000000"/>
                <w:sz w:val="18"/>
                <w:szCs w:val="18"/>
              </w:rPr>
              <w:t xml:space="preserve"> and edit spreadsheets</w:t>
            </w:r>
          </w:p>
          <w:p w14:paraId="573272D1"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Solve</w:t>
            </w:r>
            <w:proofErr w:type="gramEnd"/>
            <w:r w:rsidRPr="001A1DC1">
              <w:rPr>
                <w:rFonts w:ascii="Tahoma" w:eastAsia="Times New Roman" w:hAnsi="Tahoma" w:cs="Tahoma"/>
                <w:color w:val="000000"/>
                <w:sz w:val="18"/>
                <w:szCs w:val="18"/>
              </w:rPr>
              <w:t xml:space="preserve"> a given problem by using a spreadsheet</w:t>
            </w:r>
          </w:p>
          <w:p w14:paraId="456BAF04"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lastRenderedPageBreak/>
              <w:t></w:t>
            </w:r>
            <w:r w:rsidRPr="001A1DC1">
              <w:rPr>
                <w:rFonts w:ascii="Tahoma" w:eastAsia="Times New Roman" w:hAnsi="Tahoma" w:cs="Tahoma"/>
                <w:color w:val="000000"/>
                <w:sz w:val="18"/>
                <w:szCs w:val="18"/>
              </w:rPr>
              <w:t xml:space="preserve">  Enhance</w:t>
            </w:r>
            <w:proofErr w:type="gramEnd"/>
            <w:r w:rsidRPr="001A1DC1">
              <w:rPr>
                <w:rFonts w:ascii="Tahoma" w:eastAsia="Times New Roman" w:hAnsi="Tahoma" w:cs="Tahoma"/>
                <w:color w:val="000000"/>
                <w:sz w:val="18"/>
                <w:szCs w:val="18"/>
              </w:rPr>
              <w:t xml:space="preserve"> the functionality of a spreadsheet &amp; apply graphs/charts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4. The ability to apply electronic mail (email) skills in a GUI-based application, is demonstrated by being able to do the following:</w:t>
            </w:r>
          </w:p>
          <w:p w14:paraId="4F26064B"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Send</w:t>
            </w:r>
            <w:proofErr w:type="gramEnd"/>
            <w:r w:rsidRPr="001A1DC1">
              <w:rPr>
                <w:rFonts w:ascii="Tahoma" w:eastAsia="Times New Roman" w:hAnsi="Tahoma" w:cs="Tahoma"/>
                <w:color w:val="000000"/>
                <w:sz w:val="18"/>
                <w:szCs w:val="18"/>
              </w:rPr>
              <w:t xml:space="preserve"> &amp; receive E-mail messages</w:t>
            </w:r>
          </w:p>
          <w:p w14:paraId="00CC3CEC"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Enhance</w:t>
            </w:r>
            <w:proofErr w:type="gramEnd"/>
            <w:r w:rsidRPr="001A1DC1">
              <w:rPr>
                <w:rFonts w:ascii="Tahoma" w:eastAsia="Times New Roman" w:hAnsi="Tahoma" w:cs="Tahoma"/>
                <w:color w:val="000000"/>
                <w:sz w:val="18"/>
                <w:szCs w:val="18"/>
              </w:rPr>
              <w:t xml:space="preserve">, edit &amp; </w:t>
            </w:r>
            <w:proofErr w:type="spellStart"/>
            <w:r w:rsidRPr="001A1DC1">
              <w:rPr>
                <w:rFonts w:ascii="Tahoma" w:eastAsia="Times New Roman" w:hAnsi="Tahoma" w:cs="Tahoma"/>
                <w:color w:val="000000"/>
                <w:sz w:val="18"/>
                <w:szCs w:val="18"/>
              </w:rPr>
              <w:t>organise</w:t>
            </w:r>
            <w:proofErr w:type="spellEnd"/>
            <w:r w:rsidRPr="001A1DC1">
              <w:rPr>
                <w:rFonts w:ascii="Tahoma" w:eastAsia="Times New Roman" w:hAnsi="Tahoma" w:cs="Tahoma"/>
                <w:color w:val="000000"/>
                <w:sz w:val="18"/>
                <w:szCs w:val="18"/>
              </w:rPr>
              <w:t xml:space="preserve"> E-mail messages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5. The ability to apply Web Browser skills in a GUI-based application, is demonstrated by being able to use a web-browser to search and use information from the internet.</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6. Improved Communication is demonstrated by combining End User Computing skills with fundamental communicating skills when communicating to others.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7. Demonstrate an improvement of mathematical literacy by </w:t>
            </w:r>
            <w:proofErr w:type="spellStart"/>
            <w:r w:rsidRPr="001A1DC1">
              <w:rPr>
                <w:rFonts w:ascii="Tahoma" w:eastAsia="Times New Roman" w:hAnsi="Tahoma" w:cs="Tahoma"/>
                <w:color w:val="000000"/>
                <w:sz w:val="18"/>
                <w:szCs w:val="18"/>
              </w:rPr>
              <w:t>utilising</w:t>
            </w:r>
            <w:proofErr w:type="spellEnd"/>
            <w:r w:rsidRPr="001A1DC1">
              <w:rPr>
                <w:rFonts w:ascii="Tahoma" w:eastAsia="Times New Roman" w:hAnsi="Tahoma" w:cs="Tahoma"/>
                <w:color w:val="000000"/>
                <w:sz w:val="18"/>
                <w:szCs w:val="18"/>
              </w:rPr>
              <w:t xml:space="preserve"> End User Computing applications to solve various aspects of personal life and in areas of business.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8. An understanding of impact of ICT and its use in an </w:t>
            </w:r>
            <w:proofErr w:type="spellStart"/>
            <w:r w:rsidRPr="001A1DC1">
              <w:rPr>
                <w:rFonts w:ascii="Tahoma" w:eastAsia="Times New Roman" w:hAnsi="Tahoma" w:cs="Tahoma"/>
                <w:color w:val="000000"/>
                <w:sz w:val="18"/>
                <w:szCs w:val="18"/>
              </w:rPr>
              <w:t>organisation</w:t>
            </w:r>
            <w:proofErr w:type="spellEnd"/>
            <w:r w:rsidRPr="001A1DC1">
              <w:rPr>
                <w:rFonts w:ascii="Tahoma" w:eastAsia="Times New Roman" w:hAnsi="Tahoma" w:cs="Tahoma"/>
                <w:color w:val="000000"/>
                <w:sz w:val="18"/>
                <w:szCs w:val="18"/>
              </w:rPr>
              <w:t xml:space="preserve"> is demonstrated by explaining its use and impact related to business and societies.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Furthermore, the assessment process should also cover the following generic components:</w:t>
            </w:r>
          </w:p>
          <w:p w14:paraId="3649DCC3"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Measure</w:t>
            </w:r>
            <w:proofErr w:type="gramEnd"/>
            <w:r w:rsidRPr="001A1DC1">
              <w:rPr>
                <w:rFonts w:ascii="Tahoma" w:eastAsia="Times New Roman" w:hAnsi="Tahoma" w:cs="Tahoma"/>
                <w:color w:val="000000"/>
                <w:sz w:val="18"/>
                <w:szCs w:val="18"/>
              </w:rPr>
              <w:t xml:space="preserve"> the quality of the observed practical performance as well as the theory and underlying knowledge;</w:t>
            </w:r>
          </w:p>
          <w:p w14:paraId="4AA6F311"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Use</w:t>
            </w:r>
            <w:proofErr w:type="gramEnd"/>
            <w:r w:rsidRPr="001A1DC1">
              <w:rPr>
                <w:rFonts w:ascii="Tahoma" w:eastAsia="Times New Roman" w:hAnsi="Tahoma" w:cs="Tahoma"/>
                <w:color w:val="000000"/>
                <w:sz w:val="18"/>
                <w:szCs w:val="18"/>
              </w:rPr>
              <w:t xml:space="preserve"> methods that are varied to allow the learner to display thinking and decision making in the demonstration of practical performance;</w:t>
            </w:r>
          </w:p>
          <w:p w14:paraId="01C7AA65"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Maintain</w:t>
            </w:r>
            <w:proofErr w:type="gramEnd"/>
            <w:r w:rsidRPr="001A1DC1">
              <w:rPr>
                <w:rFonts w:ascii="Tahoma" w:eastAsia="Times New Roman" w:hAnsi="Tahoma" w:cs="Tahoma"/>
                <w:color w:val="000000"/>
                <w:sz w:val="18"/>
                <w:szCs w:val="18"/>
              </w:rPr>
              <w:t xml:space="preserve"> a balance between practical performance and theoretical assessment methods to ensure each is measured in accordance with the level of the qualification; and</w:t>
            </w:r>
          </w:p>
          <w:p w14:paraId="63E0A8A6"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Ensure</w:t>
            </w:r>
            <w:proofErr w:type="gramEnd"/>
            <w:r w:rsidRPr="001A1DC1">
              <w:rPr>
                <w:rFonts w:ascii="Tahoma" w:eastAsia="Times New Roman" w:hAnsi="Tahoma" w:cs="Tahoma"/>
                <w:color w:val="000000"/>
                <w:sz w:val="18"/>
                <w:szCs w:val="18"/>
              </w:rPr>
              <w:t xml:space="preserve"> that the relationship between practice and theory is not fixed but varies according to the outcomes being assessed.</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Assessment of Critical Cross-field Outcomes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All critical cross-field outcomes are represented in this qualification. Each unit standard clearly outlines how the critical cross-field outcomes have been addressed. This is further </w:t>
            </w:r>
            <w:proofErr w:type="spellStart"/>
            <w:r w:rsidRPr="001A1DC1">
              <w:rPr>
                <w:rFonts w:ascii="Tahoma" w:eastAsia="Times New Roman" w:hAnsi="Tahoma" w:cs="Tahoma"/>
                <w:color w:val="000000"/>
                <w:sz w:val="18"/>
                <w:szCs w:val="18"/>
              </w:rPr>
              <w:t>summarised</w:t>
            </w:r>
            <w:proofErr w:type="spellEnd"/>
            <w:r w:rsidRPr="001A1DC1">
              <w:rPr>
                <w:rFonts w:ascii="Tahoma" w:eastAsia="Times New Roman" w:hAnsi="Tahoma" w:cs="Tahoma"/>
                <w:color w:val="000000"/>
                <w:sz w:val="18"/>
                <w:szCs w:val="18"/>
              </w:rPr>
              <w:t xml:space="preserve"> in the exit level outcomes of the qualification.</w:t>
            </w:r>
            <w:r w:rsidRPr="001A1DC1">
              <w:rPr>
                <w:rFonts w:ascii="Tahoma" w:eastAsia="Times New Roman" w:hAnsi="Tahoma" w:cs="Tahoma"/>
                <w:color w:val="000000"/>
                <w:sz w:val="18"/>
                <w:szCs w:val="18"/>
              </w:rPr>
              <w:br/>
              <w:t>We have designed the exit level outcomes to facilitate the combining of the end user computing standards with the fundamental standards, to enhance the personal competencies, which is extended to support the critical cross-field outcomes.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To ensure applicability of Fundamental and Critical Cross-field Outcomes, this should be assessed as part of Core and Elective unit standard assessments.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Integrated Assessment</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Development of the competencies may be achieved through a combination of formal and informal learning, self-learning, training </w:t>
            </w:r>
            <w:proofErr w:type="spellStart"/>
            <w:r w:rsidRPr="001A1DC1">
              <w:rPr>
                <w:rFonts w:ascii="Tahoma" w:eastAsia="Times New Roman" w:hAnsi="Tahoma" w:cs="Tahoma"/>
                <w:color w:val="000000"/>
                <w:sz w:val="18"/>
                <w:szCs w:val="18"/>
              </w:rPr>
              <w:t>programmes</w:t>
            </w:r>
            <w:proofErr w:type="spellEnd"/>
            <w:r w:rsidRPr="001A1DC1">
              <w:rPr>
                <w:rFonts w:ascii="Tahoma" w:eastAsia="Times New Roman" w:hAnsi="Tahoma" w:cs="Tahoma"/>
                <w:color w:val="000000"/>
                <w:sz w:val="18"/>
                <w:szCs w:val="18"/>
              </w:rPr>
              <w:t xml:space="preserve"> and work-based application.</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Providers should conduct diagnostic and formative assessment. Formative, continuous and diagnostic assessments should also take place in the </w:t>
            </w:r>
            <w:proofErr w:type="gramStart"/>
            <w:r w:rsidRPr="001A1DC1">
              <w:rPr>
                <w:rFonts w:ascii="Tahoma" w:eastAsia="Times New Roman" w:hAnsi="Tahoma" w:cs="Tahoma"/>
                <w:color w:val="000000"/>
                <w:sz w:val="18"/>
                <w:szCs w:val="18"/>
              </w:rPr>
              <w:t>work place</w:t>
            </w:r>
            <w:proofErr w:type="gramEnd"/>
            <w:r w:rsidRPr="001A1DC1">
              <w:rPr>
                <w:rFonts w:ascii="Tahoma" w:eastAsia="Times New Roman" w:hAnsi="Tahoma" w:cs="Tahoma"/>
                <w:color w:val="000000"/>
                <w:sz w:val="18"/>
                <w:szCs w:val="18"/>
              </w:rPr>
              <w:t>, if applicable. The learner should also be able to assess him or herself and determine readiness for a summative assessment against this qualification.</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During integrated assessments the assessor should make use of formative and summative assessment methods and should assess combinations of practical, applied, foundational and reflexive competencies.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To ensure the principles of assessment of fairness, validity, reliability and practicability are upheld, a combination of the assessment methods of observation, product evaluation and questioning should be used, by applying the appropriate assessment tools (as described in the SAQA criteria and guidelines for assessment). </w:t>
            </w:r>
          </w:p>
        </w:tc>
      </w:tr>
    </w:tbl>
    <w:p w14:paraId="351BDC96" w14:textId="77777777" w:rsidR="001A1DC1" w:rsidRPr="001A1DC1" w:rsidRDefault="001A1DC1" w:rsidP="001A1DC1">
      <w:pPr>
        <w:widowControl/>
        <w:rPr>
          <w:rFonts w:ascii="Times New Roman" w:eastAsia="Times New Roman" w:hAnsi="Times New Roman" w:cs="Times New Roman"/>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1B73E86B" w14:textId="77777777" w:rsidTr="001A1DC1">
        <w:trPr>
          <w:tblCellSpacing w:w="15" w:type="dxa"/>
          <w:jc w:val="center"/>
        </w:trPr>
        <w:tc>
          <w:tcPr>
            <w:tcW w:w="0" w:type="auto"/>
            <w:vAlign w:val="center"/>
            <w:hideMark/>
          </w:tcPr>
          <w:p w14:paraId="08EA3159"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INTERNATIONAL COMPARABILITY</w:t>
            </w:r>
            <w:r w:rsidRPr="001A1DC1">
              <w:rPr>
                <w:rFonts w:ascii="Tahoma" w:eastAsia="Times New Roman" w:hAnsi="Tahoma" w:cs="Tahoma"/>
                <w:color w:val="000000"/>
                <w:sz w:val="18"/>
                <w:szCs w:val="18"/>
              </w:rPr>
              <w:t> </w:t>
            </w:r>
          </w:p>
        </w:tc>
      </w:tr>
    </w:tbl>
    <w:p w14:paraId="48A8167B"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5585A3A9" w14:textId="77777777" w:rsidTr="001A1DC1">
        <w:trPr>
          <w:tblCellSpacing w:w="15" w:type="dxa"/>
          <w:jc w:val="center"/>
        </w:trPr>
        <w:tc>
          <w:tcPr>
            <w:tcW w:w="0" w:type="auto"/>
            <w:vAlign w:val="center"/>
            <w:hideMark/>
          </w:tcPr>
          <w:p w14:paraId="73733CB4"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color w:val="000000"/>
                <w:sz w:val="18"/>
                <w:szCs w:val="18"/>
              </w:rPr>
              <w:t xml:space="preserve">This qualification and unit standards have been evaluated against, and are comparable to core knowledge and </w:t>
            </w:r>
            <w:proofErr w:type="spellStart"/>
            <w:r w:rsidRPr="001A1DC1">
              <w:rPr>
                <w:rFonts w:ascii="Tahoma" w:eastAsia="Times New Roman" w:hAnsi="Tahoma" w:cs="Tahoma"/>
                <w:color w:val="000000"/>
                <w:sz w:val="18"/>
                <w:szCs w:val="18"/>
              </w:rPr>
              <w:t>specialised</w:t>
            </w:r>
            <w:proofErr w:type="spellEnd"/>
            <w:r w:rsidRPr="001A1DC1">
              <w:rPr>
                <w:rFonts w:ascii="Tahoma" w:eastAsia="Times New Roman" w:hAnsi="Tahoma" w:cs="Tahoma"/>
                <w:color w:val="000000"/>
                <w:sz w:val="18"/>
                <w:szCs w:val="18"/>
              </w:rPr>
              <w:t xml:space="preserve"> knowledge elements found in the following International Qualifications Frameworks:</w:t>
            </w:r>
          </w:p>
          <w:p w14:paraId="26ECC54C"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New</w:t>
            </w:r>
            <w:proofErr w:type="gramEnd"/>
            <w:r w:rsidRPr="001A1DC1">
              <w:rPr>
                <w:rFonts w:ascii="Tahoma" w:eastAsia="Times New Roman" w:hAnsi="Tahoma" w:cs="Tahoma"/>
                <w:color w:val="000000"/>
                <w:sz w:val="18"/>
                <w:szCs w:val="18"/>
              </w:rPr>
              <w:t xml:space="preserve"> Zealand NQF,</w:t>
            </w:r>
          </w:p>
          <w:p w14:paraId="6459AA7B"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Australian</w:t>
            </w:r>
            <w:proofErr w:type="gramEnd"/>
            <w:r w:rsidRPr="001A1DC1">
              <w:rPr>
                <w:rFonts w:ascii="Tahoma" w:eastAsia="Times New Roman" w:hAnsi="Tahoma" w:cs="Tahoma"/>
                <w:color w:val="000000"/>
                <w:sz w:val="18"/>
                <w:szCs w:val="18"/>
              </w:rPr>
              <w:t xml:space="preserve"> NQF,</w:t>
            </w:r>
          </w:p>
          <w:p w14:paraId="5EEE2186"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British</w:t>
            </w:r>
            <w:proofErr w:type="gramEnd"/>
            <w:r w:rsidRPr="001A1DC1">
              <w:rPr>
                <w:rFonts w:ascii="Tahoma" w:eastAsia="Times New Roman" w:hAnsi="Tahoma" w:cs="Tahoma"/>
                <w:color w:val="000000"/>
                <w:sz w:val="18"/>
                <w:szCs w:val="18"/>
              </w:rPr>
              <w:t xml:space="preserve"> NVQs.</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Furthermore input to the development of the qualification has been benchmarked against International sources, where the outcomes and assessment criteria, degree of difficulty and notional learning time has been compared, as described below.</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For the core skills required, the following sources were referenced:</w:t>
            </w:r>
          </w:p>
          <w:p w14:paraId="708900A5"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International</w:t>
            </w:r>
            <w:proofErr w:type="gramEnd"/>
            <w:r w:rsidRPr="001A1DC1">
              <w:rPr>
                <w:rFonts w:ascii="Tahoma" w:eastAsia="Times New Roman" w:hAnsi="Tahoma" w:cs="Tahoma"/>
                <w:color w:val="000000"/>
                <w:sz w:val="18"/>
                <w:szCs w:val="18"/>
              </w:rPr>
              <w:t xml:space="preserve"> certifications like Microsoft MOUS, IC3 and ECDL/ICDL,</w:t>
            </w:r>
          </w:p>
          <w:p w14:paraId="52EABA84"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We</w:t>
            </w:r>
            <w:proofErr w:type="gramEnd"/>
            <w:r w:rsidRPr="001A1DC1">
              <w:rPr>
                <w:rFonts w:ascii="Tahoma" w:eastAsia="Times New Roman" w:hAnsi="Tahoma" w:cs="Tahoma"/>
                <w:color w:val="000000"/>
                <w:sz w:val="18"/>
                <w:szCs w:val="18"/>
              </w:rPr>
              <w:t xml:space="preserve"> also confirmed that the above certifications are used in many African and SADC countries as benchmark for End User Computing skills in a business environment. Countries referred to include, but are not limited to: Mauritius, Tanzania, Kenya, Botswana, Zimbabwe and Zambia</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For constructing the qualification structure, the following sources were referenced:</w:t>
            </w:r>
          </w:p>
          <w:p w14:paraId="12024E78"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Edexcel</w:t>
            </w:r>
            <w:proofErr w:type="gramEnd"/>
            <w:r w:rsidRPr="001A1DC1">
              <w:rPr>
                <w:rFonts w:ascii="Tahoma" w:eastAsia="Times New Roman" w:hAnsi="Tahoma" w:cs="Tahoma"/>
                <w:color w:val="000000"/>
                <w:sz w:val="18"/>
                <w:szCs w:val="18"/>
              </w:rPr>
              <w:t xml:space="preserve"> qualification in Using IT, at UK NQF level 2 (refer NVQ code: Q1052641),</w:t>
            </w:r>
          </w:p>
          <w:p w14:paraId="7D891660"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Edexcel</w:t>
            </w:r>
            <w:proofErr w:type="gramEnd"/>
            <w:r w:rsidRPr="001A1DC1">
              <w:rPr>
                <w:rFonts w:ascii="Tahoma" w:eastAsia="Times New Roman" w:hAnsi="Tahoma" w:cs="Tahoma"/>
                <w:color w:val="000000"/>
                <w:sz w:val="18"/>
                <w:szCs w:val="18"/>
              </w:rPr>
              <w:t xml:space="preserve"> qualification in Operating IT Systems, at UK NQF level 2 (refer NVQ code: Q1052638),</w:t>
            </w:r>
          </w:p>
          <w:p w14:paraId="0F2C5757"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NCC</w:t>
            </w:r>
            <w:proofErr w:type="gramEnd"/>
            <w:r w:rsidRPr="001A1DC1">
              <w:rPr>
                <w:rFonts w:ascii="Tahoma" w:eastAsia="Times New Roman" w:hAnsi="Tahoma" w:cs="Tahoma"/>
                <w:color w:val="000000"/>
                <w:sz w:val="18"/>
                <w:szCs w:val="18"/>
              </w:rPr>
              <w:t xml:space="preserve"> Education's International Certificate in Computer Studies for IT Professionals,</w:t>
            </w:r>
          </w:p>
          <w:p w14:paraId="331F5ED3"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Various</w:t>
            </w:r>
            <w:proofErr w:type="gramEnd"/>
            <w:r w:rsidRPr="001A1DC1">
              <w:rPr>
                <w:rFonts w:ascii="Tahoma" w:eastAsia="Times New Roman" w:hAnsi="Tahoma" w:cs="Tahoma"/>
                <w:color w:val="000000"/>
                <w:sz w:val="18"/>
                <w:szCs w:val="18"/>
              </w:rPr>
              <w:t xml:space="preserve"> local short learning programs were also referenced to determine the local demand and structure of the qualification</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This qualification combines the NQF principles and requirements, with Internationally accepted Knowledge Areas required in End User Computing, to address the specific needs of the South African environment. </w:t>
            </w:r>
          </w:p>
        </w:tc>
      </w:tr>
    </w:tbl>
    <w:p w14:paraId="02E47087" w14:textId="77777777" w:rsidR="001A1DC1" w:rsidRPr="001A1DC1" w:rsidRDefault="001A1DC1" w:rsidP="001A1DC1">
      <w:pPr>
        <w:widowControl/>
        <w:rPr>
          <w:rFonts w:ascii="Times New Roman" w:eastAsia="Times New Roman" w:hAnsi="Times New Roman" w:cs="Times New Roman"/>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5307620E" w14:textId="77777777" w:rsidTr="001A1DC1">
        <w:trPr>
          <w:tblCellSpacing w:w="15" w:type="dxa"/>
          <w:jc w:val="center"/>
        </w:trPr>
        <w:tc>
          <w:tcPr>
            <w:tcW w:w="0" w:type="auto"/>
            <w:vAlign w:val="center"/>
            <w:hideMark/>
          </w:tcPr>
          <w:p w14:paraId="10BD8E43"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ARTICULATION OPTIONS</w:t>
            </w:r>
            <w:r w:rsidRPr="001A1DC1">
              <w:rPr>
                <w:rFonts w:ascii="Tahoma" w:eastAsia="Times New Roman" w:hAnsi="Tahoma" w:cs="Tahoma"/>
                <w:color w:val="000000"/>
                <w:sz w:val="18"/>
                <w:szCs w:val="18"/>
              </w:rPr>
              <w:t> </w:t>
            </w:r>
          </w:p>
        </w:tc>
      </w:tr>
    </w:tbl>
    <w:p w14:paraId="5D498907"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4124A9A4" w14:textId="77777777" w:rsidTr="001A1DC1">
        <w:trPr>
          <w:tblCellSpacing w:w="15" w:type="dxa"/>
          <w:jc w:val="center"/>
        </w:trPr>
        <w:tc>
          <w:tcPr>
            <w:tcW w:w="0" w:type="auto"/>
            <w:vAlign w:val="center"/>
            <w:hideMark/>
          </w:tcPr>
          <w:p w14:paraId="691AB87E"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color w:val="000000"/>
                <w:sz w:val="18"/>
                <w:szCs w:val="18"/>
              </w:rPr>
              <w:t xml:space="preserve">The qualification at this level is foundational and generic, allowing maximum mobility between qualifications. Apart from the workplace needs the qualification will address, it is also designed as an entry-level qualification into </w:t>
            </w:r>
            <w:proofErr w:type="gramStart"/>
            <w:r w:rsidRPr="001A1DC1">
              <w:rPr>
                <w:rFonts w:ascii="Tahoma" w:eastAsia="Times New Roman" w:hAnsi="Tahoma" w:cs="Tahoma"/>
                <w:color w:val="000000"/>
                <w:sz w:val="18"/>
                <w:szCs w:val="18"/>
              </w:rPr>
              <w:t>most further</w:t>
            </w:r>
            <w:proofErr w:type="gramEnd"/>
            <w:r w:rsidRPr="001A1DC1">
              <w:rPr>
                <w:rFonts w:ascii="Tahoma" w:eastAsia="Times New Roman" w:hAnsi="Tahoma" w:cs="Tahoma"/>
                <w:color w:val="000000"/>
                <w:sz w:val="18"/>
                <w:szCs w:val="18"/>
              </w:rPr>
              <w:t xml:space="preserve"> education and training fields, because of the wide application of End User Computing in any environment.</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This qualification was designed carefully to ensure vertical and horizontal articulation. It was developed to allow for further study in ICT and related fields at further education levels. The qualification was designed as part of a set of IT qualifications from NQF level 3 through to level 5 and higher. Two NQF level 4 qualifications (one in the systems support sub-area of IT and one in systems development) have recently been registered on the NQF. This new qualification addresses the learning assumed to be in place for the two NQF 4 qualifications mentioned, allowing learners articulation into the ICT field.</w:t>
            </w:r>
            <w:r w:rsidRPr="001A1DC1">
              <w:rPr>
                <w:rFonts w:ascii="Tahoma" w:eastAsia="Times New Roman" w:hAnsi="Tahoma" w:cs="Tahoma"/>
                <w:color w:val="000000"/>
                <w:sz w:val="18"/>
                <w:szCs w:val="18"/>
              </w:rPr>
              <w:br/>
            </w:r>
            <w:r w:rsidRPr="001A1DC1">
              <w:rPr>
                <w:rFonts w:ascii="Tahoma" w:eastAsia="Times New Roman" w:hAnsi="Tahoma" w:cs="Tahoma"/>
                <w:color w:val="000000"/>
                <w:sz w:val="18"/>
                <w:szCs w:val="18"/>
              </w:rPr>
              <w:br/>
              <w:t xml:space="preserve">As described earlier, many of the competencies used in the IT profession has traditionally been acquired through short courses and on-the-job training, which did not provide formal recognition (at a national level) of the knowledge and skills acquired. This qualification attempts to address this by allowing articulation into formal fields of study, by </w:t>
            </w:r>
            <w:proofErr w:type="spellStart"/>
            <w:r w:rsidRPr="001A1DC1">
              <w:rPr>
                <w:rFonts w:ascii="Tahoma" w:eastAsia="Times New Roman" w:hAnsi="Tahoma" w:cs="Tahoma"/>
                <w:color w:val="000000"/>
                <w:sz w:val="18"/>
                <w:szCs w:val="18"/>
              </w:rPr>
              <w:t>recognising</w:t>
            </w:r>
            <w:proofErr w:type="spellEnd"/>
            <w:r w:rsidRPr="001A1DC1">
              <w:rPr>
                <w:rFonts w:ascii="Tahoma" w:eastAsia="Times New Roman" w:hAnsi="Tahoma" w:cs="Tahoma"/>
                <w:color w:val="000000"/>
                <w:sz w:val="18"/>
                <w:szCs w:val="18"/>
              </w:rPr>
              <w:t xml:space="preserve"> the skills acquired in various means and packaging it as a formal national </w:t>
            </w:r>
            <w:proofErr w:type="gramStart"/>
            <w:r w:rsidRPr="001A1DC1">
              <w:rPr>
                <w:rFonts w:ascii="Tahoma" w:eastAsia="Times New Roman" w:hAnsi="Tahoma" w:cs="Tahoma"/>
                <w:color w:val="000000"/>
                <w:sz w:val="18"/>
                <w:szCs w:val="18"/>
              </w:rPr>
              <w:t>qualification, and</w:t>
            </w:r>
            <w:proofErr w:type="gramEnd"/>
            <w:r w:rsidRPr="001A1DC1">
              <w:rPr>
                <w:rFonts w:ascii="Tahoma" w:eastAsia="Times New Roman" w:hAnsi="Tahoma" w:cs="Tahoma"/>
                <w:color w:val="000000"/>
                <w:sz w:val="18"/>
                <w:szCs w:val="18"/>
              </w:rPr>
              <w:t xml:space="preserve"> encourage further study having acquired the qualification. </w:t>
            </w:r>
          </w:p>
        </w:tc>
      </w:tr>
    </w:tbl>
    <w:p w14:paraId="368CD9B0" w14:textId="77777777" w:rsidR="001A1DC1" w:rsidRPr="001A1DC1" w:rsidRDefault="001A1DC1" w:rsidP="001A1DC1">
      <w:pPr>
        <w:widowControl/>
        <w:rPr>
          <w:rFonts w:ascii="Times New Roman" w:eastAsia="Times New Roman" w:hAnsi="Times New Roman" w:cs="Times New Roman"/>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7F41E147" w14:textId="77777777" w:rsidTr="001A1DC1">
        <w:trPr>
          <w:tblCellSpacing w:w="15" w:type="dxa"/>
          <w:jc w:val="center"/>
        </w:trPr>
        <w:tc>
          <w:tcPr>
            <w:tcW w:w="0" w:type="auto"/>
            <w:vAlign w:val="center"/>
            <w:hideMark/>
          </w:tcPr>
          <w:p w14:paraId="5487F7FF"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MODERATION OPTIONS</w:t>
            </w:r>
            <w:r w:rsidRPr="001A1DC1">
              <w:rPr>
                <w:rFonts w:ascii="Tahoma" w:eastAsia="Times New Roman" w:hAnsi="Tahoma" w:cs="Tahoma"/>
                <w:color w:val="000000"/>
                <w:sz w:val="18"/>
                <w:szCs w:val="18"/>
              </w:rPr>
              <w:t> </w:t>
            </w:r>
          </w:p>
        </w:tc>
      </w:tr>
    </w:tbl>
    <w:p w14:paraId="1D6C535C"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62320FD3" w14:textId="77777777" w:rsidTr="001A1DC1">
        <w:trPr>
          <w:tblCellSpacing w:w="15" w:type="dxa"/>
          <w:jc w:val="center"/>
        </w:trPr>
        <w:tc>
          <w:tcPr>
            <w:tcW w:w="0" w:type="auto"/>
            <w:vAlign w:val="center"/>
            <w:hideMark/>
          </w:tcPr>
          <w:p w14:paraId="5FC6BFEB"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Anyone</w:t>
            </w:r>
            <w:proofErr w:type="gramEnd"/>
            <w:r w:rsidRPr="001A1DC1">
              <w:rPr>
                <w:rFonts w:ascii="Tahoma" w:eastAsia="Times New Roman" w:hAnsi="Tahoma" w:cs="Tahoma"/>
                <w:color w:val="000000"/>
                <w:sz w:val="18"/>
                <w:szCs w:val="18"/>
              </w:rPr>
              <w:t xml:space="preserve"> assessing a learner or moderating the assessment of a learner against this Qualification must be registered as an assessor or moderator with the relevant ETQA.</w:t>
            </w:r>
            <w:r w:rsidRPr="001A1DC1">
              <w:rPr>
                <w:rFonts w:ascii="Tahoma" w:eastAsia="Times New Roman" w:hAnsi="Tahoma" w:cs="Tahoma"/>
                <w:color w:val="000000"/>
                <w:sz w:val="18"/>
                <w:szCs w:val="18"/>
              </w:rPr>
              <w:br/>
            </w:r>
          </w:p>
          <w:p w14:paraId="66BD8FDB"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Any</w:t>
            </w:r>
            <w:proofErr w:type="gramEnd"/>
            <w:r w:rsidRPr="001A1DC1">
              <w:rPr>
                <w:rFonts w:ascii="Tahoma" w:eastAsia="Times New Roman" w:hAnsi="Tahoma" w:cs="Tahoma"/>
                <w:color w:val="000000"/>
                <w:sz w:val="18"/>
                <w:szCs w:val="18"/>
              </w:rPr>
              <w:t xml:space="preserve"> institution offering learning that will enable the achievement of this Qualification must be accredited as a provider with the relevant ETQA.</w:t>
            </w:r>
            <w:r w:rsidRPr="001A1DC1">
              <w:rPr>
                <w:rFonts w:ascii="Tahoma" w:eastAsia="Times New Roman" w:hAnsi="Tahoma" w:cs="Tahoma"/>
                <w:color w:val="000000"/>
                <w:sz w:val="18"/>
                <w:szCs w:val="18"/>
              </w:rPr>
              <w:br/>
            </w:r>
          </w:p>
          <w:p w14:paraId="1144BD92"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Assessment</w:t>
            </w:r>
            <w:proofErr w:type="gramEnd"/>
            <w:r w:rsidRPr="001A1DC1">
              <w:rPr>
                <w:rFonts w:ascii="Tahoma" w:eastAsia="Times New Roman" w:hAnsi="Tahoma" w:cs="Tahoma"/>
                <w:color w:val="000000"/>
                <w:sz w:val="18"/>
                <w:szCs w:val="18"/>
              </w:rPr>
              <w:t xml:space="preserve"> and moderation of assessment will be overseen by the relevant ETQA according to the ETQAs policies and guidelines for assessment and moderation.</w:t>
            </w:r>
            <w:r w:rsidRPr="001A1DC1">
              <w:rPr>
                <w:rFonts w:ascii="Tahoma" w:eastAsia="Times New Roman" w:hAnsi="Tahoma" w:cs="Tahoma"/>
                <w:color w:val="000000"/>
                <w:sz w:val="18"/>
                <w:szCs w:val="18"/>
              </w:rPr>
              <w:br/>
            </w:r>
          </w:p>
          <w:p w14:paraId="15294AEE"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Moderation</w:t>
            </w:r>
            <w:proofErr w:type="gramEnd"/>
            <w:r w:rsidRPr="001A1DC1">
              <w:rPr>
                <w:rFonts w:ascii="Tahoma" w:eastAsia="Times New Roman" w:hAnsi="Tahoma" w:cs="Tahoma"/>
                <w:color w:val="000000"/>
                <w:sz w:val="18"/>
                <w:szCs w:val="18"/>
              </w:rPr>
              <w:t xml:space="preserve"> must include both internal and external moderation of assessments at exit points of the qualification, unless ETQA policies specify otherwise.</w:t>
            </w:r>
            <w:r w:rsidRPr="001A1DC1">
              <w:rPr>
                <w:rFonts w:ascii="Tahoma" w:eastAsia="Times New Roman" w:hAnsi="Tahoma" w:cs="Tahoma"/>
                <w:color w:val="000000"/>
                <w:sz w:val="18"/>
                <w:szCs w:val="18"/>
              </w:rPr>
              <w:br/>
            </w:r>
          </w:p>
          <w:p w14:paraId="6C2C4B79"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Moderation</w:t>
            </w:r>
            <w:proofErr w:type="gramEnd"/>
            <w:r w:rsidRPr="001A1DC1">
              <w:rPr>
                <w:rFonts w:ascii="Tahoma" w:eastAsia="Times New Roman" w:hAnsi="Tahoma" w:cs="Tahoma"/>
                <w:color w:val="000000"/>
                <w:sz w:val="18"/>
                <w:szCs w:val="18"/>
              </w:rPr>
              <w:t xml:space="preserve"> should also encompass achievement of the competence described both in individual unit standards as well as the integrated competence described in the qualification.</w:t>
            </w:r>
            <w:r w:rsidRPr="001A1DC1">
              <w:rPr>
                <w:rFonts w:ascii="Tahoma" w:eastAsia="Times New Roman" w:hAnsi="Tahoma" w:cs="Tahoma"/>
                <w:color w:val="000000"/>
                <w:sz w:val="18"/>
                <w:szCs w:val="18"/>
              </w:rPr>
              <w:br/>
            </w:r>
          </w:p>
          <w:p w14:paraId="7A5857F1"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Anyone</w:t>
            </w:r>
            <w:proofErr w:type="gramEnd"/>
            <w:r w:rsidRPr="001A1DC1">
              <w:rPr>
                <w:rFonts w:ascii="Tahoma" w:eastAsia="Times New Roman" w:hAnsi="Tahoma" w:cs="Tahoma"/>
                <w:color w:val="000000"/>
                <w:sz w:val="18"/>
                <w:szCs w:val="18"/>
              </w:rPr>
              <w:t xml:space="preserve"> wishing to be assessed against this Qualification may apply to be assessed by any assessment agency, assessor or provider institution that is accredited for assessment by the relevant ETQA.</w:t>
            </w:r>
            <w:r w:rsidRPr="001A1DC1">
              <w:rPr>
                <w:rFonts w:ascii="Tahoma" w:eastAsia="Times New Roman" w:hAnsi="Tahoma" w:cs="Tahoma"/>
                <w:color w:val="000000"/>
                <w:sz w:val="18"/>
                <w:szCs w:val="18"/>
              </w:rPr>
              <w:br/>
            </w:r>
          </w:p>
          <w:p w14:paraId="2A32A37A"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To</w:t>
            </w:r>
            <w:proofErr w:type="gramEnd"/>
            <w:r w:rsidRPr="001A1DC1">
              <w:rPr>
                <w:rFonts w:ascii="Tahoma" w:eastAsia="Times New Roman" w:hAnsi="Tahoma" w:cs="Tahoma"/>
                <w:color w:val="000000"/>
                <w:sz w:val="18"/>
                <w:szCs w:val="18"/>
              </w:rPr>
              <w:t xml:space="preserve"> ensure that national standards are maintained, the final assessment should be conducted on the following basis, which will be under the control of the relevant ETQA's. National assessment of written papers and/or practical assignments needs to be undertaken, by the relevant ETQA. This must include the necessary assessment tools (e.g. marking schemes) to ensure consistent assessment. The ETQA itself or a nominated body or bodies can perform this function.</w:t>
            </w:r>
            <w:r w:rsidRPr="001A1DC1">
              <w:rPr>
                <w:rFonts w:ascii="Tahoma" w:eastAsia="Times New Roman" w:hAnsi="Tahoma" w:cs="Tahoma"/>
                <w:color w:val="000000"/>
                <w:sz w:val="18"/>
                <w:szCs w:val="18"/>
              </w:rPr>
              <w:br/>
            </w:r>
          </w:p>
          <w:p w14:paraId="73B63A96"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Assessment</w:t>
            </w:r>
            <w:proofErr w:type="gramEnd"/>
            <w:r w:rsidRPr="001A1DC1">
              <w:rPr>
                <w:rFonts w:ascii="Tahoma" w:eastAsia="Times New Roman" w:hAnsi="Tahoma" w:cs="Tahoma"/>
                <w:color w:val="000000"/>
                <w:sz w:val="18"/>
                <w:szCs w:val="18"/>
              </w:rPr>
              <w:t xml:space="preserve"> can be institutional or workplace based and must be done by a registered assessor.</w:t>
            </w:r>
            <w:r w:rsidRPr="001A1DC1">
              <w:rPr>
                <w:rFonts w:ascii="Tahoma" w:eastAsia="Times New Roman" w:hAnsi="Tahoma" w:cs="Tahoma"/>
                <w:color w:val="000000"/>
                <w:sz w:val="18"/>
                <w:szCs w:val="18"/>
              </w:rPr>
              <w:br/>
            </w:r>
          </w:p>
          <w:p w14:paraId="30F28055"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External</w:t>
            </w:r>
            <w:proofErr w:type="gramEnd"/>
            <w:r w:rsidRPr="001A1DC1">
              <w:rPr>
                <w:rFonts w:ascii="Tahoma" w:eastAsia="Times New Roman" w:hAnsi="Tahoma" w:cs="Tahoma"/>
                <w:color w:val="000000"/>
                <w:sz w:val="18"/>
                <w:szCs w:val="18"/>
              </w:rPr>
              <w:t xml:space="preserve"> moderation will be undertaken as required, to ensure that the quality of NQF standards are maintained nationally </w:t>
            </w:r>
          </w:p>
        </w:tc>
      </w:tr>
    </w:tbl>
    <w:p w14:paraId="3595EE6A" w14:textId="77777777" w:rsidR="001A1DC1" w:rsidRPr="001A1DC1" w:rsidRDefault="001A1DC1" w:rsidP="001A1DC1">
      <w:pPr>
        <w:widowControl/>
        <w:rPr>
          <w:rFonts w:ascii="Times New Roman" w:eastAsia="Times New Roman" w:hAnsi="Times New Roman" w:cs="Times New Roman"/>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0D229A8B" w14:textId="77777777" w:rsidTr="001A1DC1">
        <w:trPr>
          <w:tblCellSpacing w:w="15" w:type="dxa"/>
          <w:jc w:val="center"/>
        </w:trPr>
        <w:tc>
          <w:tcPr>
            <w:tcW w:w="0" w:type="auto"/>
            <w:vAlign w:val="center"/>
            <w:hideMark/>
          </w:tcPr>
          <w:p w14:paraId="53E82D67"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b/>
                <w:bCs/>
                <w:color w:val="000000"/>
                <w:sz w:val="18"/>
                <w:szCs w:val="18"/>
              </w:rPr>
              <w:t>CRITERIA FOR THE REGISTRATION OF ASSESSORS</w:t>
            </w:r>
            <w:r w:rsidRPr="001A1DC1">
              <w:rPr>
                <w:rFonts w:ascii="Tahoma" w:eastAsia="Times New Roman" w:hAnsi="Tahoma" w:cs="Tahoma"/>
                <w:color w:val="000000"/>
                <w:sz w:val="18"/>
                <w:szCs w:val="18"/>
              </w:rPr>
              <w:t> </w:t>
            </w:r>
          </w:p>
        </w:tc>
      </w:tr>
    </w:tbl>
    <w:p w14:paraId="038F7CF9" w14:textId="77777777" w:rsidR="001A1DC1" w:rsidRPr="001A1DC1" w:rsidRDefault="001A1DC1" w:rsidP="001A1DC1">
      <w:pPr>
        <w:widowControl/>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883"/>
      </w:tblGrid>
      <w:tr w:rsidR="001A1DC1" w:rsidRPr="001A1DC1" w14:paraId="76FB30C7" w14:textId="77777777" w:rsidTr="001A1DC1">
        <w:trPr>
          <w:tblCellSpacing w:w="15" w:type="dxa"/>
          <w:jc w:val="center"/>
        </w:trPr>
        <w:tc>
          <w:tcPr>
            <w:tcW w:w="0" w:type="auto"/>
            <w:vAlign w:val="center"/>
            <w:hideMark/>
          </w:tcPr>
          <w:p w14:paraId="32BA11F5" w14:textId="77777777" w:rsidR="001A1DC1" w:rsidRPr="001A1DC1" w:rsidRDefault="001A1DC1" w:rsidP="001A1DC1">
            <w:pPr>
              <w:widowControl/>
              <w:rPr>
                <w:rFonts w:ascii="Tahoma" w:eastAsia="Times New Roman" w:hAnsi="Tahoma" w:cs="Tahoma"/>
                <w:color w:val="000000"/>
                <w:sz w:val="18"/>
                <w:szCs w:val="18"/>
              </w:rPr>
            </w:pPr>
            <w:r w:rsidRPr="001A1DC1">
              <w:rPr>
                <w:rFonts w:ascii="Tahoma" w:eastAsia="Times New Roman" w:hAnsi="Tahoma" w:cs="Tahoma"/>
                <w:color w:val="000000"/>
                <w:sz w:val="18"/>
                <w:szCs w:val="18"/>
              </w:rPr>
              <w:t>The criteria to register as an assessor includes the following:</w:t>
            </w:r>
          </w:p>
          <w:p w14:paraId="274FB202"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Have</w:t>
            </w:r>
            <w:proofErr w:type="gramEnd"/>
            <w:r w:rsidRPr="001A1DC1">
              <w:rPr>
                <w:rFonts w:ascii="Tahoma" w:eastAsia="Times New Roman" w:hAnsi="Tahoma" w:cs="Tahoma"/>
                <w:color w:val="000000"/>
                <w:sz w:val="18"/>
                <w:szCs w:val="18"/>
              </w:rPr>
              <w:t xml:space="preserve"> a relevant academic qualification or equivalent recognition, at a level higher that the qualification being assessed</w:t>
            </w:r>
          </w:p>
          <w:p w14:paraId="376CAD93"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All</w:t>
            </w:r>
            <w:proofErr w:type="gramEnd"/>
            <w:r w:rsidRPr="001A1DC1">
              <w:rPr>
                <w:rFonts w:ascii="Tahoma" w:eastAsia="Times New Roman" w:hAnsi="Tahoma" w:cs="Tahoma"/>
                <w:color w:val="000000"/>
                <w:sz w:val="18"/>
                <w:szCs w:val="18"/>
              </w:rPr>
              <w:t xml:space="preserve"> registered assessors must have met the requirements of the generic assessor standard, and should be certificated by the ETDP SETA or by the relevant ETQA in agreement with the ETDP SETA in this regard.</w:t>
            </w:r>
          </w:p>
          <w:p w14:paraId="5F4BB8BE" w14:textId="77777777" w:rsidR="001A1DC1" w:rsidRPr="001A1DC1" w:rsidRDefault="001A1DC1" w:rsidP="001A1DC1">
            <w:pPr>
              <w:widowControl/>
              <w:rPr>
                <w:rFonts w:ascii="Tahoma" w:eastAsia="Times New Roman" w:hAnsi="Tahoma" w:cs="Tahoma"/>
                <w:color w:val="000000"/>
                <w:sz w:val="18"/>
                <w:szCs w:val="18"/>
              </w:rPr>
            </w:pPr>
            <w:proofErr w:type="gramStart"/>
            <w:r w:rsidRPr="001A1DC1">
              <w:rPr>
                <w:rFonts w:ascii="Tahoma" w:eastAsia="Times New Roman" w:hAnsi="Symbol" w:cs="Tahoma"/>
                <w:color w:val="000000"/>
                <w:sz w:val="18"/>
                <w:szCs w:val="18"/>
              </w:rPr>
              <w:t></w:t>
            </w:r>
            <w:r w:rsidRPr="001A1DC1">
              <w:rPr>
                <w:rFonts w:ascii="Tahoma" w:eastAsia="Times New Roman" w:hAnsi="Tahoma" w:cs="Tahoma"/>
                <w:color w:val="000000"/>
                <w:sz w:val="18"/>
                <w:szCs w:val="18"/>
              </w:rPr>
              <w:t xml:space="preserve">  Assessors</w:t>
            </w:r>
            <w:proofErr w:type="gramEnd"/>
            <w:r w:rsidRPr="001A1DC1">
              <w:rPr>
                <w:rFonts w:ascii="Tahoma" w:eastAsia="Times New Roman" w:hAnsi="Tahoma" w:cs="Tahoma"/>
                <w:color w:val="000000"/>
                <w:sz w:val="18"/>
                <w:szCs w:val="18"/>
              </w:rPr>
              <w:t xml:space="preserve"> should be registered as assessors with the relevant ETQA, in accordance with the policies and procedures defined by the ETQA. </w:t>
            </w:r>
          </w:p>
        </w:tc>
      </w:tr>
      <w:bookmarkEnd w:id="0"/>
    </w:tbl>
    <w:p w14:paraId="6B625CAF" w14:textId="77777777" w:rsidR="001A1DC1" w:rsidRPr="00A84AE9" w:rsidRDefault="001A1DC1" w:rsidP="00491AE0">
      <w:pPr>
        <w:pStyle w:val="BodyText"/>
        <w:spacing w:before="0"/>
        <w:ind w:left="112" w:right="303" w:firstLine="0"/>
        <w:rPr>
          <w:lang w:val="en-ZA"/>
        </w:rPr>
      </w:pPr>
    </w:p>
    <w:sectPr w:rsidR="001A1DC1" w:rsidRPr="00A84AE9" w:rsidSect="001A1DC1">
      <w:pgSz w:w="11910" w:h="16840"/>
      <w:pgMar w:top="1100" w:right="1020" w:bottom="700" w:left="1020" w:header="0" w:footer="48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itstream Vera Sans">
    <w:altName w:val="Malgun Gothic"/>
    <w:charset w:val="00"/>
    <w:family w:val="swiss"/>
    <w:pitch w:val="variable"/>
    <w:sig w:usb0="00000003" w:usb1="1000204A"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A7FAC658"/>
    <w:lvl w:ilvl="0">
      <w:start w:val="1"/>
      <w:numFmt w:val="bullet"/>
      <w:pStyle w:val="ListBullet2"/>
      <w:lvlText w:val=""/>
      <w:lvlJc w:val="left"/>
      <w:pPr>
        <w:ind w:left="720" w:hanging="360"/>
      </w:pPr>
      <w:rPr>
        <w:rFonts w:ascii="Wingdings" w:hAnsi="Wingdings" w:hint="default"/>
      </w:rPr>
    </w:lvl>
  </w:abstractNum>
  <w:abstractNum w:abstractNumId="1" w15:restartNumberingAfterBreak="0">
    <w:nsid w:val="1D6D2476"/>
    <w:multiLevelType w:val="hybridMultilevel"/>
    <w:tmpl w:val="0CCAE1B0"/>
    <w:lvl w:ilvl="0" w:tplc="C5B650FC">
      <w:start w:val="1"/>
      <w:numFmt w:val="bullet"/>
      <w:lvlText w:val=""/>
      <w:lvlJc w:val="left"/>
      <w:pPr>
        <w:ind w:left="897" w:hanging="360"/>
      </w:pPr>
      <w:rPr>
        <w:rFonts w:ascii="Symbol" w:eastAsia="Symbol" w:hAnsi="Symbol" w:hint="default"/>
        <w:w w:val="76"/>
        <w:sz w:val="20"/>
        <w:szCs w:val="20"/>
      </w:rPr>
    </w:lvl>
    <w:lvl w:ilvl="1" w:tplc="343427E6">
      <w:start w:val="1"/>
      <w:numFmt w:val="bullet"/>
      <w:lvlText w:val="•"/>
      <w:lvlJc w:val="left"/>
      <w:pPr>
        <w:ind w:left="1794" w:hanging="360"/>
      </w:pPr>
      <w:rPr>
        <w:rFonts w:hint="default"/>
      </w:rPr>
    </w:lvl>
    <w:lvl w:ilvl="2" w:tplc="1124D516">
      <w:start w:val="1"/>
      <w:numFmt w:val="bullet"/>
      <w:lvlText w:val="•"/>
      <w:lvlJc w:val="left"/>
      <w:pPr>
        <w:ind w:left="2691" w:hanging="360"/>
      </w:pPr>
      <w:rPr>
        <w:rFonts w:hint="default"/>
      </w:rPr>
    </w:lvl>
    <w:lvl w:ilvl="3" w:tplc="43162E2E">
      <w:start w:val="1"/>
      <w:numFmt w:val="bullet"/>
      <w:lvlText w:val="•"/>
      <w:lvlJc w:val="left"/>
      <w:pPr>
        <w:ind w:left="3588" w:hanging="360"/>
      </w:pPr>
      <w:rPr>
        <w:rFonts w:hint="default"/>
      </w:rPr>
    </w:lvl>
    <w:lvl w:ilvl="4" w:tplc="1F020258">
      <w:start w:val="1"/>
      <w:numFmt w:val="bullet"/>
      <w:lvlText w:val="•"/>
      <w:lvlJc w:val="left"/>
      <w:pPr>
        <w:ind w:left="4485" w:hanging="360"/>
      </w:pPr>
      <w:rPr>
        <w:rFonts w:hint="default"/>
      </w:rPr>
    </w:lvl>
    <w:lvl w:ilvl="5" w:tplc="2AC4EF46">
      <w:start w:val="1"/>
      <w:numFmt w:val="bullet"/>
      <w:lvlText w:val="•"/>
      <w:lvlJc w:val="left"/>
      <w:pPr>
        <w:ind w:left="5381" w:hanging="360"/>
      </w:pPr>
      <w:rPr>
        <w:rFonts w:hint="default"/>
      </w:rPr>
    </w:lvl>
    <w:lvl w:ilvl="6" w:tplc="EB1ADDA2">
      <w:start w:val="1"/>
      <w:numFmt w:val="bullet"/>
      <w:lvlText w:val="•"/>
      <w:lvlJc w:val="left"/>
      <w:pPr>
        <w:ind w:left="6278" w:hanging="360"/>
      </w:pPr>
      <w:rPr>
        <w:rFonts w:hint="default"/>
      </w:rPr>
    </w:lvl>
    <w:lvl w:ilvl="7" w:tplc="52A05274">
      <w:start w:val="1"/>
      <w:numFmt w:val="bullet"/>
      <w:lvlText w:val="•"/>
      <w:lvlJc w:val="left"/>
      <w:pPr>
        <w:ind w:left="7175" w:hanging="360"/>
      </w:pPr>
      <w:rPr>
        <w:rFonts w:hint="default"/>
      </w:rPr>
    </w:lvl>
    <w:lvl w:ilvl="8" w:tplc="7D9C3F9A">
      <w:start w:val="1"/>
      <w:numFmt w:val="bullet"/>
      <w:lvlText w:val="•"/>
      <w:lvlJc w:val="left"/>
      <w:pPr>
        <w:ind w:left="8072" w:hanging="360"/>
      </w:pPr>
      <w:rPr>
        <w:rFonts w:hint="default"/>
      </w:rPr>
    </w:lvl>
  </w:abstractNum>
  <w:abstractNum w:abstractNumId="2" w15:restartNumberingAfterBreak="0">
    <w:nsid w:val="37FA2B03"/>
    <w:multiLevelType w:val="hybridMultilevel"/>
    <w:tmpl w:val="9E547028"/>
    <w:lvl w:ilvl="0" w:tplc="2C4E0F5A">
      <w:start w:val="1"/>
      <w:numFmt w:val="bullet"/>
      <w:pStyle w:val="StyleListBullet210pt"/>
      <w:lvlText w:val=""/>
      <w:lvlJc w:val="left"/>
      <w:pPr>
        <w:ind w:left="1044" w:hanging="360"/>
      </w:pPr>
      <w:rPr>
        <w:rFonts w:ascii="Symbol" w:eastAsia="Symbol" w:hAnsi="Symbol" w:hint="default"/>
        <w:w w:val="76"/>
        <w:sz w:val="20"/>
        <w:szCs w:val="20"/>
      </w:rPr>
    </w:lvl>
    <w:lvl w:ilvl="1" w:tplc="34DE8728">
      <w:start w:val="1"/>
      <w:numFmt w:val="bullet"/>
      <w:lvlText w:val="•"/>
      <w:lvlJc w:val="left"/>
      <w:pPr>
        <w:ind w:left="2022" w:hanging="360"/>
      </w:pPr>
      <w:rPr>
        <w:rFonts w:hint="default"/>
      </w:rPr>
    </w:lvl>
    <w:lvl w:ilvl="2" w:tplc="8370E1B6">
      <w:start w:val="1"/>
      <w:numFmt w:val="bullet"/>
      <w:lvlText w:val="•"/>
      <w:lvlJc w:val="left"/>
      <w:pPr>
        <w:ind w:left="3000" w:hanging="360"/>
      </w:pPr>
      <w:rPr>
        <w:rFonts w:hint="default"/>
      </w:rPr>
    </w:lvl>
    <w:lvl w:ilvl="3" w:tplc="A20C5200">
      <w:start w:val="1"/>
      <w:numFmt w:val="bullet"/>
      <w:lvlText w:val="•"/>
      <w:lvlJc w:val="left"/>
      <w:pPr>
        <w:ind w:left="3979" w:hanging="360"/>
      </w:pPr>
      <w:rPr>
        <w:rFonts w:hint="default"/>
      </w:rPr>
    </w:lvl>
    <w:lvl w:ilvl="4" w:tplc="34F88368">
      <w:start w:val="1"/>
      <w:numFmt w:val="bullet"/>
      <w:lvlText w:val="•"/>
      <w:lvlJc w:val="left"/>
      <w:pPr>
        <w:ind w:left="4957" w:hanging="360"/>
      </w:pPr>
      <w:rPr>
        <w:rFonts w:hint="default"/>
      </w:rPr>
    </w:lvl>
    <w:lvl w:ilvl="5" w:tplc="B0043A44">
      <w:start w:val="1"/>
      <w:numFmt w:val="bullet"/>
      <w:lvlText w:val="•"/>
      <w:lvlJc w:val="left"/>
      <w:pPr>
        <w:ind w:left="5935" w:hanging="360"/>
      </w:pPr>
      <w:rPr>
        <w:rFonts w:hint="default"/>
      </w:rPr>
    </w:lvl>
    <w:lvl w:ilvl="6" w:tplc="9D4AA91C">
      <w:start w:val="1"/>
      <w:numFmt w:val="bullet"/>
      <w:lvlText w:val="•"/>
      <w:lvlJc w:val="left"/>
      <w:pPr>
        <w:ind w:left="6913" w:hanging="360"/>
      </w:pPr>
      <w:rPr>
        <w:rFonts w:hint="default"/>
      </w:rPr>
    </w:lvl>
    <w:lvl w:ilvl="7" w:tplc="3E06DAC2">
      <w:start w:val="1"/>
      <w:numFmt w:val="bullet"/>
      <w:lvlText w:val="•"/>
      <w:lvlJc w:val="left"/>
      <w:pPr>
        <w:ind w:left="7891" w:hanging="360"/>
      </w:pPr>
      <w:rPr>
        <w:rFonts w:hint="default"/>
      </w:rPr>
    </w:lvl>
    <w:lvl w:ilvl="8" w:tplc="F9608424">
      <w:start w:val="1"/>
      <w:numFmt w:val="bullet"/>
      <w:lvlText w:val="•"/>
      <w:lvlJc w:val="left"/>
      <w:pPr>
        <w:ind w:left="8870" w:hanging="360"/>
      </w:pPr>
      <w:rPr>
        <w:rFonts w:hint="default"/>
      </w:rPr>
    </w:lvl>
  </w:abstractNum>
  <w:num w:numId="1" w16cid:durableId="2002346728">
    <w:abstractNumId w:val="2"/>
  </w:num>
  <w:num w:numId="2" w16cid:durableId="1347755297">
    <w:abstractNumId w:val="0"/>
  </w:num>
  <w:num w:numId="3" w16cid:durableId="1822845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AE0"/>
    <w:rsid w:val="001A1DC1"/>
    <w:rsid w:val="00232729"/>
    <w:rsid w:val="00491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200F3"/>
  <w15:chartTrackingRefBased/>
  <w15:docId w15:val="{F25DE1EA-38F4-4AF8-A58E-BCD167B6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91AE0"/>
    <w:pPr>
      <w:widowControl w:val="0"/>
      <w:spacing w:after="0" w:line="240" w:lineRule="auto"/>
    </w:pPr>
    <w:rPr>
      <w:kern w:val="0"/>
      <w:sz w:val="22"/>
      <w:szCs w:val="22"/>
      <w14:ligatures w14:val="none"/>
    </w:rPr>
  </w:style>
  <w:style w:type="paragraph" w:styleId="Heading1">
    <w:name w:val="heading 1"/>
    <w:basedOn w:val="Normal"/>
    <w:next w:val="Normal"/>
    <w:link w:val="Heading1Char"/>
    <w:uiPriority w:val="9"/>
    <w:qFormat/>
    <w:rsid w:val="00491A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1A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1A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1A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1A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1AE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1AE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1AE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1AE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1A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1A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1A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1A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1A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1A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1A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1A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1AE0"/>
    <w:rPr>
      <w:rFonts w:eastAsiaTheme="majorEastAsia" w:cstheme="majorBidi"/>
      <w:color w:val="272727" w:themeColor="text1" w:themeTint="D8"/>
    </w:rPr>
  </w:style>
  <w:style w:type="paragraph" w:styleId="Title">
    <w:name w:val="Title"/>
    <w:basedOn w:val="Normal"/>
    <w:next w:val="Normal"/>
    <w:link w:val="TitleChar"/>
    <w:uiPriority w:val="10"/>
    <w:qFormat/>
    <w:rsid w:val="00491AE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1A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1A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1A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1AE0"/>
    <w:pPr>
      <w:spacing w:before="160"/>
      <w:jc w:val="center"/>
    </w:pPr>
    <w:rPr>
      <w:i/>
      <w:iCs/>
      <w:color w:val="404040" w:themeColor="text1" w:themeTint="BF"/>
    </w:rPr>
  </w:style>
  <w:style w:type="character" w:customStyle="1" w:styleId="QuoteChar">
    <w:name w:val="Quote Char"/>
    <w:basedOn w:val="DefaultParagraphFont"/>
    <w:link w:val="Quote"/>
    <w:uiPriority w:val="29"/>
    <w:rsid w:val="00491AE0"/>
    <w:rPr>
      <w:i/>
      <w:iCs/>
      <w:color w:val="404040" w:themeColor="text1" w:themeTint="BF"/>
    </w:rPr>
  </w:style>
  <w:style w:type="paragraph" w:styleId="ListParagraph">
    <w:name w:val="List Paragraph"/>
    <w:basedOn w:val="Normal"/>
    <w:uiPriority w:val="34"/>
    <w:qFormat/>
    <w:rsid w:val="00491AE0"/>
    <w:pPr>
      <w:ind w:left="720"/>
      <w:contextualSpacing/>
    </w:pPr>
  </w:style>
  <w:style w:type="character" w:styleId="IntenseEmphasis">
    <w:name w:val="Intense Emphasis"/>
    <w:basedOn w:val="DefaultParagraphFont"/>
    <w:uiPriority w:val="21"/>
    <w:qFormat/>
    <w:rsid w:val="00491AE0"/>
    <w:rPr>
      <w:i/>
      <w:iCs/>
      <w:color w:val="0F4761" w:themeColor="accent1" w:themeShade="BF"/>
    </w:rPr>
  </w:style>
  <w:style w:type="paragraph" w:styleId="IntenseQuote">
    <w:name w:val="Intense Quote"/>
    <w:basedOn w:val="Normal"/>
    <w:next w:val="Normal"/>
    <w:link w:val="IntenseQuoteChar"/>
    <w:uiPriority w:val="30"/>
    <w:qFormat/>
    <w:rsid w:val="00491A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1AE0"/>
    <w:rPr>
      <w:i/>
      <w:iCs/>
      <w:color w:val="0F4761" w:themeColor="accent1" w:themeShade="BF"/>
    </w:rPr>
  </w:style>
  <w:style w:type="character" w:styleId="IntenseReference">
    <w:name w:val="Intense Reference"/>
    <w:basedOn w:val="DefaultParagraphFont"/>
    <w:uiPriority w:val="32"/>
    <w:qFormat/>
    <w:rsid w:val="00491AE0"/>
    <w:rPr>
      <w:b/>
      <w:bCs/>
      <w:smallCaps/>
      <w:color w:val="0F4761" w:themeColor="accent1" w:themeShade="BF"/>
      <w:spacing w:val="5"/>
    </w:rPr>
  </w:style>
  <w:style w:type="paragraph" w:styleId="BodyText">
    <w:name w:val="Body Text"/>
    <w:basedOn w:val="Normal"/>
    <w:link w:val="BodyTextChar"/>
    <w:uiPriority w:val="1"/>
    <w:qFormat/>
    <w:rsid w:val="00491AE0"/>
    <w:pPr>
      <w:spacing w:before="119"/>
      <w:ind w:left="904" w:hanging="360"/>
    </w:pPr>
    <w:rPr>
      <w:rFonts w:ascii="Calibri" w:eastAsia="Calibri" w:hAnsi="Calibri"/>
      <w:sz w:val="20"/>
      <w:szCs w:val="20"/>
    </w:rPr>
  </w:style>
  <w:style w:type="character" w:customStyle="1" w:styleId="BodyTextChar">
    <w:name w:val="Body Text Char"/>
    <w:basedOn w:val="DefaultParagraphFont"/>
    <w:link w:val="BodyText"/>
    <w:uiPriority w:val="1"/>
    <w:rsid w:val="00491AE0"/>
    <w:rPr>
      <w:rFonts w:ascii="Calibri" w:eastAsia="Calibri" w:hAnsi="Calibri"/>
      <w:kern w:val="0"/>
      <w:sz w:val="20"/>
      <w:szCs w:val="20"/>
      <w14:ligatures w14:val="none"/>
    </w:rPr>
  </w:style>
  <w:style w:type="paragraph" w:styleId="ListBullet2">
    <w:name w:val="List Bullet 2"/>
    <w:basedOn w:val="Normal"/>
    <w:qFormat/>
    <w:rsid w:val="00491AE0"/>
    <w:pPr>
      <w:widowControl/>
      <w:numPr>
        <w:numId w:val="2"/>
      </w:numPr>
      <w:spacing w:before="60" w:after="60"/>
      <w:jc w:val="both"/>
    </w:pPr>
    <w:rPr>
      <w:rFonts w:ascii="Verdana" w:eastAsia="Times New Roman" w:hAnsi="Verdana" w:cs="Arial"/>
      <w:sz w:val="20"/>
      <w:szCs w:val="24"/>
      <w:lang w:val="en-GB"/>
    </w:rPr>
  </w:style>
  <w:style w:type="paragraph" w:customStyle="1" w:styleId="OZH1">
    <w:name w:val="OZH1"/>
    <w:basedOn w:val="Normal"/>
    <w:link w:val="OZH1Char"/>
    <w:rsid w:val="00491AE0"/>
    <w:pPr>
      <w:keepNext/>
      <w:widowControl/>
      <w:spacing w:before="240" w:after="240"/>
      <w:jc w:val="center"/>
      <w:outlineLvl w:val="0"/>
    </w:pPr>
    <w:rPr>
      <w:rFonts w:ascii="Bitstream Vera Sans" w:eastAsia="Times New Roman" w:hAnsi="Bitstream Vera Sans" w:cs="Arial"/>
      <w:b/>
      <w:bCs/>
      <w:color w:val="000000"/>
      <w:sz w:val="32"/>
      <w:szCs w:val="28"/>
    </w:rPr>
  </w:style>
  <w:style w:type="paragraph" w:customStyle="1" w:styleId="OZH2">
    <w:name w:val="OZH2"/>
    <w:basedOn w:val="OZH1"/>
    <w:link w:val="OZH2Char"/>
    <w:rsid w:val="00491AE0"/>
  </w:style>
  <w:style w:type="paragraph" w:customStyle="1" w:styleId="OZH3">
    <w:name w:val="OZH3"/>
    <w:basedOn w:val="Normal"/>
    <w:link w:val="OZH3Char"/>
    <w:rsid w:val="00491AE0"/>
    <w:pPr>
      <w:keepNext/>
      <w:widowControl/>
      <w:spacing w:before="120" w:after="120"/>
      <w:jc w:val="center"/>
      <w:outlineLvl w:val="2"/>
    </w:pPr>
    <w:rPr>
      <w:rFonts w:ascii="Verdana" w:eastAsia="Times New Roman" w:hAnsi="Verdana" w:cs="Times New Roman"/>
      <w:b/>
      <w:bCs/>
      <w:color w:val="000000"/>
      <w:sz w:val="24"/>
      <w:szCs w:val="24"/>
      <w:bdr w:val="single" w:sz="4" w:space="0" w:color="auto"/>
      <w:shd w:val="clear" w:color="auto" w:fill="0000FF"/>
      <w:lang w:val="en-GB"/>
    </w:rPr>
  </w:style>
  <w:style w:type="character" w:customStyle="1" w:styleId="OZH1Char">
    <w:name w:val="OZH1 Char"/>
    <w:link w:val="OZH1"/>
    <w:rsid w:val="00491AE0"/>
    <w:rPr>
      <w:rFonts w:ascii="Bitstream Vera Sans" w:eastAsia="Times New Roman" w:hAnsi="Bitstream Vera Sans" w:cs="Arial"/>
      <w:b/>
      <w:bCs/>
      <w:color w:val="000000"/>
      <w:kern w:val="0"/>
      <w:sz w:val="32"/>
      <w:szCs w:val="28"/>
      <w14:ligatures w14:val="none"/>
    </w:rPr>
  </w:style>
  <w:style w:type="character" w:customStyle="1" w:styleId="OZH2Char">
    <w:name w:val="OZH2 Char"/>
    <w:basedOn w:val="OZH1Char"/>
    <w:link w:val="OZH2"/>
    <w:rsid w:val="00491AE0"/>
    <w:rPr>
      <w:rFonts w:ascii="Bitstream Vera Sans" w:eastAsia="Times New Roman" w:hAnsi="Bitstream Vera Sans" w:cs="Arial"/>
      <w:b/>
      <w:bCs/>
      <w:color w:val="000000"/>
      <w:kern w:val="0"/>
      <w:sz w:val="32"/>
      <w:szCs w:val="28"/>
      <w14:ligatures w14:val="none"/>
    </w:rPr>
  </w:style>
  <w:style w:type="paragraph" w:customStyle="1" w:styleId="HSFormattingSpace">
    <w:name w:val="HS Formatting Space"/>
    <w:basedOn w:val="Normal"/>
    <w:semiHidden/>
    <w:rsid w:val="00491AE0"/>
    <w:pPr>
      <w:widowControl/>
      <w:spacing w:before="120" w:after="120"/>
      <w:jc w:val="both"/>
    </w:pPr>
    <w:rPr>
      <w:rFonts w:ascii="Century Schoolbook" w:eastAsia="Times New Roman" w:hAnsi="Century Schoolbook" w:cs="Times New Roman"/>
      <w:sz w:val="6"/>
      <w:szCs w:val="24"/>
      <w:lang w:val="en-ZA"/>
    </w:rPr>
  </w:style>
  <w:style w:type="character" w:customStyle="1" w:styleId="OZH3Char">
    <w:name w:val="OZH3 Char"/>
    <w:link w:val="OZH3"/>
    <w:rsid w:val="00491AE0"/>
    <w:rPr>
      <w:rFonts w:ascii="Verdana" w:eastAsia="Times New Roman" w:hAnsi="Verdana" w:cs="Times New Roman"/>
      <w:b/>
      <w:bCs/>
      <w:color w:val="000000"/>
      <w:kern w:val="0"/>
      <w:bdr w:val="single" w:sz="4" w:space="0" w:color="auto"/>
      <w:lang w:val="en-GB"/>
      <w14:ligatures w14:val="none"/>
    </w:rPr>
  </w:style>
  <w:style w:type="paragraph" w:customStyle="1" w:styleId="StyleListBullet210pt">
    <w:name w:val="Style List Bullet 2 + 10 pt"/>
    <w:basedOn w:val="ListBullet2"/>
    <w:rsid w:val="00491AE0"/>
    <w:pPr>
      <w:numPr>
        <w:numId w:val="1"/>
      </w:numPr>
      <w:ind w:left="714"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21105">
      <w:bodyDiv w:val="1"/>
      <w:marLeft w:val="0"/>
      <w:marRight w:val="0"/>
      <w:marTop w:val="0"/>
      <w:marBottom w:val="0"/>
      <w:divBdr>
        <w:top w:val="none" w:sz="0" w:space="0" w:color="auto"/>
        <w:left w:val="none" w:sz="0" w:space="0" w:color="auto"/>
        <w:bottom w:val="none" w:sz="0" w:space="0" w:color="auto"/>
        <w:right w:val="none" w:sz="0" w:space="0" w:color="auto"/>
      </w:divBdr>
    </w:div>
    <w:div w:id="663321352">
      <w:bodyDiv w:val="1"/>
      <w:marLeft w:val="0"/>
      <w:marRight w:val="0"/>
      <w:marTop w:val="0"/>
      <w:marBottom w:val="0"/>
      <w:divBdr>
        <w:top w:val="none" w:sz="0" w:space="0" w:color="auto"/>
        <w:left w:val="none" w:sz="0" w:space="0" w:color="auto"/>
        <w:bottom w:val="none" w:sz="0" w:space="0" w:color="auto"/>
        <w:right w:val="none" w:sz="0" w:space="0" w:color="auto"/>
      </w:divBdr>
    </w:div>
    <w:div w:id="1165512676">
      <w:bodyDiv w:val="1"/>
      <w:marLeft w:val="0"/>
      <w:marRight w:val="0"/>
      <w:marTop w:val="0"/>
      <w:marBottom w:val="0"/>
      <w:divBdr>
        <w:top w:val="none" w:sz="0" w:space="0" w:color="auto"/>
        <w:left w:val="none" w:sz="0" w:space="0" w:color="auto"/>
        <w:bottom w:val="none" w:sz="0" w:space="0" w:color="auto"/>
        <w:right w:val="none" w:sz="0" w:space="0" w:color="auto"/>
      </w:divBdr>
    </w:div>
    <w:div w:id="1891651900">
      <w:bodyDiv w:val="1"/>
      <w:marLeft w:val="0"/>
      <w:marRight w:val="0"/>
      <w:marTop w:val="0"/>
      <w:marBottom w:val="0"/>
      <w:divBdr>
        <w:top w:val="none" w:sz="0" w:space="0" w:color="auto"/>
        <w:left w:val="none" w:sz="0" w:space="0" w:color="auto"/>
        <w:bottom w:val="none" w:sz="0" w:space="0" w:color="auto"/>
        <w:right w:val="none" w:sz="0" w:space="0" w:color="auto"/>
      </w:divBdr>
    </w:div>
    <w:div w:id="197027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1681</Words>
  <Characters>9582</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Assessment Strategy</vt:lpstr>
      <vt:lpstr/>
      <vt:lpstr>ASSESSMENT PREPARATION</vt:lpstr>
      <vt:lpstr>Preparing the Candidate</vt:lpstr>
      <vt:lpstr>        Assessor’s Declaration:</vt:lpstr>
      <vt:lpstr>Agreed Assessment Plan</vt:lpstr>
    </vt:vector>
  </TitlesOfParts>
  <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Bakang Ramatekoane</dc:creator>
  <cp:keywords/>
  <dc:description/>
  <cp:lastModifiedBy>Bakang Ramatekoane</cp:lastModifiedBy>
  <cp:revision>1</cp:revision>
  <dcterms:created xsi:type="dcterms:W3CDTF">2024-10-25T12:50:00Z</dcterms:created>
  <dcterms:modified xsi:type="dcterms:W3CDTF">2024-10-25T13:08:00Z</dcterms:modified>
</cp:coreProperties>
</file>