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5F442" w14:textId="7EED2A20" w:rsidR="00620E0A" w:rsidRPr="00620E0A" w:rsidRDefault="00620E0A" w:rsidP="00620E0A">
      <w:pPr>
        <w:shd w:val="clear" w:color="auto" w:fill="FEFEFE"/>
        <w:spacing w:after="0" w:line="240" w:lineRule="auto"/>
        <w:jc w:val="center"/>
        <w:rPr>
          <w:rFonts w:ascii="Arial Nova" w:eastAsia="Times New Roman" w:hAnsi="Arial Nova" w:cs="Times New Roman"/>
          <w:color w:val="5B564D"/>
          <w:kern w:val="0"/>
          <w14:ligatures w14:val="none"/>
        </w:rPr>
      </w:pPr>
      <w:r w:rsidRPr="00620E0A">
        <w:rPr>
          <w:rFonts w:ascii="Arial Nova" w:eastAsia="Times New Roman" w:hAnsi="Arial Nova" w:cs="Times New Roman"/>
          <w:color w:val="5B564D"/>
          <w:kern w:val="36"/>
          <w:sz w:val="48"/>
          <w:szCs w:val="48"/>
          <w14:ligatures w14:val="none"/>
        </w:rPr>
        <w:t>Green Tea and Walnuts: The Diet, Blood Sugar, and Brain Health Connection</w:t>
      </w:r>
    </w:p>
    <w:p w14:paraId="3768F0A3" w14:textId="1E63DB4B"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620E0A">
        <w:rPr>
          <w:rFonts w:ascii="Arial Nova" w:eastAsia="Times New Roman" w:hAnsi="Arial Nova" w:cs="Times New Roman"/>
          <w:i/>
          <w:iCs/>
          <w:color w:val="5B564D"/>
          <w:kern w:val="0"/>
          <w:sz w:val="30"/>
          <w:szCs w:val="30"/>
          <w14:ligatures w14:val="none"/>
        </w:rPr>
        <w:t>By </w:t>
      </w:r>
      <w:hyperlink r:id="rId7" w:history="1">
        <w:r w:rsidRPr="00620E0A">
          <w:rPr>
            <w:rFonts w:ascii="Arial Nova" w:eastAsia="Times New Roman" w:hAnsi="Arial Nova" w:cs="Times New Roman"/>
            <w:i/>
            <w:iCs/>
            <w:color w:val="147BB3"/>
            <w:kern w:val="0"/>
            <w:sz w:val="30"/>
            <w:szCs w:val="30"/>
            <w:u w:val="single"/>
            <w14:ligatures w14:val="none"/>
          </w:rPr>
          <w:t>Rae Bennett</w:t>
        </w:r>
      </w:hyperlink>
      <w:r w:rsidRPr="00A73600">
        <w:rPr>
          <w:rFonts w:ascii="Arial Nova" w:eastAsia="Times New Roman" w:hAnsi="Arial Nova" w:cs="Times New Roman"/>
          <w:i/>
          <w:iCs/>
          <w:color w:val="5B564D"/>
          <w:kern w:val="0"/>
          <w:sz w:val="30"/>
          <w:szCs w:val="30"/>
          <w14:ligatures w14:val="none"/>
        </w:rPr>
        <w:t xml:space="preserve">    </w:t>
      </w:r>
      <w:r w:rsidRPr="00A73600">
        <w:rPr>
          <w:rFonts w:ascii="Arial Nova" w:eastAsia="Times New Roman" w:hAnsi="Arial Nova" w:cs="Times New Roman"/>
          <w:color w:val="5B564D"/>
          <w:kern w:val="0"/>
          <w:sz w:val="30"/>
          <w:szCs w:val="30"/>
          <w14:ligatures w14:val="none"/>
        </w:rPr>
        <w:t xml:space="preserve">From </w:t>
      </w:r>
      <w:hyperlink r:id="rId8" w:history="1">
        <w:r w:rsidRPr="00A73600">
          <w:rPr>
            <w:rStyle w:val="Hyperlink"/>
            <w:rFonts w:ascii="Arial Nova" w:eastAsia="Times New Roman" w:hAnsi="Arial Nova" w:cs="Times New Roman"/>
            <w:kern w:val="0"/>
            <w:sz w:val="30"/>
            <w:szCs w:val="30"/>
            <w14:ligatures w14:val="none"/>
          </w:rPr>
          <w:t>Blue Zones</w:t>
        </w:r>
      </w:hyperlink>
      <w:r w:rsidR="00A73600">
        <w:rPr>
          <w:rFonts w:ascii="Arial Nova" w:eastAsia="Times New Roman" w:hAnsi="Arial Nova" w:cs="Times New Roman"/>
          <w:color w:val="5B564D"/>
          <w:kern w:val="0"/>
          <w:sz w:val="30"/>
          <w:szCs w:val="30"/>
          <w14:ligatures w14:val="none"/>
        </w:rPr>
        <w:t xml:space="preserve">   May 2025</w:t>
      </w:r>
    </w:p>
    <w:p w14:paraId="4FE45C87"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 xml:space="preserve">The recent study titled </w:t>
      </w:r>
      <w:r w:rsidRPr="00620E0A">
        <w:rPr>
          <w:rFonts w:ascii="Arial Nova" w:eastAsia="Times New Roman" w:hAnsi="Arial Nova" w:cs="Times New Roman"/>
          <w:kern w:val="0"/>
          <w:sz w:val="28"/>
          <w:szCs w:val="28"/>
          <w14:ligatures w14:val="none"/>
        </w:rPr>
        <w:t>“</w:t>
      </w:r>
      <w:hyperlink r:id="rId9" w:tgtFrame="_blank" w:history="1">
        <w:r w:rsidRPr="00620E0A">
          <w:rPr>
            <w:rFonts w:ascii="Arial Nova" w:eastAsia="Times New Roman" w:hAnsi="Arial Nova" w:cs="Times New Roman"/>
            <w:kern w:val="0"/>
            <w:sz w:val="28"/>
            <w:szCs w:val="28"/>
            <w:u w:val="single"/>
            <w14:ligatures w14:val="none"/>
          </w:rPr>
          <w:t>Glycemic control contributes to the neuroprotective effects of Mediterranean and green-Mediterranean diets on brain age</w:t>
        </w:r>
      </w:hyperlink>
      <w:r w:rsidRPr="00620E0A">
        <w:rPr>
          <w:rFonts w:ascii="Arial Nova" w:eastAsia="Times New Roman" w:hAnsi="Arial Nova" w:cs="Times New Roman"/>
          <w:color w:val="5B564D"/>
          <w:kern w:val="0"/>
          <w:sz w:val="28"/>
          <w:szCs w:val="28"/>
          <w14:ligatures w14:val="none"/>
        </w:rPr>
        <w:t>” provides compelling evidence linking dietary interventions to brain health. Conducted as part of the DIRECT PLUS trial, the research examined how Mediterranean (MED) and green-Mediterranean (green-MED) diets rich in polyphenols and low in red meat can slow age-related brain atrophy and promote glycemic control.</w:t>
      </w:r>
    </w:p>
    <w:p w14:paraId="06BE938B" w14:textId="37892E22"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A73600">
        <w:rPr>
          <w:rFonts w:ascii="Arial Nova" w:eastAsia="Times New Roman" w:hAnsi="Arial Nova" w:cs="Times New Roman"/>
          <w:noProof/>
          <w:color w:val="5B564D"/>
          <w:kern w:val="0"/>
          <w:sz w:val="30"/>
          <w:szCs w:val="30"/>
          <w14:ligatures w14:val="none"/>
        </w:rPr>
        <w:drawing>
          <wp:inline distT="0" distB="0" distL="0" distR="0" wp14:anchorId="24F95BDA" wp14:editId="30742FED">
            <wp:extent cx="3055077" cy="2038350"/>
            <wp:effectExtent l="0" t="0" r="0" b="0"/>
            <wp:docPr id="76002350" name="Picture 5" descr="Stud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Over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832" cy="2045526"/>
                    </a:xfrm>
                    <a:prstGeom prst="rect">
                      <a:avLst/>
                    </a:prstGeom>
                    <a:noFill/>
                    <a:ln>
                      <a:noFill/>
                    </a:ln>
                  </pic:spPr>
                </pic:pic>
              </a:graphicData>
            </a:graphic>
          </wp:inline>
        </w:drawing>
      </w:r>
    </w:p>
    <w:p w14:paraId="582EEF92" w14:textId="77777777" w:rsidR="00620E0A" w:rsidRPr="00620E0A" w:rsidRDefault="00620E0A" w:rsidP="00620E0A">
      <w:pPr>
        <w:shd w:val="clear" w:color="auto" w:fill="FEFEFE"/>
        <w:spacing w:before="100" w:beforeAutospacing="1" w:after="100" w:afterAutospacing="1" w:line="300" w:lineRule="atLeast"/>
        <w:outlineLvl w:val="1"/>
        <w:rPr>
          <w:rFonts w:ascii="Arial Nova" w:eastAsia="Times New Roman" w:hAnsi="Arial Nova" w:cs="Times New Roman"/>
          <w:color w:val="5B564D"/>
          <w:kern w:val="0"/>
          <w:sz w:val="40"/>
          <w:szCs w:val="40"/>
          <w14:ligatures w14:val="none"/>
        </w:rPr>
      </w:pPr>
      <w:r w:rsidRPr="00620E0A">
        <w:rPr>
          <w:rFonts w:ascii="Arial Nova" w:eastAsia="Times New Roman" w:hAnsi="Arial Nova" w:cs="Times New Roman"/>
          <w:color w:val="5B564D"/>
          <w:kern w:val="0"/>
          <w:sz w:val="40"/>
          <w:szCs w:val="40"/>
          <w14:ligatures w14:val="none"/>
        </w:rPr>
        <w:t>Study Overview</w:t>
      </w:r>
    </w:p>
    <w:p w14:paraId="1BA99719"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The trial involved 294 participants aged 30 or older with abdominal obesity or dyslipidemia, primarily men (88%) with an average age of 51. </w:t>
      </w:r>
      <w:r w:rsidRPr="00620E0A">
        <w:rPr>
          <w:rFonts w:ascii="Arial Nova" w:eastAsia="Times New Roman" w:hAnsi="Arial Nova" w:cs="Times New Roman"/>
          <w:b/>
          <w:bCs/>
          <w:color w:val="5B564D"/>
          <w:kern w:val="0"/>
          <w:sz w:val="28"/>
          <w:szCs w:val="28"/>
          <w14:ligatures w14:val="none"/>
        </w:rPr>
        <w:t>Participants were randomly assigned to one of three groups for 18 months:</w:t>
      </w:r>
    </w:p>
    <w:p w14:paraId="54165281" w14:textId="77777777" w:rsidR="00620E0A" w:rsidRPr="00620E0A" w:rsidRDefault="00620E0A" w:rsidP="00620E0A">
      <w:pPr>
        <w:numPr>
          <w:ilvl w:val="0"/>
          <w:numId w:val="1"/>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Healthy dietary guidelines (HDG): Active control group following general health recommendations.</w:t>
      </w:r>
    </w:p>
    <w:p w14:paraId="7767F015" w14:textId="77777777" w:rsidR="00620E0A" w:rsidRPr="00620E0A" w:rsidRDefault="00620E0A" w:rsidP="00620E0A">
      <w:pPr>
        <w:numPr>
          <w:ilvl w:val="0"/>
          <w:numId w:val="1"/>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Traditional MED diet: Calorie-restricted, low in simple carbohydrates, emphasizing vegetables, fish, poultry, and walnuts.</w:t>
      </w:r>
    </w:p>
    <w:p w14:paraId="697251EF" w14:textId="77777777" w:rsidR="00620E0A" w:rsidRPr="00620E0A" w:rsidRDefault="00620E0A" w:rsidP="00620E0A">
      <w:pPr>
        <w:numPr>
          <w:ilvl w:val="0"/>
          <w:numId w:val="1"/>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 xml:space="preserve">Green-MED diet: Further enriched with polyphenol-rich foods such as green tea (3 – 4 cups daily) and </w:t>
      </w:r>
      <w:proofErr w:type="spellStart"/>
      <w:r w:rsidRPr="00620E0A">
        <w:rPr>
          <w:rFonts w:ascii="Arial Nova" w:eastAsia="Times New Roman" w:hAnsi="Arial Nova" w:cs="Times New Roman"/>
          <w:color w:val="5B564D"/>
          <w:kern w:val="0"/>
          <w:sz w:val="28"/>
          <w:szCs w:val="28"/>
          <w14:ligatures w14:val="none"/>
        </w:rPr>
        <w:t>Mankai</w:t>
      </w:r>
      <w:proofErr w:type="spellEnd"/>
      <w:r w:rsidRPr="00620E0A">
        <w:rPr>
          <w:rFonts w:ascii="Arial Nova" w:eastAsia="Times New Roman" w:hAnsi="Arial Nova" w:cs="Times New Roman"/>
          <w:color w:val="5B564D"/>
          <w:kern w:val="0"/>
          <w:sz w:val="28"/>
          <w:szCs w:val="28"/>
          <w14:ligatures w14:val="none"/>
        </w:rPr>
        <w:t xml:space="preserve"> duckweed shakes (500 mL daily).</w:t>
      </w:r>
    </w:p>
    <w:p w14:paraId="61BE24D9"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 xml:space="preserve">All participants received free gym memberships and attended group sessions on nutrition and physical activity. Brain structure changes were assessed through </w:t>
      </w:r>
      <w:r w:rsidRPr="00620E0A">
        <w:rPr>
          <w:rFonts w:ascii="Arial Nova" w:eastAsia="Times New Roman" w:hAnsi="Arial Nova" w:cs="Times New Roman"/>
          <w:color w:val="5B564D"/>
          <w:kern w:val="0"/>
          <w:sz w:val="28"/>
          <w:szCs w:val="28"/>
          <w14:ligatures w14:val="none"/>
        </w:rPr>
        <w:lastRenderedPageBreak/>
        <w:t>MRI scans, and metabolic markers like fasting glucose, insulin, and hemoglobin A1c (HbA1c) were measured.</w:t>
      </w:r>
    </w:p>
    <w:p w14:paraId="56988FAB" w14:textId="77777777" w:rsidR="00620E0A" w:rsidRPr="00620E0A" w:rsidRDefault="00620E0A" w:rsidP="00620E0A">
      <w:pPr>
        <w:shd w:val="clear" w:color="auto" w:fill="FEFEFE"/>
        <w:spacing w:before="100" w:beforeAutospacing="1" w:after="100" w:afterAutospacing="1" w:line="300" w:lineRule="atLeast"/>
        <w:outlineLvl w:val="1"/>
        <w:rPr>
          <w:rFonts w:ascii="Arial Nova" w:eastAsia="Times New Roman" w:hAnsi="Arial Nova" w:cs="Times New Roman"/>
          <w:color w:val="5B564D"/>
          <w:kern w:val="0"/>
          <w:sz w:val="40"/>
          <w:szCs w:val="40"/>
          <w14:ligatures w14:val="none"/>
        </w:rPr>
      </w:pPr>
      <w:r w:rsidRPr="00620E0A">
        <w:rPr>
          <w:rFonts w:ascii="Arial Nova" w:eastAsia="Times New Roman" w:hAnsi="Arial Nova" w:cs="Times New Roman"/>
          <w:color w:val="5B564D"/>
          <w:kern w:val="0"/>
          <w:sz w:val="40"/>
          <w:szCs w:val="40"/>
          <w14:ligatures w14:val="none"/>
        </w:rPr>
        <w:t>Key Findings</w:t>
      </w:r>
    </w:p>
    <w:p w14:paraId="35CC701C"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The study highlighted that both MED diets significantly slowed age-related hippocampal atrophy, a biomarker for </w:t>
      </w:r>
      <w:hyperlink r:id="rId11" w:tgtFrame="_blank" w:history="1">
        <w:r w:rsidRPr="00620E0A">
          <w:rPr>
            <w:rFonts w:ascii="Arial Nova" w:eastAsia="Times New Roman" w:hAnsi="Arial Nova" w:cs="Times New Roman"/>
            <w:color w:val="147BB3"/>
            <w:kern w:val="0"/>
            <w:sz w:val="28"/>
            <w:szCs w:val="28"/>
            <w:u w:val="single"/>
            <w14:ligatures w14:val="none"/>
          </w:rPr>
          <w:t>brain aging and cognitive decline</w:t>
        </w:r>
      </w:hyperlink>
      <w:r w:rsidRPr="00620E0A">
        <w:rPr>
          <w:rFonts w:ascii="Arial Nova" w:eastAsia="Times New Roman" w:hAnsi="Arial Nova" w:cs="Times New Roman"/>
          <w:color w:val="5B564D"/>
          <w:kern w:val="0"/>
          <w:sz w:val="28"/>
          <w:szCs w:val="28"/>
          <w14:ligatures w14:val="none"/>
        </w:rPr>
        <w:t>. Notably, the green-MED diet exhibited superior results, reducing hippocampal shrinkage by approximately 50% compared to the HDG group. This translates to a younger “brain age” compared to chronological age, as measured by the hippocampal occupancy (HOC) score.</w:t>
      </w:r>
    </w:p>
    <w:p w14:paraId="7C5EC492" w14:textId="77777777" w:rsidR="00620E0A" w:rsidRPr="00A73600"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6"/>
          <w:szCs w:val="36"/>
          <w14:ligatures w14:val="none"/>
        </w:rPr>
      </w:pPr>
      <w:r w:rsidRPr="00A73600">
        <w:rPr>
          <w:rFonts w:ascii="Arial Nova" w:eastAsia="Times New Roman" w:hAnsi="Arial Nova" w:cs="Times New Roman"/>
          <w:noProof/>
          <w:color w:val="5B564D"/>
          <w:kern w:val="0"/>
          <w:sz w:val="30"/>
          <w:szCs w:val="30"/>
          <w14:ligatures w14:val="none"/>
        </w:rPr>
        <w:drawing>
          <wp:inline distT="0" distB="0" distL="0" distR="0" wp14:anchorId="0D4587F9" wp14:editId="4A336345">
            <wp:extent cx="3426255" cy="2286000"/>
            <wp:effectExtent l="0" t="0" r="3175" b="0"/>
            <wp:docPr id="1064233093" name="Picture 4" descr="Glycemic Control, Blood Circulation, and Bra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ycemic Control, Blood Circulation, and Brain Heal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3323" cy="2290716"/>
                    </a:xfrm>
                    <a:prstGeom prst="rect">
                      <a:avLst/>
                    </a:prstGeom>
                    <a:noFill/>
                    <a:ln>
                      <a:noFill/>
                    </a:ln>
                  </pic:spPr>
                </pic:pic>
              </a:graphicData>
            </a:graphic>
          </wp:inline>
        </w:drawing>
      </w:r>
    </w:p>
    <w:p w14:paraId="30DF176E" w14:textId="6B60D1D5"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620E0A">
        <w:rPr>
          <w:rFonts w:ascii="Arial Nova" w:eastAsia="Times New Roman" w:hAnsi="Arial Nova" w:cs="Times New Roman"/>
          <w:color w:val="5B564D"/>
          <w:kern w:val="0"/>
          <w:sz w:val="36"/>
          <w:szCs w:val="36"/>
          <w14:ligatures w14:val="none"/>
        </w:rPr>
        <w:t>Glycemic Control, Blood Circulation, and Brain Health</w:t>
      </w:r>
    </w:p>
    <w:p w14:paraId="7992B4FE"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Improved glycemic control emerged as a pivotal factor in reducing brain aging. Participants with lower fasting glucose and HbA1c levels, markers of blood sugar regulation, experienced greater neuroprotective effects, independent of weight loss. </w:t>
      </w:r>
      <w:hyperlink r:id="rId13" w:tgtFrame="_blank" w:history="1">
        <w:r w:rsidRPr="00620E0A">
          <w:rPr>
            <w:rFonts w:ascii="Arial Nova" w:eastAsia="Times New Roman" w:hAnsi="Arial Nova" w:cs="Times New Roman"/>
            <w:color w:val="147BB3"/>
            <w:kern w:val="0"/>
            <w:sz w:val="28"/>
            <w:szCs w:val="28"/>
            <w:u w:val="single"/>
            <w14:ligatures w14:val="none"/>
          </w:rPr>
          <w:t>Better glycemic control</w:t>
        </w:r>
      </w:hyperlink>
      <w:r w:rsidRPr="00620E0A">
        <w:rPr>
          <w:rFonts w:ascii="Arial Nova" w:eastAsia="Times New Roman" w:hAnsi="Arial Nova" w:cs="Times New Roman"/>
          <w:color w:val="5B564D"/>
          <w:kern w:val="0"/>
          <w:sz w:val="28"/>
          <w:szCs w:val="28"/>
          <w14:ligatures w14:val="none"/>
        </w:rPr>
        <w:t> was also associated with improved blood circulation, which helps deliver oxygen and nutrients to the brain while reducing oxidative stress and inflammation. This enhanced circulation likely contributes to healthier brain tissue and reduced atrophy.</w:t>
      </w:r>
    </w:p>
    <w:p w14:paraId="0C3672E8"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Improvement in diabetes status was associated with greater HOC deviation changes than either no change in diabetes status (0.010; 95% CI: 0.002, 0.019) or with an unfavorable change (0.012; 95% CI: 0.002, 0.023).</w:t>
      </w:r>
    </w:p>
    <w:p w14:paraId="1FE2E0DC"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lastRenderedPageBreak/>
        <w:t xml:space="preserve">Those adhering to the green-MED diet demonstrated the most pronounced improvements in glycemic markers, brain aging metrics, and inflammation reduction. Higher consumption of green tea and </w:t>
      </w:r>
      <w:proofErr w:type="spellStart"/>
      <w:r w:rsidRPr="00620E0A">
        <w:rPr>
          <w:rFonts w:ascii="Arial Nova" w:eastAsia="Times New Roman" w:hAnsi="Arial Nova" w:cs="Times New Roman"/>
          <w:color w:val="5B564D"/>
          <w:kern w:val="0"/>
          <w:sz w:val="28"/>
          <w:szCs w:val="28"/>
          <w14:ligatures w14:val="none"/>
        </w:rPr>
        <w:t>Mankai</w:t>
      </w:r>
      <w:proofErr w:type="spellEnd"/>
      <w:r w:rsidRPr="00620E0A">
        <w:rPr>
          <w:rFonts w:ascii="Arial Nova" w:eastAsia="Times New Roman" w:hAnsi="Arial Nova" w:cs="Times New Roman"/>
          <w:color w:val="5B564D"/>
          <w:kern w:val="0"/>
          <w:sz w:val="28"/>
          <w:szCs w:val="28"/>
          <w14:ligatures w14:val="none"/>
        </w:rPr>
        <w:t xml:space="preserve"> shakes was associated with these benefits, suggesting the role of polyphenols in crossing the blood-brain barrier, reducing inflammation, and promoting cellular repair in memory-critical regions like the hippocampus. Participants who improved their diabetes status also exhibited less brain tissue loss, reinforcing the importance of blood sugar management in cognitive preservation.</w:t>
      </w:r>
    </w:p>
    <w:p w14:paraId="5DD922B3" w14:textId="26DD7E67" w:rsidR="00620E0A" w:rsidRPr="00620E0A" w:rsidRDefault="00620E0A" w:rsidP="00A73600">
      <w:pPr>
        <w:spacing w:after="0" w:line="240" w:lineRule="auto"/>
        <w:rPr>
          <w:rFonts w:ascii="Arial Nova" w:eastAsia="Times New Roman" w:hAnsi="Arial Nova" w:cs="Times New Roman"/>
          <w:kern w:val="0"/>
          <w:sz w:val="28"/>
          <w:szCs w:val="28"/>
          <w14:ligatures w14:val="none"/>
        </w:rPr>
      </w:pPr>
      <w:r w:rsidRPr="00620E0A">
        <w:rPr>
          <w:rFonts w:ascii="Arial Nova" w:eastAsia="Times New Roman" w:hAnsi="Arial Nova" w:cs="Times New Roman"/>
          <w:color w:val="000000"/>
          <w:kern w:val="0"/>
          <w:sz w:val="28"/>
          <w:szCs w:val="28"/>
          <w:bdr w:val="single" w:sz="6" w:space="11" w:color="DDDDDD" w:frame="1"/>
          <w14:ligatures w14:val="none"/>
        </w:rPr>
        <w:t xml:space="preserve">Higher consumption of green tea and </w:t>
      </w:r>
      <w:proofErr w:type="spellStart"/>
      <w:r w:rsidRPr="00620E0A">
        <w:rPr>
          <w:rFonts w:ascii="Arial Nova" w:eastAsia="Times New Roman" w:hAnsi="Arial Nova" w:cs="Times New Roman"/>
          <w:color w:val="000000"/>
          <w:kern w:val="0"/>
          <w:sz w:val="28"/>
          <w:szCs w:val="28"/>
          <w:bdr w:val="single" w:sz="6" w:space="11" w:color="DDDDDD" w:frame="1"/>
          <w14:ligatures w14:val="none"/>
        </w:rPr>
        <w:t>Mankai</w:t>
      </w:r>
      <w:proofErr w:type="spellEnd"/>
      <w:r w:rsidRPr="00620E0A">
        <w:rPr>
          <w:rFonts w:ascii="Arial Nova" w:eastAsia="Times New Roman" w:hAnsi="Arial Nova" w:cs="Times New Roman"/>
          <w:color w:val="000000"/>
          <w:kern w:val="0"/>
          <w:sz w:val="28"/>
          <w:szCs w:val="28"/>
          <w:bdr w:val="single" w:sz="6" w:space="11" w:color="DDDDDD" w:frame="1"/>
          <w14:ligatures w14:val="none"/>
        </w:rPr>
        <w:t xml:space="preserve"> shakes was associated with these benefits, suggesting the role of polyphenols in crossing the blood-brain barrier, reducing inflammation, and promoting cellular repair in memory-critical regions…</w:t>
      </w:r>
    </w:p>
    <w:p w14:paraId="6E151181" w14:textId="535D7C8F"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A73600">
        <w:rPr>
          <w:rFonts w:ascii="Arial Nova" w:eastAsia="Times New Roman" w:hAnsi="Arial Nova" w:cs="Times New Roman"/>
          <w:noProof/>
          <w:color w:val="5B564D"/>
          <w:kern w:val="0"/>
          <w:sz w:val="30"/>
          <w:szCs w:val="30"/>
          <w14:ligatures w14:val="none"/>
        </w:rPr>
        <w:drawing>
          <wp:inline distT="0" distB="0" distL="0" distR="0" wp14:anchorId="3F7E23C3" wp14:editId="0396C5EA">
            <wp:extent cx="2526863" cy="1685925"/>
            <wp:effectExtent l="0" t="0" r="6985" b="0"/>
            <wp:docPr id="1631604073" name="Picture 3" descr="Mechanisms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chanisms of 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345" cy="1696255"/>
                    </a:xfrm>
                    <a:prstGeom prst="rect">
                      <a:avLst/>
                    </a:prstGeom>
                    <a:noFill/>
                    <a:ln>
                      <a:noFill/>
                    </a:ln>
                  </pic:spPr>
                </pic:pic>
              </a:graphicData>
            </a:graphic>
          </wp:inline>
        </w:drawing>
      </w:r>
    </w:p>
    <w:p w14:paraId="394D71F5" w14:textId="77777777" w:rsidR="00620E0A" w:rsidRPr="00620E0A" w:rsidRDefault="00620E0A" w:rsidP="00620E0A">
      <w:pPr>
        <w:shd w:val="clear" w:color="auto" w:fill="FEFEFE"/>
        <w:spacing w:before="100" w:beforeAutospacing="1" w:after="100" w:afterAutospacing="1" w:line="300" w:lineRule="atLeast"/>
        <w:outlineLvl w:val="1"/>
        <w:rPr>
          <w:rFonts w:ascii="Arial Nova" w:eastAsia="Times New Roman" w:hAnsi="Arial Nova" w:cs="Times New Roman"/>
          <w:color w:val="5B564D"/>
          <w:kern w:val="0"/>
          <w:sz w:val="32"/>
          <w:szCs w:val="32"/>
          <w14:ligatures w14:val="none"/>
        </w:rPr>
      </w:pPr>
      <w:r w:rsidRPr="00620E0A">
        <w:rPr>
          <w:rFonts w:ascii="Arial Nova" w:eastAsia="Times New Roman" w:hAnsi="Arial Nova" w:cs="Times New Roman"/>
          <w:color w:val="5B564D"/>
          <w:kern w:val="0"/>
          <w:sz w:val="32"/>
          <w:szCs w:val="32"/>
          <w14:ligatures w14:val="none"/>
        </w:rPr>
        <w:t>Mechanisms of Action</w:t>
      </w:r>
    </w:p>
    <w:p w14:paraId="6B1993A6"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b/>
          <w:bCs/>
          <w:color w:val="5B564D"/>
          <w:kern w:val="0"/>
          <w:sz w:val="28"/>
          <w:szCs w:val="28"/>
          <w14:ligatures w14:val="none"/>
        </w:rPr>
        <w:t>Polyphenols, abundant in the green-MED diet, may enhance brain health by:</w:t>
      </w:r>
    </w:p>
    <w:p w14:paraId="4F424ABA" w14:textId="77777777" w:rsidR="00620E0A" w:rsidRPr="00620E0A" w:rsidRDefault="00620E0A" w:rsidP="00620E0A">
      <w:pPr>
        <w:numPr>
          <w:ilvl w:val="0"/>
          <w:numId w:val="2"/>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Reducing oxidative stress and inflammation.</w:t>
      </w:r>
    </w:p>
    <w:p w14:paraId="3D39B27D" w14:textId="77777777" w:rsidR="00620E0A" w:rsidRPr="00620E0A" w:rsidRDefault="00620E0A" w:rsidP="00620E0A">
      <w:pPr>
        <w:numPr>
          <w:ilvl w:val="0"/>
          <w:numId w:val="2"/>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Supporting neurogenesis, particularly in the hippocampus.</w:t>
      </w:r>
    </w:p>
    <w:p w14:paraId="698134FB" w14:textId="77777777" w:rsidR="00620E0A" w:rsidRPr="00620E0A" w:rsidRDefault="00620E0A" w:rsidP="00620E0A">
      <w:pPr>
        <w:numPr>
          <w:ilvl w:val="0"/>
          <w:numId w:val="2"/>
        </w:numPr>
        <w:shd w:val="clear" w:color="auto" w:fill="FEFEFE"/>
        <w:spacing w:after="0" w:line="240" w:lineRule="auto"/>
        <w:rPr>
          <w:rFonts w:ascii="Arial Nova" w:eastAsia="Times New Roman" w:hAnsi="Arial Nova" w:cs="Times New Roman"/>
          <w:color w:val="5B564D"/>
          <w:kern w:val="0"/>
          <w:sz w:val="30"/>
          <w:szCs w:val="30"/>
          <w14:ligatures w14:val="none"/>
        </w:rPr>
      </w:pPr>
      <w:r w:rsidRPr="00620E0A">
        <w:rPr>
          <w:rFonts w:ascii="Arial Nova" w:eastAsia="Times New Roman" w:hAnsi="Arial Nova" w:cs="Times New Roman"/>
          <w:color w:val="5B564D"/>
          <w:kern w:val="0"/>
          <w:sz w:val="28"/>
          <w:szCs w:val="28"/>
          <w14:ligatures w14:val="none"/>
        </w:rPr>
        <w:t>Improving gut health, which influences the </w:t>
      </w:r>
      <w:hyperlink r:id="rId15" w:tgtFrame="_blank" w:history="1">
        <w:r w:rsidRPr="00620E0A">
          <w:rPr>
            <w:rFonts w:ascii="Arial Nova" w:eastAsia="Times New Roman" w:hAnsi="Arial Nova" w:cs="Times New Roman"/>
            <w:color w:val="147BB3"/>
            <w:kern w:val="0"/>
            <w:sz w:val="28"/>
            <w:szCs w:val="28"/>
            <w:u w:val="single"/>
            <w14:ligatures w14:val="none"/>
          </w:rPr>
          <w:t>gut-brain axis</w:t>
        </w:r>
      </w:hyperlink>
      <w:r w:rsidRPr="00620E0A">
        <w:rPr>
          <w:rFonts w:ascii="Arial Nova" w:eastAsia="Times New Roman" w:hAnsi="Arial Nova" w:cs="Times New Roman"/>
          <w:color w:val="5B564D"/>
          <w:kern w:val="0"/>
          <w:sz w:val="28"/>
          <w:szCs w:val="28"/>
          <w14:ligatures w14:val="none"/>
        </w:rPr>
        <w:t> and overall cognitive function</w:t>
      </w:r>
      <w:r w:rsidRPr="00620E0A">
        <w:rPr>
          <w:rFonts w:ascii="Arial Nova" w:eastAsia="Times New Roman" w:hAnsi="Arial Nova" w:cs="Times New Roman"/>
          <w:color w:val="5B564D"/>
          <w:kern w:val="0"/>
          <w:sz w:val="30"/>
          <w:szCs w:val="30"/>
          <w14:ligatures w14:val="none"/>
        </w:rPr>
        <w:t>.</w:t>
      </w:r>
    </w:p>
    <w:p w14:paraId="1CDA7DA4" w14:textId="77777777" w:rsidR="00620E0A" w:rsidRPr="00620E0A" w:rsidRDefault="00620E0A" w:rsidP="00620E0A">
      <w:pPr>
        <w:numPr>
          <w:ilvl w:val="0"/>
          <w:numId w:val="2"/>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Enhancing blood circulation, which ensures the brain receives vital nutrients and oxygen.</w:t>
      </w:r>
    </w:p>
    <w:p w14:paraId="0512CB1B"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Key polyphenol-rich components included </w:t>
      </w:r>
      <w:hyperlink r:id="rId16" w:tgtFrame="_blank" w:history="1">
        <w:r w:rsidRPr="00620E0A">
          <w:rPr>
            <w:rFonts w:ascii="Arial Nova" w:eastAsia="Times New Roman" w:hAnsi="Arial Nova" w:cs="Times New Roman"/>
            <w:color w:val="147BB3"/>
            <w:kern w:val="0"/>
            <w:sz w:val="28"/>
            <w:szCs w:val="28"/>
            <w:u w:val="single"/>
            <w14:ligatures w14:val="none"/>
          </w:rPr>
          <w:t>walnuts</w:t>
        </w:r>
      </w:hyperlink>
      <w:r w:rsidRPr="00620E0A">
        <w:rPr>
          <w:rFonts w:ascii="Arial Nova" w:eastAsia="Times New Roman" w:hAnsi="Arial Nova" w:cs="Times New Roman"/>
          <w:color w:val="5B564D"/>
          <w:kern w:val="0"/>
          <w:sz w:val="28"/>
          <w:szCs w:val="28"/>
          <w14:ligatures w14:val="none"/>
        </w:rPr>
        <w:t>, </w:t>
      </w:r>
      <w:hyperlink r:id="rId17" w:tgtFrame="_blank" w:history="1">
        <w:r w:rsidRPr="00620E0A">
          <w:rPr>
            <w:rFonts w:ascii="Arial Nova" w:eastAsia="Times New Roman" w:hAnsi="Arial Nova" w:cs="Times New Roman"/>
            <w:color w:val="147BB3"/>
            <w:kern w:val="0"/>
            <w:sz w:val="28"/>
            <w:szCs w:val="28"/>
            <w:u w:val="single"/>
            <w14:ligatures w14:val="none"/>
          </w:rPr>
          <w:t>olive oil</w:t>
        </w:r>
      </w:hyperlink>
      <w:r w:rsidRPr="00620E0A">
        <w:rPr>
          <w:rFonts w:ascii="Arial Nova" w:eastAsia="Times New Roman" w:hAnsi="Arial Nova" w:cs="Times New Roman"/>
          <w:color w:val="5B564D"/>
          <w:kern w:val="0"/>
          <w:sz w:val="28"/>
          <w:szCs w:val="28"/>
          <w14:ligatures w14:val="none"/>
        </w:rPr>
        <w:t>, </w:t>
      </w:r>
      <w:hyperlink r:id="rId18" w:tgtFrame="_blank" w:history="1">
        <w:r w:rsidRPr="00620E0A">
          <w:rPr>
            <w:rFonts w:ascii="Arial Nova" w:eastAsia="Times New Roman" w:hAnsi="Arial Nova" w:cs="Times New Roman"/>
            <w:color w:val="147BB3"/>
            <w:kern w:val="0"/>
            <w:sz w:val="28"/>
            <w:szCs w:val="28"/>
            <w:u w:val="single"/>
            <w14:ligatures w14:val="none"/>
          </w:rPr>
          <w:t>green tea</w:t>
        </w:r>
      </w:hyperlink>
      <w:r w:rsidRPr="00620E0A">
        <w:rPr>
          <w:rFonts w:ascii="Arial Nova" w:eastAsia="Times New Roman" w:hAnsi="Arial Nova" w:cs="Times New Roman"/>
          <w:color w:val="5B564D"/>
          <w:kern w:val="0"/>
          <w:sz w:val="28"/>
          <w:szCs w:val="28"/>
          <w14:ligatures w14:val="none"/>
        </w:rPr>
        <w:t>, and </w:t>
      </w:r>
      <w:proofErr w:type="spellStart"/>
      <w:r w:rsidRPr="00620E0A">
        <w:rPr>
          <w:rFonts w:ascii="Arial Nova" w:eastAsia="Times New Roman" w:hAnsi="Arial Nova" w:cs="Times New Roman"/>
          <w:color w:val="5B564D"/>
          <w:kern w:val="0"/>
          <w:sz w:val="28"/>
          <w:szCs w:val="28"/>
          <w14:ligatures w14:val="none"/>
        </w:rPr>
        <w:fldChar w:fldCharType="begin"/>
      </w:r>
      <w:r w:rsidRPr="00620E0A">
        <w:rPr>
          <w:rFonts w:ascii="Arial Nova" w:eastAsia="Times New Roman" w:hAnsi="Arial Nova" w:cs="Times New Roman"/>
          <w:color w:val="5B564D"/>
          <w:kern w:val="0"/>
          <w:sz w:val="28"/>
          <w:szCs w:val="28"/>
          <w14:ligatures w14:val="none"/>
        </w:rPr>
        <w:instrText>HYPERLINK "https://www.vegetariantimes.com/health-nutrition/what-is-mankai/" \t "_blank"</w:instrText>
      </w:r>
      <w:r w:rsidRPr="00620E0A">
        <w:rPr>
          <w:rFonts w:ascii="Arial Nova" w:eastAsia="Times New Roman" w:hAnsi="Arial Nova" w:cs="Times New Roman"/>
          <w:color w:val="5B564D"/>
          <w:kern w:val="0"/>
          <w:sz w:val="28"/>
          <w:szCs w:val="28"/>
          <w14:ligatures w14:val="none"/>
        </w:rPr>
      </w:r>
      <w:r w:rsidRPr="00620E0A">
        <w:rPr>
          <w:rFonts w:ascii="Arial Nova" w:eastAsia="Times New Roman" w:hAnsi="Arial Nova" w:cs="Times New Roman"/>
          <w:color w:val="5B564D"/>
          <w:kern w:val="0"/>
          <w:sz w:val="28"/>
          <w:szCs w:val="28"/>
          <w14:ligatures w14:val="none"/>
        </w:rPr>
        <w:fldChar w:fldCharType="separate"/>
      </w:r>
      <w:r w:rsidRPr="00620E0A">
        <w:rPr>
          <w:rFonts w:ascii="Arial Nova" w:eastAsia="Times New Roman" w:hAnsi="Arial Nova" w:cs="Times New Roman"/>
          <w:color w:val="147BB3"/>
          <w:kern w:val="0"/>
          <w:sz w:val="28"/>
          <w:szCs w:val="28"/>
          <w:u w:val="single"/>
          <w14:ligatures w14:val="none"/>
        </w:rPr>
        <w:t>Mankai</w:t>
      </w:r>
      <w:proofErr w:type="spellEnd"/>
      <w:r w:rsidRPr="00620E0A">
        <w:rPr>
          <w:rFonts w:ascii="Arial Nova" w:eastAsia="Times New Roman" w:hAnsi="Arial Nova" w:cs="Times New Roman"/>
          <w:color w:val="5B564D"/>
          <w:kern w:val="0"/>
          <w:sz w:val="28"/>
          <w:szCs w:val="28"/>
          <w14:ligatures w14:val="none"/>
        </w:rPr>
        <w:fldChar w:fldCharType="end"/>
      </w:r>
      <w:r w:rsidRPr="00620E0A">
        <w:rPr>
          <w:rFonts w:ascii="Arial Nova" w:eastAsia="Times New Roman" w:hAnsi="Arial Nova" w:cs="Times New Roman"/>
          <w:color w:val="5B564D"/>
          <w:kern w:val="0"/>
          <w:sz w:val="28"/>
          <w:szCs w:val="28"/>
          <w14:ligatures w14:val="none"/>
        </w:rPr>
        <w:t>. These foods support blood sugar stability and provide antioxidants that may protect against age-related neurodegeneration.</w:t>
      </w:r>
    </w:p>
    <w:p w14:paraId="3D068C12" w14:textId="77777777" w:rsidR="00620E0A" w:rsidRPr="00620E0A" w:rsidRDefault="00620E0A" w:rsidP="00620E0A">
      <w:pPr>
        <w:shd w:val="clear" w:color="auto" w:fill="FEFEFE"/>
        <w:spacing w:before="100" w:beforeAutospacing="1" w:after="100" w:afterAutospacing="1" w:line="300" w:lineRule="atLeast"/>
        <w:outlineLvl w:val="1"/>
        <w:rPr>
          <w:rFonts w:ascii="Arial Nova" w:eastAsia="Times New Roman" w:hAnsi="Arial Nova" w:cs="Times New Roman"/>
          <w:color w:val="5B564D"/>
          <w:kern w:val="0"/>
          <w:sz w:val="36"/>
          <w:szCs w:val="36"/>
          <w14:ligatures w14:val="none"/>
        </w:rPr>
      </w:pPr>
      <w:r w:rsidRPr="00620E0A">
        <w:rPr>
          <w:rFonts w:ascii="Arial Nova" w:eastAsia="Times New Roman" w:hAnsi="Arial Nova" w:cs="Times New Roman"/>
          <w:color w:val="5B564D"/>
          <w:kern w:val="0"/>
          <w:sz w:val="36"/>
          <w:szCs w:val="36"/>
          <w14:ligatures w14:val="none"/>
        </w:rPr>
        <w:lastRenderedPageBreak/>
        <w:t>Implications and Recommendations</w:t>
      </w:r>
    </w:p>
    <w:p w14:paraId="3F387065"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The findings underscore the potential of dietary interventions, particularly polyphenol-rich diets, in mitigating age-related brain changes. Adopting a green-MED diet could be a practical, low-risk strategy for preserving brain health and reducing dementia risk. </w:t>
      </w:r>
      <w:r w:rsidRPr="00620E0A">
        <w:rPr>
          <w:rFonts w:ascii="Arial Nova" w:eastAsia="Times New Roman" w:hAnsi="Arial Nova" w:cs="Times New Roman"/>
          <w:b/>
          <w:bCs/>
          <w:color w:val="5B564D"/>
          <w:kern w:val="0"/>
          <w:sz w:val="28"/>
          <w:szCs w:val="28"/>
          <w14:ligatures w14:val="none"/>
        </w:rPr>
        <w:t>Key dietary recommendations include:</w:t>
      </w:r>
    </w:p>
    <w:p w14:paraId="733CB512" w14:textId="77777777" w:rsidR="00620E0A" w:rsidRPr="00620E0A" w:rsidRDefault="00620E0A" w:rsidP="00620E0A">
      <w:pPr>
        <w:numPr>
          <w:ilvl w:val="0"/>
          <w:numId w:val="3"/>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Incorporating green tea (3 – 4 cups daily).</w:t>
      </w:r>
    </w:p>
    <w:p w14:paraId="7AFB6055" w14:textId="77777777" w:rsidR="00620E0A" w:rsidRPr="00620E0A" w:rsidRDefault="00620E0A" w:rsidP="00620E0A">
      <w:pPr>
        <w:numPr>
          <w:ilvl w:val="0"/>
          <w:numId w:val="3"/>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 xml:space="preserve">Consuming </w:t>
      </w:r>
      <w:proofErr w:type="spellStart"/>
      <w:r w:rsidRPr="00620E0A">
        <w:rPr>
          <w:rFonts w:ascii="Arial Nova" w:eastAsia="Times New Roman" w:hAnsi="Arial Nova" w:cs="Times New Roman"/>
          <w:color w:val="5B564D"/>
          <w:kern w:val="0"/>
          <w:sz w:val="28"/>
          <w:szCs w:val="28"/>
          <w14:ligatures w14:val="none"/>
        </w:rPr>
        <w:t>Mankai</w:t>
      </w:r>
      <w:proofErr w:type="spellEnd"/>
      <w:r w:rsidRPr="00620E0A">
        <w:rPr>
          <w:rFonts w:ascii="Arial Nova" w:eastAsia="Times New Roman" w:hAnsi="Arial Nova" w:cs="Times New Roman"/>
          <w:color w:val="5B564D"/>
          <w:kern w:val="0"/>
          <w:sz w:val="28"/>
          <w:szCs w:val="28"/>
          <w14:ligatures w14:val="none"/>
        </w:rPr>
        <w:t xml:space="preserve"> shakes multiple times weekly.</w:t>
      </w:r>
    </w:p>
    <w:p w14:paraId="18AB9332" w14:textId="77777777" w:rsidR="00620E0A" w:rsidRPr="00620E0A" w:rsidRDefault="00620E0A" w:rsidP="00620E0A">
      <w:pPr>
        <w:numPr>
          <w:ilvl w:val="0"/>
          <w:numId w:val="3"/>
        </w:numPr>
        <w:shd w:val="clear" w:color="auto" w:fill="FEFEFE"/>
        <w:spacing w:after="0"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Increasing intake of walnuts, olive oil, leafy greens, and berries.</w:t>
      </w:r>
    </w:p>
    <w:p w14:paraId="093A9173" w14:textId="7A3821AF"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A73600">
        <w:rPr>
          <w:rFonts w:ascii="Arial Nova" w:eastAsia="Times New Roman" w:hAnsi="Arial Nova" w:cs="Times New Roman"/>
          <w:noProof/>
          <w:color w:val="5B564D"/>
          <w:kern w:val="0"/>
          <w:sz w:val="30"/>
          <w:szCs w:val="30"/>
          <w14:ligatures w14:val="none"/>
        </w:rPr>
        <w:drawing>
          <wp:inline distT="0" distB="0" distL="0" distR="0" wp14:anchorId="652ED48B" wp14:editId="2D9D38BF">
            <wp:extent cx="2826660" cy="1885950"/>
            <wp:effectExtent l="0" t="0" r="0" b="0"/>
            <wp:docPr id="1517665107" name="Picture 2" descr="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 Findin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069" cy="1891560"/>
                    </a:xfrm>
                    <a:prstGeom prst="rect">
                      <a:avLst/>
                    </a:prstGeom>
                    <a:noFill/>
                    <a:ln>
                      <a:noFill/>
                    </a:ln>
                  </pic:spPr>
                </pic:pic>
              </a:graphicData>
            </a:graphic>
          </wp:inline>
        </w:drawing>
      </w:r>
    </w:p>
    <w:p w14:paraId="26EAA9AB" w14:textId="2E66583C" w:rsidR="00620E0A" w:rsidRPr="00620E0A" w:rsidRDefault="00620E0A" w:rsidP="00620E0A">
      <w:pPr>
        <w:spacing w:after="0" w:line="240" w:lineRule="auto"/>
        <w:rPr>
          <w:rFonts w:ascii="Arial Nova" w:eastAsia="Times New Roman" w:hAnsi="Arial Nova" w:cs="Times New Roman"/>
          <w:kern w:val="0"/>
          <w:sz w:val="32"/>
          <w:szCs w:val="32"/>
          <w14:ligatures w14:val="none"/>
        </w:rPr>
      </w:pPr>
      <w:hyperlink r:id="rId20" w:tgtFrame="_blank" w:history="1">
        <w:r w:rsidRPr="00620E0A">
          <w:rPr>
            <w:rFonts w:ascii="Arial Nova" w:eastAsia="Times New Roman" w:hAnsi="Arial Nova" w:cs="Times New Roman"/>
            <w:color w:val="000000"/>
            <w:kern w:val="0"/>
            <w:sz w:val="32"/>
            <w:szCs w:val="32"/>
            <w:bdr w:val="single" w:sz="6" w:space="11" w:color="DDDDDD" w:frame="1"/>
            <w14:ligatures w14:val="none"/>
          </w:rPr>
          <w:t>Adopting a green-MED diet could be a practical, low-risk strategy for preserving brain health and reducing dementia risk.</w:t>
        </w:r>
      </w:hyperlink>
    </w:p>
    <w:p w14:paraId="137BC424"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While the results are promising, limitations include the predominantly male participant group and the absence of cognitive performance assessments. Further research is needed to explore these effects across diverse populations and assess long-term cognitive outcomes.</w:t>
      </w:r>
    </w:p>
    <w:p w14:paraId="0E204357" w14:textId="78BA2B74"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A73600">
        <w:rPr>
          <w:rFonts w:ascii="Arial Nova" w:eastAsia="Times New Roman" w:hAnsi="Arial Nova" w:cs="Times New Roman"/>
          <w:noProof/>
          <w:color w:val="5B564D"/>
          <w:kern w:val="0"/>
          <w:sz w:val="30"/>
          <w:szCs w:val="30"/>
          <w14:ligatures w14:val="none"/>
        </w:rPr>
        <w:lastRenderedPageBreak/>
        <w:drawing>
          <wp:inline distT="0" distB="0" distL="0" distR="0" wp14:anchorId="509CB721" wp14:editId="431F94D3">
            <wp:extent cx="2869488" cy="1914525"/>
            <wp:effectExtent l="0" t="0" r="7620" b="0"/>
            <wp:docPr id="220484402" name="Picture 1" descr="Implications and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lications and Recommend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296" cy="1923738"/>
                    </a:xfrm>
                    <a:prstGeom prst="rect">
                      <a:avLst/>
                    </a:prstGeom>
                    <a:noFill/>
                    <a:ln>
                      <a:noFill/>
                    </a:ln>
                  </pic:spPr>
                </pic:pic>
              </a:graphicData>
            </a:graphic>
          </wp:inline>
        </w:drawing>
      </w:r>
    </w:p>
    <w:p w14:paraId="06C4252B" w14:textId="77777777" w:rsidR="00620E0A" w:rsidRPr="00620E0A" w:rsidRDefault="00620E0A" w:rsidP="00620E0A">
      <w:pPr>
        <w:shd w:val="clear" w:color="auto" w:fill="FEFEFE"/>
        <w:spacing w:before="100" w:beforeAutospacing="1" w:after="100" w:afterAutospacing="1" w:line="300" w:lineRule="atLeast"/>
        <w:outlineLvl w:val="1"/>
        <w:rPr>
          <w:rFonts w:ascii="Arial Nova" w:eastAsia="Times New Roman" w:hAnsi="Arial Nova" w:cs="Times New Roman"/>
          <w:color w:val="5B564D"/>
          <w:kern w:val="0"/>
          <w:sz w:val="36"/>
          <w:szCs w:val="36"/>
          <w14:ligatures w14:val="none"/>
        </w:rPr>
      </w:pPr>
      <w:r w:rsidRPr="00620E0A">
        <w:rPr>
          <w:rFonts w:ascii="Arial Nova" w:eastAsia="Times New Roman" w:hAnsi="Arial Nova" w:cs="Times New Roman"/>
          <w:color w:val="5B564D"/>
          <w:kern w:val="0"/>
          <w:sz w:val="36"/>
          <w:szCs w:val="36"/>
          <w14:ligatures w14:val="none"/>
        </w:rPr>
        <w:t>Conclusion</w:t>
      </w:r>
    </w:p>
    <w:p w14:paraId="2DD29DD1"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28"/>
          <w:szCs w:val="28"/>
          <w14:ligatures w14:val="none"/>
        </w:rPr>
      </w:pPr>
      <w:r w:rsidRPr="00620E0A">
        <w:rPr>
          <w:rFonts w:ascii="Arial Nova" w:eastAsia="Times New Roman" w:hAnsi="Arial Nova" w:cs="Times New Roman"/>
          <w:color w:val="5B564D"/>
          <w:kern w:val="0"/>
          <w:sz w:val="28"/>
          <w:szCs w:val="28"/>
          <w14:ligatures w14:val="none"/>
        </w:rPr>
        <w:t>This study highlights the neuroprotective potential of MED and green-MED diets through improved glycemic control, enhanced blood circulation, and polyphenol intake. By adopting such dietary habits early in life, individuals may reduce brain aging and preserve cognitive health, offering a valuable strategy for addressing age-related neurodegeneration.</w:t>
      </w:r>
    </w:p>
    <w:p w14:paraId="03FD2170" w14:textId="77777777" w:rsidR="00620E0A" w:rsidRPr="00620E0A" w:rsidRDefault="008B0297" w:rsidP="00620E0A">
      <w:pPr>
        <w:spacing w:after="0" w:line="240" w:lineRule="auto"/>
        <w:rPr>
          <w:rFonts w:ascii="Arial Nova" w:eastAsia="Times New Roman" w:hAnsi="Arial Nova" w:cs="Times New Roman"/>
          <w:kern w:val="0"/>
          <w14:ligatures w14:val="none"/>
        </w:rPr>
      </w:pPr>
      <w:r>
        <w:rPr>
          <w:rFonts w:ascii="Arial Nova" w:eastAsia="Times New Roman" w:hAnsi="Arial Nova" w:cs="Times New Roman"/>
          <w:kern w:val="0"/>
          <w14:ligatures w14:val="none"/>
        </w:rPr>
        <w:pict w14:anchorId="272A56A4">
          <v:rect id="_x0000_i1025" style="width:0;height:0" o:hralign="center" o:hrstd="t" o:hrnoshade="t" o:hr="t" fillcolor="#5b564d" stroked="f"/>
        </w:pict>
      </w:r>
    </w:p>
    <w:p w14:paraId="20F8763E" w14:textId="77777777" w:rsidR="00620E0A" w:rsidRPr="00620E0A" w:rsidRDefault="00620E0A" w:rsidP="00620E0A">
      <w:pPr>
        <w:shd w:val="clear" w:color="auto" w:fill="FEFEFE"/>
        <w:spacing w:before="100" w:beforeAutospacing="1" w:after="100" w:afterAutospacing="1" w:line="240" w:lineRule="auto"/>
        <w:rPr>
          <w:rFonts w:ascii="Arial Nova" w:eastAsia="Times New Roman" w:hAnsi="Arial Nova" w:cs="Times New Roman"/>
          <w:color w:val="5B564D"/>
          <w:kern w:val="0"/>
          <w:sz w:val="30"/>
          <w:szCs w:val="30"/>
          <w14:ligatures w14:val="none"/>
        </w:rPr>
      </w:pPr>
      <w:r w:rsidRPr="00620E0A">
        <w:rPr>
          <w:rFonts w:ascii="Arial Nova" w:eastAsia="Times New Roman" w:hAnsi="Arial Nova" w:cs="Times New Roman"/>
          <w:b/>
          <w:bCs/>
          <w:color w:val="5B564D"/>
          <w:kern w:val="0"/>
          <w:sz w:val="30"/>
          <w:szCs w:val="30"/>
          <w14:ligatures w14:val="none"/>
        </w:rPr>
        <w:t>By Rae Bennett</w:t>
      </w:r>
    </w:p>
    <w:p w14:paraId="575C8B6A" w14:textId="77777777" w:rsidR="00620E0A" w:rsidRPr="00A73600" w:rsidRDefault="00620E0A">
      <w:pPr>
        <w:rPr>
          <w:rFonts w:ascii="Arial Nova" w:hAnsi="Arial Nova"/>
        </w:rPr>
      </w:pPr>
    </w:p>
    <w:sectPr w:rsidR="00620E0A" w:rsidRPr="00A73600" w:rsidSect="00620E0A">
      <w:footerReference w:type="default" r:id="rId2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A6583" w14:textId="77777777" w:rsidR="00A73600" w:rsidRDefault="00A73600" w:rsidP="00A73600">
      <w:pPr>
        <w:spacing w:after="0" w:line="240" w:lineRule="auto"/>
      </w:pPr>
      <w:r>
        <w:separator/>
      </w:r>
    </w:p>
  </w:endnote>
  <w:endnote w:type="continuationSeparator" w:id="0">
    <w:p w14:paraId="6F821D23" w14:textId="77777777" w:rsidR="00A73600" w:rsidRDefault="00A73600" w:rsidP="00A7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550985"/>
      <w:docPartObj>
        <w:docPartGallery w:val="Page Numbers (Bottom of Page)"/>
        <w:docPartUnique/>
      </w:docPartObj>
    </w:sdtPr>
    <w:sdtEndPr>
      <w:rPr>
        <w:noProof/>
      </w:rPr>
    </w:sdtEndPr>
    <w:sdtContent>
      <w:p w14:paraId="37D810F0" w14:textId="12521332" w:rsidR="00A73600" w:rsidRDefault="00A736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564AEB" w14:textId="77777777" w:rsidR="00A73600" w:rsidRDefault="00A73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C6585" w14:textId="77777777" w:rsidR="00A73600" w:rsidRDefault="00A73600" w:rsidP="00A73600">
      <w:pPr>
        <w:spacing w:after="0" w:line="240" w:lineRule="auto"/>
      </w:pPr>
      <w:r>
        <w:separator/>
      </w:r>
    </w:p>
  </w:footnote>
  <w:footnote w:type="continuationSeparator" w:id="0">
    <w:p w14:paraId="7472F55D" w14:textId="77777777" w:rsidR="00A73600" w:rsidRDefault="00A73600" w:rsidP="00A7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9E8"/>
    <w:multiLevelType w:val="multilevel"/>
    <w:tmpl w:val="21F8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33993"/>
    <w:multiLevelType w:val="multilevel"/>
    <w:tmpl w:val="D2F0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16860"/>
    <w:multiLevelType w:val="multilevel"/>
    <w:tmpl w:val="E876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9522292">
    <w:abstractNumId w:val="1"/>
  </w:num>
  <w:num w:numId="2" w16cid:durableId="609358552">
    <w:abstractNumId w:val="0"/>
  </w:num>
  <w:num w:numId="3" w16cid:durableId="23559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E0A"/>
    <w:rsid w:val="00620E0A"/>
    <w:rsid w:val="008B0297"/>
    <w:rsid w:val="00A73600"/>
    <w:rsid w:val="00F13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4B4998"/>
  <w15:chartTrackingRefBased/>
  <w15:docId w15:val="{62F45CAB-432E-46EB-A275-B6F2306A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E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0E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0E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0E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0E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0E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E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E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E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E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0E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0E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0E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0E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0E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E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E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E0A"/>
    <w:rPr>
      <w:rFonts w:eastAsiaTheme="majorEastAsia" w:cstheme="majorBidi"/>
      <w:color w:val="272727" w:themeColor="text1" w:themeTint="D8"/>
    </w:rPr>
  </w:style>
  <w:style w:type="paragraph" w:styleId="Title">
    <w:name w:val="Title"/>
    <w:basedOn w:val="Normal"/>
    <w:next w:val="Normal"/>
    <w:link w:val="TitleChar"/>
    <w:uiPriority w:val="10"/>
    <w:qFormat/>
    <w:rsid w:val="00620E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E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E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E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E0A"/>
    <w:pPr>
      <w:spacing w:before="160"/>
      <w:jc w:val="center"/>
    </w:pPr>
    <w:rPr>
      <w:i/>
      <w:iCs/>
      <w:color w:val="404040" w:themeColor="text1" w:themeTint="BF"/>
    </w:rPr>
  </w:style>
  <w:style w:type="character" w:customStyle="1" w:styleId="QuoteChar">
    <w:name w:val="Quote Char"/>
    <w:basedOn w:val="DefaultParagraphFont"/>
    <w:link w:val="Quote"/>
    <w:uiPriority w:val="29"/>
    <w:rsid w:val="00620E0A"/>
    <w:rPr>
      <w:i/>
      <w:iCs/>
      <w:color w:val="404040" w:themeColor="text1" w:themeTint="BF"/>
    </w:rPr>
  </w:style>
  <w:style w:type="paragraph" w:styleId="ListParagraph">
    <w:name w:val="List Paragraph"/>
    <w:basedOn w:val="Normal"/>
    <w:uiPriority w:val="34"/>
    <w:qFormat/>
    <w:rsid w:val="00620E0A"/>
    <w:pPr>
      <w:ind w:left="720"/>
      <w:contextualSpacing/>
    </w:pPr>
  </w:style>
  <w:style w:type="character" w:styleId="IntenseEmphasis">
    <w:name w:val="Intense Emphasis"/>
    <w:basedOn w:val="DefaultParagraphFont"/>
    <w:uiPriority w:val="21"/>
    <w:qFormat/>
    <w:rsid w:val="00620E0A"/>
    <w:rPr>
      <w:i/>
      <w:iCs/>
      <w:color w:val="0F4761" w:themeColor="accent1" w:themeShade="BF"/>
    </w:rPr>
  </w:style>
  <w:style w:type="paragraph" w:styleId="IntenseQuote">
    <w:name w:val="Intense Quote"/>
    <w:basedOn w:val="Normal"/>
    <w:next w:val="Normal"/>
    <w:link w:val="IntenseQuoteChar"/>
    <w:uiPriority w:val="30"/>
    <w:qFormat/>
    <w:rsid w:val="00620E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0E0A"/>
    <w:rPr>
      <w:i/>
      <w:iCs/>
      <w:color w:val="0F4761" w:themeColor="accent1" w:themeShade="BF"/>
    </w:rPr>
  </w:style>
  <w:style w:type="character" w:styleId="IntenseReference">
    <w:name w:val="Intense Reference"/>
    <w:basedOn w:val="DefaultParagraphFont"/>
    <w:uiPriority w:val="32"/>
    <w:qFormat/>
    <w:rsid w:val="00620E0A"/>
    <w:rPr>
      <w:b/>
      <w:bCs/>
      <w:smallCaps/>
      <w:color w:val="0F4761" w:themeColor="accent1" w:themeShade="BF"/>
      <w:spacing w:val="5"/>
    </w:rPr>
  </w:style>
  <w:style w:type="paragraph" w:styleId="NormalWeb">
    <w:name w:val="Normal (Web)"/>
    <w:basedOn w:val="Normal"/>
    <w:uiPriority w:val="99"/>
    <w:semiHidden/>
    <w:unhideWhenUsed/>
    <w:rsid w:val="00620E0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20E0A"/>
    <w:rPr>
      <w:i/>
      <w:iCs/>
    </w:rPr>
  </w:style>
  <w:style w:type="character" w:styleId="Hyperlink">
    <w:name w:val="Hyperlink"/>
    <w:basedOn w:val="DefaultParagraphFont"/>
    <w:uiPriority w:val="99"/>
    <w:unhideWhenUsed/>
    <w:rsid w:val="00620E0A"/>
    <w:rPr>
      <w:color w:val="0000FF"/>
      <w:u w:val="single"/>
    </w:rPr>
  </w:style>
  <w:style w:type="character" w:styleId="Strong">
    <w:name w:val="Strong"/>
    <w:basedOn w:val="DefaultParagraphFont"/>
    <w:uiPriority w:val="22"/>
    <w:qFormat/>
    <w:rsid w:val="00620E0A"/>
    <w:rPr>
      <w:b/>
      <w:bCs/>
    </w:rPr>
  </w:style>
  <w:style w:type="character" w:customStyle="1" w:styleId="bctt-click-to-tweet">
    <w:name w:val="bctt-click-to-tweet"/>
    <w:basedOn w:val="DefaultParagraphFont"/>
    <w:rsid w:val="00620E0A"/>
  </w:style>
  <w:style w:type="character" w:customStyle="1" w:styleId="bctt-ctt-text">
    <w:name w:val="bctt-ctt-text"/>
    <w:basedOn w:val="DefaultParagraphFont"/>
    <w:rsid w:val="00620E0A"/>
  </w:style>
  <w:style w:type="character" w:styleId="UnresolvedMention">
    <w:name w:val="Unresolved Mention"/>
    <w:basedOn w:val="DefaultParagraphFont"/>
    <w:uiPriority w:val="99"/>
    <w:semiHidden/>
    <w:unhideWhenUsed/>
    <w:rsid w:val="00620E0A"/>
    <w:rPr>
      <w:color w:val="605E5C"/>
      <w:shd w:val="clear" w:color="auto" w:fill="E1DFDD"/>
    </w:rPr>
  </w:style>
  <w:style w:type="paragraph" w:styleId="Header">
    <w:name w:val="header"/>
    <w:basedOn w:val="Normal"/>
    <w:link w:val="HeaderChar"/>
    <w:uiPriority w:val="99"/>
    <w:unhideWhenUsed/>
    <w:rsid w:val="00A7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600"/>
  </w:style>
  <w:style w:type="paragraph" w:styleId="Footer">
    <w:name w:val="footer"/>
    <w:basedOn w:val="Normal"/>
    <w:link w:val="FooterChar"/>
    <w:uiPriority w:val="99"/>
    <w:unhideWhenUsed/>
    <w:rsid w:val="00A73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19767">
      <w:bodyDiv w:val="1"/>
      <w:marLeft w:val="0"/>
      <w:marRight w:val="0"/>
      <w:marTop w:val="0"/>
      <w:marBottom w:val="0"/>
      <w:divBdr>
        <w:top w:val="none" w:sz="0" w:space="0" w:color="auto"/>
        <w:left w:val="none" w:sz="0" w:space="0" w:color="auto"/>
        <w:bottom w:val="none" w:sz="0" w:space="0" w:color="auto"/>
        <w:right w:val="none" w:sz="0" w:space="0" w:color="auto"/>
      </w:divBdr>
      <w:divsChild>
        <w:div w:id="1480879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uezones.com/2025/05/green-tea-and-walnuts-the-diet-blood-sugar-and-brain-health-connection/?mc_cid=871ceba2f3&amp;mc_eid=b063d3005e" TargetMode="External"/><Relationship Id="rId13" Type="http://schemas.openxmlformats.org/officeDocument/2006/relationships/hyperlink" Target="https://www.psypost.org/" TargetMode="External"/><Relationship Id="rId18" Type="http://schemas.openxmlformats.org/officeDocument/2006/relationships/hyperlink" Target="https://www.bluezones.com/2019/10/what-happens-when-you-drink-tea-every-day/"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bluezones.com/author/raebennett/" TargetMode="External"/><Relationship Id="rId12" Type="http://schemas.openxmlformats.org/officeDocument/2006/relationships/image" Target="media/image2.png"/><Relationship Id="rId17" Type="http://schemas.openxmlformats.org/officeDocument/2006/relationships/hyperlink" Target="https://www.bluezones.com/recipes/food-guidelines/" TargetMode="External"/><Relationship Id="rId2" Type="http://schemas.openxmlformats.org/officeDocument/2006/relationships/styles" Target="styles.xml"/><Relationship Id="rId16" Type="http://schemas.openxmlformats.org/officeDocument/2006/relationships/hyperlink" Target="https://www.bluezones.com/2017/07/why-nuts-are-nutritional-powerhouse/" TargetMode="External"/><Relationship Id="rId20" Type="http://schemas.openxmlformats.org/officeDocument/2006/relationships/hyperlink" Target="https://twitter.com/intent/tweet?url=https%3A%2F%2Fwww.bluezones.com%2F2025%2F05%2Fgreen-tea-and-walnuts-the-diet-blood-sugar-and-brain-health-connection%2F&amp;text=Adopting%20a%20green-MED%20diet%20could%20be%20a%20practical%2C%20low-risk%20strategy%20for%20preserving%20brain%20health%20and%20reducing%20dementia%20risk.&amp;via=bluezones&amp;related=bluezon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line.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luezones.com/2022/08/10-foods-to-boost-your-gut-immune-axi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1016/j.ajcnut.2024.09.013"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Royer</dc:creator>
  <cp:keywords/>
  <dc:description/>
  <cp:lastModifiedBy>Linda Royer</cp:lastModifiedBy>
  <cp:revision>2</cp:revision>
  <dcterms:created xsi:type="dcterms:W3CDTF">2025-05-24T12:43:00Z</dcterms:created>
  <dcterms:modified xsi:type="dcterms:W3CDTF">2025-05-24T12:43:00Z</dcterms:modified>
</cp:coreProperties>
</file>