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People and Safeguarding Risk Assessment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Club Name: Rossendale Bucks 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Assessment Date: 10-10-2024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Assessor Name: Hidden from public viewing contact the club direct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Review Date: 09-10-2025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Existing Controls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Action Required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35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Unsupervised juniors or vulnerable adults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Youth players, vulnerable adults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DBS-checked staff; supervision ratios in place; arrival/departure protocols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Create sign-in/out register; educate parents/guardians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Safeguarding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Inappropriate behavior by staff or volunteers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Players (especially minors)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Code of conduct signed; safeguarding training for all coaches/volunteers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Annual training updates; reporting system for concerns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Club Welfare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Bullying or harassment within team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Anti-bullying policy enforced; open-door communication policy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Regular check-ins with players; encourage anonymous reporting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Team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Medical emergency or condition during training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Medical forms collected; first aiders present at all sessions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Ensure forms updated annually; practice emergency drills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First Aid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Lack of knowledge of safeguarding responsibilities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Coaches, volunteers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Safeguarding induction for new staff; posters on display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Refreshers every season; appoint deputy safeguarding lead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Safeguarding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Inadequate first aid provision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Players, coaches, spectators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First aid kits on site; at least one trained first aider per session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Ensure kits restocked regularly; provide extra training opportunities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Health &amp; Safety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Injury or harm during away games/travel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Players, staff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Travel and emergency contacts collected; trip risk assessment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Issue behaviour and safety brief before travel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Team Coach / Trip Leader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Spectator misconduct (e.g., aggression or intoxication)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Players, families, staff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Code of conduct displayed at venue; alcohol restrictions enforced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Brief stewards or volunteers on handling incidents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Match Day Officer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