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Activities and Play Risk Assessment 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Club Name: Rossendale Bucks 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Assessment Date: 10-10-2024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Assessor Name: Hidden from public viewing contact the club direct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Review Date: 09-10-2024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1440"/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Might Be Harmed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Existing Controls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Further Action Required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84.25196850393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Player collisions during contact drills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Drills supervised by coaches; contact limited in training; use of protective equipment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Monitor intensity; limit full-contact reps; ensure proper tackling technique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Coaching Staff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Improper tackling technique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Technique taught during preseason and reinforced regularly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Ongoing coach education; player video review sessions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Head Coach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Overexertion or heat-related illness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Water breaks every 15–20 minutes; coach monitors for fatigue signs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Educate players on hydration; adjust sessions in extreme heat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Coaches / First Aid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Inadequate warm-up or cool-down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Structured routines before and after each session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Ensure all players participate; track compliance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Team Captain / Coach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Head or neck injuries from gameplay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No helmet-to-helmet contact policy; immediate removal from play after impact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Ensure adherence to concussion protocols; medical clearance for return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Medical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Injuries from drills using sleds or shields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Equipment used under supervision; safe spacing ensured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Coaches trained in drill safety; restrict high-impact drills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Positional Coaches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Player fatigue leading to poor technique or mistakes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Session intensity monitored; rest periods included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Track player attendance and workload; modify drills for fatigued players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Coaching Team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Unsupervised use of field or equipment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Facility access restricted to approved times; equipment locked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Post visible signs; enforce penalties for unauthorized use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Club Committee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