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w:drawing xmlns:a="http://schemas.openxmlformats.org/drawingml/2006/main">
          <wp:inline distT="0" distB="0" distL="0" distR="0">
            <wp:extent cx="2734456" cy="1325309"/>
            <wp:effectExtent l="0" t="0" r="0" b="0"/>
            <wp:docPr id="1073741825" name="officeArt object" descr="BluffsHOA_LogoSmall"/>
            <wp:cNvGraphicFramePr/>
            <a:graphic xmlns:a="http://schemas.openxmlformats.org/drawingml/2006/main">
              <a:graphicData uri="http://schemas.openxmlformats.org/drawingml/2006/picture">
                <pic:pic xmlns:pic="http://schemas.openxmlformats.org/drawingml/2006/picture">
                  <pic:nvPicPr>
                    <pic:cNvPr id="1073741825" name="BluffsHOA_LogoSmall" descr="BluffsHOA_LogoSmall"/>
                    <pic:cNvPicPr>
                      <a:picLocks noChangeAspect="1"/>
                    </pic:cNvPicPr>
                  </pic:nvPicPr>
                  <pic:blipFill>
                    <a:blip r:embed="rId4">
                      <a:extLst/>
                    </a:blip>
                    <a:stretch>
                      <a:fillRect/>
                    </a:stretch>
                  </pic:blipFill>
                  <pic:spPr>
                    <a:xfrm>
                      <a:off x="0" y="0"/>
                      <a:ext cx="2734456" cy="1325309"/>
                    </a:xfrm>
                    <a:prstGeom prst="rect">
                      <a:avLst/>
                    </a:prstGeom>
                    <a:ln w="12700" cap="flat">
                      <a:noFill/>
                      <a:miter lim="400000"/>
                    </a:ln>
                    <a:effectLst/>
                  </pic:spPr>
                </pic:pic>
              </a:graphicData>
            </a:graphic>
          </wp:inline>
        </w:drawing>
      </w:r>
    </w:p>
    <w:p>
      <w:pPr>
        <w:pStyle w:val="Normal.0"/>
        <w:jc w:val="center"/>
        <w:rPr>
          <w:b w:val="1"/>
          <w:bCs w:val="1"/>
          <w:sz w:val="26"/>
          <w:szCs w:val="26"/>
          <w:u w:val="single"/>
        </w:rPr>
      </w:pPr>
      <w:r>
        <w:rPr>
          <w:b w:val="1"/>
          <w:bCs w:val="1"/>
          <w:sz w:val="26"/>
          <w:szCs w:val="26"/>
          <w:u w:val="single"/>
          <w:rtl w:val="0"/>
          <w:lang w:val="en-US"/>
        </w:rPr>
        <w:t>The Bluffs Homeowner</w:t>
      </w:r>
      <w:r>
        <w:rPr>
          <w:b w:val="1"/>
          <w:bCs w:val="1"/>
          <w:sz w:val="26"/>
          <w:szCs w:val="26"/>
          <w:u w:val="single"/>
          <w:rtl w:val="0"/>
          <w:lang w:val="en-US"/>
        </w:rPr>
        <w:t>’</w:t>
      </w:r>
      <w:r>
        <w:rPr>
          <w:b w:val="1"/>
          <w:bCs w:val="1"/>
          <w:sz w:val="26"/>
          <w:szCs w:val="26"/>
          <w:u w:val="single"/>
          <w:rtl w:val="0"/>
          <w:lang w:val="en-US"/>
        </w:rPr>
        <w:t>s Association Board Member Meeting</w:t>
      </w:r>
    </w:p>
    <w:p>
      <w:pPr>
        <w:pStyle w:val="Normal.0"/>
        <w:jc w:val="center"/>
        <w:rPr>
          <w:b w:val="1"/>
          <w:bCs w:val="1"/>
          <w:sz w:val="26"/>
          <w:szCs w:val="26"/>
          <w:u w:val="single"/>
        </w:rPr>
      </w:pPr>
    </w:p>
    <w:p>
      <w:pPr>
        <w:pStyle w:val="Normal.0"/>
      </w:pPr>
    </w:p>
    <w:p>
      <w:pPr>
        <w:pStyle w:val="Normal.0"/>
      </w:pPr>
      <w:r>
        <w:rPr>
          <w:rtl w:val="0"/>
        </w:rPr>
        <w:t>Date</w:t>
      </w:r>
      <w:r>
        <w:rPr>
          <w:rtl w:val="0"/>
        </w:rPr>
        <w:t>:  November 8, 2022</w:t>
      </w:r>
    </w:p>
    <w:p>
      <w:pPr>
        <w:pStyle w:val="Normal.0"/>
        <w:rPr>
          <w:u w:val="single"/>
        </w:rPr>
      </w:pPr>
    </w:p>
    <w:p>
      <w:pPr>
        <w:pStyle w:val="Normal.0"/>
      </w:pPr>
      <w:r>
        <w:rPr>
          <w:rtl w:val="0"/>
        </w:rPr>
        <w:t>Call to Order:  6:09 pm</w:t>
      </w:r>
    </w:p>
    <w:p>
      <w:pPr>
        <w:pStyle w:val="Normal.0"/>
      </w:pPr>
    </w:p>
    <w:p>
      <w:pPr>
        <w:pStyle w:val="Normal.0"/>
      </w:pPr>
      <w:r>
        <w:rPr>
          <w:rtl w:val="0"/>
        </w:rPr>
        <w:t xml:space="preserve">Board members attending:  </w:t>
      </w:r>
      <w:r>
        <w:rPr>
          <w:rtl w:val="0"/>
        </w:rPr>
        <w:t>Chris Patton, Laura McKee, Renee Franks, Imi Mager, Lynne Stefonik, Vivian Patton, Linda Pacheco, Robert Pacheco, Michelle Cordial</w:t>
      </w:r>
    </w:p>
    <w:p>
      <w:pPr>
        <w:pStyle w:val="Normal.0"/>
      </w:pPr>
    </w:p>
    <w:p>
      <w:pPr>
        <w:pStyle w:val="Normal.0"/>
      </w:pPr>
      <w:r>
        <w:rPr>
          <w:rtl w:val="0"/>
        </w:rPr>
        <w:t>Approval of Minutes:  Vivian moved and Imi seconded the motion.</w:t>
      </w:r>
    </w:p>
    <w:p>
      <w:pPr>
        <w:pStyle w:val="Normal.0"/>
      </w:pPr>
    </w:p>
    <w:p>
      <w:pPr>
        <w:pStyle w:val="Normal.0"/>
        <w:rPr>
          <w:b w:val="1"/>
          <w:bCs w:val="1"/>
        </w:rPr>
      </w:pPr>
      <w:r>
        <w:rPr>
          <w:b w:val="1"/>
          <w:bCs w:val="1"/>
          <w:rtl w:val="0"/>
          <w:lang w:val="en-US"/>
        </w:rPr>
        <w:t>Treasurer</w:t>
      </w:r>
      <w:r>
        <w:rPr>
          <w:b w:val="1"/>
          <w:bCs w:val="1"/>
          <w:rtl w:val="0"/>
          <w:lang w:val="en-US"/>
        </w:rPr>
        <w:t>’</w:t>
      </w:r>
      <w:r>
        <w:rPr>
          <w:b w:val="1"/>
          <w:bCs w:val="1"/>
          <w:rtl w:val="0"/>
          <w:lang w:val="en-US"/>
        </w:rPr>
        <w:t>s Report</w:t>
      </w:r>
      <w:r>
        <w:rPr>
          <w:b w:val="1"/>
          <w:bCs w:val="1"/>
          <w:rtl w:val="0"/>
          <w:lang w:val="en-US"/>
        </w:rPr>
        <w:t xml:space="preserve">:  </w:t>
      </w:r>
      <w:r>
        <w:rPr>
          <w:rtl w:val="0"/>
          <w:lang w:val="en-US"/>
        </w:rPr>
        <w:t>The checking account balance as of November 6, 2022, is $3,562.01 and the Savings account balance is $2,571.21.</w:t>
      </w:r>
    </w:p>
    <w:p>
      <w:pPr>
        <w:pStyle w:val="No Spacing"/>
        <w:rPr>
          <w:b w:val="1"/>
          <w:bCs w:val="1"/>
        </w:rPr>
      </w:pPr>
    </w:p>
    <w:p>
      <w:pPr>
        <w:pStyle w:val="No Spacing"/>
      </w:pPr>
      <w:r>
        <w:rPr>
          <w:rFonts w:cs="Arial Unicode MS" w:eastAsia="Arial Unicode MS"/>
          <w:rtl w:val="0"/>
        </w:rPr>
        <w:t>Treasurers</w:t>
      </w:r>
      <w:r>
        <w:rPr>
          <w:rFonts w:cs="Arial Unicode MS" w:eastAsia="Arial Unicode MS" w:hint="default"/>
          <w:rtl w:val="0"/>
        </w:rPr>
        <w:t xml:space="preserve">’ </w:t>
      </w:r>
      <w:r>
        <w:rPr>
          <w:rFonts w:cs="Arial Unicode MS" w:eastAsia="Arial Unicode MS"/>
          <w:rtl w:val="0"/>
        </w:rPr>
        <w:t xml:space="preserve">report was motioned and seconded for acceptance by:  </w:t>
      </w:r>
      <w:r>
        <w:rPr>
          <w:rFonts w:cs="Arial Unicode MS" w:eastAsia="Arial Unicode MS"/>
          <w:rtl w:val="0"/>
        </w:rPr>
        <w:t>Lynne and Michelle.</w:t>
      </w:r>
    </w:p>
    <w:p>
      <w:pPr>
        <w:pStyle w:val="No Spacing"/>
      </w:pPr>
    </w:p>
    <w:p>
      <w:pPr>
        <w:pStyle w:val="Normal.0"/>
        <w:rPr>
          <w:b w:val="1"/>
          <w:bCs w:val="1"/>
        </w:rPr>
      </w:pPr>
      <w:r>
        <w:rPr>
          <w:b w:val="1"/>
          <w:bCs w:val="1"/>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-8195</wp:posOffset>
                </wp:positionH>
                <wp:positionV relativeFrom="line">
                  <wp:posOffset>140335</wp:posOffset>
                </wp:positionV>
                <wp:extent cx="318136" cy="320675"/>
                <wp:effectExtent l="0" t="0" r="0" b="0"/>
                <wp:wrapNone/>
                <wp:docPr id="1073741826" name="officeArt object" descr="Star"/>
                <wp:cNvGraphicFramePr/>
                <a:graphic xmlns:a="http://schemas.openxmlformats.org/drawingml/2006/main">
                  <a:graphicData uri="http://schemas.microsoft.com/office/word/2010/wordprocessingShape">
                    <wps:wsp>
                      <wps:cNvSpPr/>
                      <wps:spPr>
                        <a:xfrm>
                          <a:off x="0" y="0"/>
                          <a:ext cx="318136" cy="320675"/>
                        </a:xfrm>
                        <a:prstGeom prst="star5">
                          <a:avLst>
                            <a:gd name="adj" fmla="val 19000"/>
                            <a:gd name="hf" fmla="val 105146"/>
                            <a:gd name="vf" fmla="val 110557"/>
                          </a:avLst>
                        </a:prstGeom>
                        <a:solidFill>
                          <a:srgbClr val="FFFFFF"/>
                        </a:solidFill>
                        <a:ln w="9525" cap="flat">
                          <a:solidFill>
                            <a:srgbClr val="000000"/>
                          </a:solidFill>
                          <a:prstDash val="solid"/>
                          <a:round/>
                        </a:ln>
                        <a:effectLst/>
                      </wps:spPr>
                      <wps:bodyPr/>
                    </wps:wsp>
                  </a:graphicData>
                </a:graphic>
              </wp:anchor>
            </w:drawing>
          </mc:Choice>
          <mc:Fallback>
            <w:pict>
              <v:shape id="_x0000_s1026" type="#_x0000_t12" style="visibility:visible;position:absolute;margin-left:0.0pt;margin-top:0.0pt;width:25.0pt;height:25.2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shape>
            </w:pict>
          </mc:Fallback>
        </mc:AlternateConten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rPr>
      </w:pPr>
      <w:r>
        <w:rPr>
          <w:b w:val="1"/>
          <w:bCs w:val="1"/>
          <w:rtl w:val="0"/>
        </w:rPr>
        <w:tab/>
        <w:t>Read this month</w:t>
      </w:r>
      <w:r>
        <w:rPr>
          <w:b w:val="1"/>
          <w:bCs w:val="1"/>
          <w:rtl w:val="0"/>
          <w:lang w:val="en-US"/>
        </w:rPr>
        <w:t>’</w:t>
      </w:r>
      <w:r>
        <w:rPr>
          <w:b w:val="1"/>
          <w:bCs w:val="1"/>
          <w:rtl w:val="0"/>
          <w:lang w:val="en-US"/>
        </w:rPr>
        <w:t>s Agenda from the Time Line</w:t>
      </w:r>
      <w:r>
        <w:rPr>
          <w:b w:val="1"/>
          <w:bCs w:val="1"/>
          <w:rtl w:val="0"/>
          <w:lang w:val="en-US"/>
        </w:rPr>
        <w: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r>
        <w:rPr>
          <w:b w:val="1"/>
          <w:bCs w:val="1"/>
          <w:rtl w:val="0"/>
          <w:lang w:val="en-US"/>
        </w:rPr>
        <w:t xml:space="preserve">Secretary- </w:t>
      </w:r>
      <w:r>
        <w:rPr>
          <w:rtl w:val="0"/>
          <w:lang w:val="en-US"/>
        </w:rPr>
        <w:t xml:space="preserve">  Information from Board Members to post on the Website was discussed.</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r>
        <w:rPr>
          <w:rtl w:val="0"/>
          <w:lang w:val="en-US"/>
        </w:rPr>
        <w:t xml:space="preserve"> </w:t>
        <w:tab/>
        <w:t xml:space="preserve">        Information for email(s) to HOA residents was collected.</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rPr>
      </w:pPr>
      <w:r>
        <w:rPr>
          <w:b w:val="1"/>
          <w:bCs w:val="1"/>
          <w:rtl w:val="0"/>
        </w:rPr>
        <w:tab/>
        <w:t xml:space="preserve">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rPr>
      </w:pPr>
      <w:r>
        <w:rPr>
          <w:b w:val="1"/>
          <w:bCs w:val="1"/>
          <w:rtl w:val="0"/>
          <w:lang w:val="en-US"/>
        </w:rPr>
        <w:t xml:space="preserve">Treasurer- Dues?  </w:t>
      </w:r>
      <w:r>
        <w:rPr>
          <w:rtl w:val="0"/>
          <w:lang w:val="en-US"/>
        </w:rPr>
        <w:t>22 residents have not paid 2022 dues.  An invoice will be sent to all residents for 2023.</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rPr>
      </w:pPr>
      <w:r>
        <w:rPr>
          <w:b w:val="1"/>
          <w:bCs w:val="1"/>
          <w:rtl w:val="0"/>
          <w:lang w:val="en-US"/>
        </w:rPr>
        <w:t xml:space="preserve">ACC- Welcome Packets:  </w:t>
      </w:r>
      <w:r>
        <w:rPr>
          <w:rtl w:val="0"/>
          <w:lang w:val="en-US"/>
        </w:rPr>
        <w:t>Vivian has created new welcome packets for new HOA residents.  These will be complete by January, 2023.</w:t>
      </w:r>
    </w:p>
    <w:p>
      <w:pPr>
        <w:pStyle w:val="Normal.0"/>
        <w:rPr>
          <w:b w:val="1"/>
          <w:bCs w:val="1"/>
        </w:rPr>
      </w:pPr>
    </w:p>
    <w:p>
      <w:pPr>
        <w:pStyle w:val="Normal.0"/>
        <w:rPr>
          <w:b w:val="1"/>
          <w:bCs w:val="1"/>
        </w:rPr>
      </w:pPr>
    </w:p>
    <w:p>
      <w:pPr>
        <w:pStyle w:val="Normal.0"/>
        <w:rPr>
          <w:u w:val="single"/>
        </w:rPr>
      </w:pPr>
      <w:r>
        <w:rPr>
          <w:b w:val="1"/>
          <w:bCs w:val="1"/>
          <w:rtl w:val="0"/>
          <w:lang w:val="en-US"/>
        </w:rPr>
        <w:t>CCC report:</w:t>
      </w:r>
      <w:r>
        <w:rPr>
          <w:rtl w:val="0"/>
        </w:rPr>
        <w:t xml:space="preserve"> </w:t>
        <w:tab/>
      </w:r>
      <w:r>
        <w:rPr>
          <w:rtl w:val="0"/>
        </w:rPr>
        <w:t>All trailers and recreational vehicles in the Bluffs area have been stored for the winter months.</w:t>
      </w:r>
    </w:p>
    <w:p>
      <w:pPr>
        <w:pStyle w:val="Normal.0"/>
      </w:pPr>
    </w:p>
    <w:p>
      <w:pPr>
        <w:pStyle w:val="Normal.0"/>
        <w:rPr>
          <w:u w:val="single"/>
        </w:rPr>
      </w:pPr>
      <w:r>
        <w:rPr>
          <w:b w:val="1"/>
          <w:bCs w:val="1"/>
          <w:rtl w:val="0"/>
          <w:lang w:val="en-US"/>
        </w:rPr>
        <w:t>ACC report:</w:t>
      </w:r>
      <w:r>
        <w:rPr>
          <w:rtl w:val="0"/>
        </w:rPr>
        <w:t xml:space="preserve"> </w:t>
      </w:r>
      <w:r>
        <w:rPr>
          <w:rtl w:val="0"/>
        </w:rPr>
        <w:t>No report.</w:t>
      </w:r>
    </w:p>
    <w:p>
      <w:pPr>
        <w:pStyle w:val="Normal.0"/>
      </w:pPr>
    </w:p>
    <w:p>
      <w:pPr>
        <w:pStyle w:val="Normal.0"/>
      </w:pPr>
      <w:r>
        <w:rPr>
          <w:b w:val="1"/>
          <w:bCs w:val="1"/>
          <w:rtl w:val="0"/>
          <w:lang w:val="en-US"/>
        </w:rPr>
        <w:t>Old Business:</w:t>
      </w:r>
      <w:r>
        <w:rPr>
          <w:b w:val="1"/>
          <w:bCs w:val="1"/>
          <w:rtl w:val="0"/>
          <w:lang w:val="en-US"/>
        </w:rPr>
        <w:t xml:space="preserve">  Cell Tower:  </w:t>
      </w:r>
      <w:r>
        <w:rPr>
          <w:rtl w:val="0"/>
          <w:lang w:val="en-US"/>
        </w:rPr>
        <w:t>The area around the Cell Tower has been fenced in.  A building and a larger area are planned.  The access road will be paved with approval of residents in that area. The Bluffs City Council Member will be contacted to get more information on the cell tower.</w:t>
      </w:r>
    </w:p>
    <w:p>
      <w:pPr>
        <w:pStyle w:val="Normal.0"/>
        <w:rPr>
          <w:b w:val="1"/>
          <w:bCs w:val="1"/>
        </w:rPr>
      </w:pPr>
    </w:p>
    <w:p>
      <w:pPr>
        <w:pStyle w:val="Normal.0"/>
      </w:pPr>
    </w:p>
    <w:p>
      <w:pPr>
        <w:pStyle w:val="Normal.0"/>
      </w:pPr>
    </w:p>
    <w:p>
      <w:pPr>
        <w:pStyle w:val="Normal.0"/>
      </w:pPr>
    </w:p>
    <w:p>
      <w:pPr>
        <w:pStyle w:val="Normal.0"/>
      </w:pPr>
    </w:p>
    <w:p>
      <w:pPr>
        <w:pStyle w:val="Normal.0"/>
        <w:rPr>
          <w:b w:val="1"/>
          <w:bCs w:val="1"/>
        </w:rPr>
      </w:pPr>
      <w:r>
        <w:rPr>
          <w:b w:val="1"/>
          <w:bCs w:val="1"/>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24399</wp:posOffset>
                </wp:positionH>
                <wp:positionV relativeFrom="line">
                  <wp:posOffset>149860</wp:posOffset>
                </wp:positionV>
                <wp:extent cx="334646" cy="328931"/>
                <wp:effectExtent l="0" t="0" r="0" b="0"/>
                <wp:wrapNone/>
                <wp:docPr id="1073741827" name="officeArt object" descr="Star"/>
                <wp:cNvGraphicFramePr/>
                <a:graphic xmlns:a="http://schemas.openxmlformats.org/drawingml/2006/main">
                  <a:graphicData uri="http://schemas.microsoft.com/office/word/2010/wordprocessingShape">
                    <wps:wsp>
                      <wps:cNvSpPr/>
                      <wps:spPr>
                        <a:xfrm>
                          <a:off x="0" y="0"/>
                          <a:ext cx="334646" cy="328931"/>
                        </a:xfrm>
                        <a:prstGeom prst="star5">
                          <a:avLst>
                            <a:gd name="adj" fmla="val 19000"/>
                            <a:gd name="hf" fmla="val 105146"/>
                            <a:gd name="vf" fmla="val 110557"/>
                          </a:avLst>
                        </a:prstGeom>
                        <a:solidFill>
                          <a:srgbClr val="FFFFFF"/>
                        </a:solidFill>
                        <a:ln w="9525" cap="flat">
                          <a:solidFill>
                            <a:srgbClr val="000000"/>
                          </a:solidFill>
                          <a:prstDash val="solid"/>
                          <a:round/>
                        </a:ln>
                        <a:effectLst/>
                      </wps:spPr>
                      <wps:bodyPr/>
                    </wps:wsp>
                  </a:graphicData>
                </a:graphic>
              </wp:anchor>
            </w:drawing>
          </mc:Choice>
          <mc:Fallback>
            <w:pict>
              <v:shape id="_x0000_s1027" type="#_x0000_t12" style="visibility:visible;position:absolute;margin-left:0.0pt;margin-top:0.0pt;width:26.4pt;height:25.9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shape>
            </w:pict>
          </mc:Fallback>
        </mc:AlternateConten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rPr>
      </w:pPr>
      <w:r>
        <w:rPr>
          <w:b w:val="1"/>
          <w:bCs w:val="1"/>
          <w:rtl w:val="0"/>
        </w:rPr>
        <w:tab/>
        <w:t>Read next month</w:t>
      </w:r>
      <w:r>
        <w:rPr>
          <w:b w:val="1"/>
          <w:bCs w:val="1"/>
          <w:rtl w:val="0"/>
          <w:lang w:val="en-US"/>
        </w:rPr>
        <w:t>’</w:t>
      </w:r>
      <w:r>
        <w:rPr>
          <w:b w:val="1"/>
          <w:bCs w:val="1"/>
          <w:rtl w:val="0"/>
          <w:lang w:val="en-US"/>
        </w:rPr>
        <w:t>s Agenda from the Time Line</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b w:val="1"/>
          <w:bCs w:val="1"/>
        </w:rPr>
      </w:pPr>
      <w:r>
        <w:rPr>
          <w:b w:val="1"/>
          <w:bCs w:val="1"/>
          <w:rtl w:val="0"/>
          <w:lang w:val="en-US"/>
        </w:rPr>
        <w:t xml:space="preserve">Send emails to HOA residents: </w:t>
      </w:r>
      <w:r>
        <w:rPr>
          <w:rtl w:val="0"/>
          <w:lang w:val="en-US"/>
        </w:rPr>
        <w:t>Needed information was listed by Board Members.  This email will be sent in the following days.</w:t>
      </w:r>
    </w:p>
    <w:p>
      <w:pPr>
        <w:pStyle w:val="Normal.0"/>
        <w:rPr>
          <w:b w:val="1"/>
          <w:bCs w:val="1"/>
        </w:rPr>
      </w:pPr>
    </w:p>
    <w:p>
      <w:pPr>
        <w:pStyle w:val="Normal.0"/>
        <w:rPr>
          <w:b w:val="1"/>
          <w:bCs w:val="1"/>
        </w:rPr>
      </w:pPr>
    </w:p>
    <w:p>
      <w:pPr>
        <w:pStyle w:val="Normal.0"/>
      </w:pPr>
      <w:r>
        <w:rPr>
          <w:b w:val="1"/>
          <w:bCs w:val="1"/>
          <w:rtl w:val="0"/>
          <w:lang w:val="en-US"/>
        </w:rPr>
        <w:t xml:space="preserve">New business: </w:t>
      </w:r>
      <w:r>
        <w:rPr>
          <w:rtl w:val="0"/>
          <w:lang w:val="en-US"/>
        </w:rPr>
        <w:t>It was suggested that the Board consider working to modify the HOA Covenants to distinguish between different kinds of recreational/utility trailers.</w:t>
      </w:r>
    </w:p>
    <w:p>
      <w:pPr>
        <w:pStyle w:val="Normal.0"/>
        <w:rPr>
          <w:u w:val="single"/>
        </w:rPr>
      </w:pPr>
    </w:p>
    <w:p>
      <w:pPr>
        <w:pStyle w:val="Normal.0"/>
        <w:rPr>
          <w:b w:val="1"/>
          <w:bCs w:val="1"/>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18"/>
          <w:szCs w:val="18"/>
        </w:rPr>
      </w:pPr>
      <w:r>
        <w:rPr>
          <w:sz w:val="18"/>
          <w:szCs w:val="18"/>
          <w:rtl w:val="0"/>
          <w:lang w:val="en-US"/>
        </w:rPr>
        <w:t>Procedural reminder:</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18"/>
          <w:szCs w:val="18"/>
        </w:rPr>
      </w:pPr>
      <w:r>
        <w:rPr>
          <w:sz w:val="18"/>
          <w:szCs w:val="18"/>
          <w:rtl w:val="0"/>
          <w:lang w:val="en-US"/>
        </w:rPr>
        <w:t xml:space="preserve">Review that decisions, correspondence and process follow the </w:t>
      </w:r>
      <w:r>
        <w:rPr>
          <w:sz w:val="18"/>
          <w:szCs w:val="18"/>
          <w:rtl w:val="0"/>
          <w:lang w:val="en-US"/>
        </w:rPr>
        <w:t>“</w:t>
      </w:r>
      <w:r>
        <w:rPr>
          <w:sz w:val="18"/>
          <w:szCs w:val="18"/>
          <w:rtl w:val="0"/>
          <w:lang w:val="en-US"/>
        </w:rPr>
        <w:t>Dispute Resolution and Responsible Governance Policies</w:t>
      </w:r>
      <w:r>
        <w:rPr>
          <w:sz w:val="18"/>
          <w:szCs w:val="18"/>
          <w:rtl w:val="0"/>
          <w:lang w:val="en-US"/>
        </w:rPr>
        <w:t>”</w:t>
      </w:r>
      <w:r>
        <w:rPr>
          <w:sz w:val="18"/>
          <w:szCs w:val="18"/>
          <w:rtl w:val="0"/>
          <w:lang w:val="en-US"/>
        </w:rPr>
        <w:t>.</w:t>
      </w: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sz w:val="18"/>
          <w:szCs w:val="18"/>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sz w:val="18"/>
          <w:szCs w:val="18"/>
        </w:rPr>
      </w:pPr>
      <w:r>
        <w:rPr>
          <w:sz w:val="18"/>
          <w:szCs w:val="18"/>
          <w:rtl w:val="0"/>
          <w:lang w:val="en-US"/>
        </w:rPr>
        <w:t xml:space="preserve">All correspondence with Homeowners    MUST USE THE OFFICIAL BLUFFS HOA </w:t>
        <w:tab/>
        <w:tab/>
        <w:tab/>
        <w:tab/>
        <w:tab/>
        <w:tab/>
        <w:t xml:space="preserve">  </w:t>
        <w:tab/>
        <w:t xml:space="preserve"> STANDARD LETTERS AND NOTICES </w:t>
      </w: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sz w:val="18"/>
          <w:szCs w:val="18"/>
        </w:rPr>
      </w:pPr>
      <w:r>
        <w:rPr>
          <w:sz w:val="18"/>
          <w:szCs w:val="18"/>
          <w:rtl w:val="0"/>
        </w:rPr>
        <w:tab/>
        <w:tab/>
        <w:tab/>
        <w:tab/>
        <w:tab/>
        <w:t xml:space="preserve"> ON FILE WITH THE SECRETARY</w:t>
      </w: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sz w:val="18"/>
          <w:szCs w:val="18"/>
        </w:rPr>
      </w:pPr>
      <w:r>
        <w:rPr>
          <w:sz w:val="18"/>
          <w:szCs w:val="18"/>
          <w:rtl w:val="0"/>
          <w:lang w:val="en-US"/>
        </w:rPr>
        <w:t xml:space="preserve">This procedure will ensure that all pertinent information is conveyed, and that </w:t>
      </w: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rPr>
          <w:sz w:val="18"/>
          <w:szCs w:val="18"/>
        </w:rPr>
      </w:pPr>
      <w:r>
        <w:rPr>
          <w:sz w:val="18"/>
          <w:szCs w:val="18"/>
          <w:rtl w:val="0"/>
          <w:lang w:val="en-US"/>
        </w:rPr>
        <w:t>all Legal Responsibilities are fulfilled.</w:t>
      </w:r>
    </w:p>
    <w:p>
      <w:pPr>
        <w:pStyle w:val="Normal.0"/>
        <w:rPr>
          <w:sz w:val="18"/>
          <w:szCs w:val="18"/>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18"/>
          <w:szCs w:val="18"/>
        </w:rPr>
      </w:pPr>
      <w:r>
        <w:rPr>
          <w:sz w:val="18"/>
          <w:szCs w:val="18"/>
          <w:rtl w:val="0"/>
          <w:lang w:val="en-US"/>
        </w:rPr>
        <w:t>Procedural reminder:</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i w:val="1"/>
          <w:iCs w:val="1"/>
          <w:sz w:val="18"/>
          <w:szCs w:val="18"/>
        </w:rPr>
      </w:pPr>
      <w:r>
        <w:rPr>
          <w:i w:val="1"/>
          <w:iCs w:val="1"/>
          <w:sz w:val="18"/>
          <w:szCs w:val="18"/>
          <w:rtl w:val="0"/>
          <w:lang w:val="en-US"/>
        </w:rPr>
        <w:t xml:space="preserve">Section 3. QUORUM.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i w:val="1"/>
          <w:iCs w:val="1"/>
          <w:sz w:val="18"/>
          <w:szCs w:val="18"/>
        </w:rPr>
      </w:pPr>
      <w:r>
        <w:rPr>
          <w:i w:val="1"/>
          <w:iCs w:val="1"/>
          <w:sz w:val="18"/>
          <w:szCs w:val="18"/>
          <w:rtl w:val="0"/>
          <w:lang w:val="en-US"/>
        </w:rPr>
        <w:t>A simple majority of the ten (10) Directors/Committee Members shall constitute a quorum for transaction of business. Every act or decision made by a majority of the Directors/Committee Members present shall be regarded as an act of the Board.</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i w:val="1"/>
          <w:iCs w:val="1"/>
          <w:sz w:val="18"/>
          <w:szCs w:val="18"/>
        </w:rPr>
      </w:pPr>
      <w:r>
        <w:rPr>
          <w:i w:val="1"/>
          <w:iCs w:val="1"/>
          <w:sz w:val="18"/>
          <w:szCs w:val="18"/>
          <w:rtl w:val="0"/>
        </w:rPr>
        <w:tab/>
        <w:t xml:space="preserve">ACC &amp; CCC can still make decisions at a non Quorum meeting since they make </w:t>
        <w:tab/>
        <w:t>their own determinations. A board vote is not required.</w:t>
      </w:r>
    </w:p>
    <w:p>
      <w:pPr>
        <w:pStyle w:val="Normal.0"/>
        <w:rPr>
          <w:b w:val="1"/>
          <w:bCs w:val="1"/>
          <w:sz w:val="18"/>
          <w:szCs w:val="18"/>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18"/>
          <w:szCs w:val="18"/>
        </w:rPr>
      </w:pPr>
      <w:r>
        <w:rPr>
          <w:sz w:val="18"/>
          <w:szCs w:val="18"/>
          <w:rtl w:val="0"/>
          <w:lang w:val="en-US"/>
        </w:rPr>
        <w:t>Secretary: Save a copy of  the minutes and treasurer</w:t>
      </w:r>
      <w:r>
        <w:rPr>
          <w:sz w:val="18"/>
          <w:szCs w:val="18"/>
          <w:rtl w:val="0"/>
          <w:lang w:val="en-US"/>
        </w:rPr>
        <w:t>’</w:t>
      </w:r>
      <w:r>
        <w:rPr>
          <w:sz w:val="18"/>
          <w:szCs w:val="18"/>
          <w:rtl w:val="0"/>
          <w:lang w:val="en-US"/>
        </w:rPr>
        <w:t>s report in the binder.</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18"/>
          <w:szCs w:val="18"/>
        </w:rPr>
      </w:pPr>
      <w:r>
        <w:rPr>
          <w:sz w:val="18"/>
          <w:szCs w:val="18"/>
          <w:rtl w:val="0"/>
        </w:rPr>
        <w:tab/>
        <w:t xml:space="preserve">        File ACC Request forms and building plans in the binder.</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sz w:val="18"/>
          <w:szCs w:val="18"/>
        </w:rPr>
      </w:pPr>
      <w:r>
        <w:rPr>
          <w:sz w:val="18"/>
          <w:szCs w:val="18"/>
          <w:rtl w:val="0"/>
        </w:rPr>
        <w:tab/>
        <w:t xml:space="preserve">              Post the approved minutes of the previous month on the web site.</w:t>
      </w:r>
    </w:p>
    <w:p>
      <w:pPr>
        <w:pStyle w:val="Normal.0"/>
      </w:pPr>
      <w:r>
        <w:tab/>
        <w:tab/>
        <w:tab/>
      </w:r>
    </w:p>
    <w:p>
      <w:pPr>
        <w:pStyle w:val="Normal.0"/>
        <w:rPr>
          <w:b w:val="1"/>
          <w:bCs w:val="1"/>
        </w:rPr>
      </w:pPr>
    </w:p>
    <w:p>
      <w:pPr>
        <w:pStyle w:val="Normal.0"/>
        <w:rPr>
          <w:b w:val="1"/>
          <w:bCs w:val="1"/>
        </w:rPr>
      </w:pPr>
      <w:r>
        <w:rPr>
          <w:b w:val="1"/>
          <w:bCs w:val="1"/>
          <w:rtl w:val="0"/>
          <w:lang w:val="en-US"/>
        </w:rPr>
        <w:t>The next board meeting</w:t>
      </w:r>
      <w:r>
        <w:rPr>
          <w:rtl w:val="0"/>
        </w:rPr>
        <w:t xml:space="preserve"> </w:t>
      </w:r>
      <w:r>
        <w:rPr>
          <w:b w:val="1"/>
          <w:bCs w:val="1"/>
          <w:rtl w:val="0"/>
          <w:lang w:val="en-US"/>
        </w:rPr>
        <w:t xml:space="preserve">will be held: </w:t>
      </w:r>
      <w:r>
        <w:rPr>
          <w:b w:val="1"/>
          <w:bCs w:val="1"/>
          <w:rtl w:val="0"/>
          <w:lang w:val="en-US"/>
        </w:rPr>
        <w:t>December 13, 2022, at Vivian</w:t>
      </w:r>
      <w:r>
        <w:rPr>
          <w:b w:val="1"/>
          <w:bCs w:val="1"/>
          <w:rtl w:val="0"/>
          <w:lang w:val="en-US"/>
        </w:rPr>
        <w:t>’</w:t>
      </w:r>
      <w:r>
        <w:rPr>
          <w:b w:val="1"/>
          <w:bCs w:val="1"/>
          <w:rtl w:val="0"/>
          <w:lang w:val="en-US"/>
        </w:rPr>
        <w:t>s house, 4570 Whispering Ct., 6:00 pm.  Board Members are asked to bring an hors-d</w:t>
      </w:r>
      <w:r>
        <w:rPr>
          <w:b w:val="1"/>
          <w:bCs w:val="1"/>
          <w:rtl w:val="0"/>
          <w:lang w:val="en-US"/>
        </w:rPr>
        <w:t>’</w:t>
      </w:r>
      <w:r>
        <w:rPr>
          <w:b w:val="1"/>
          <w:bCs w:val="1"/>
          <w:rtl w:val="0"/>
          <w:lang w:val="en-US"/>
        </w:rPr>
        <w:t>oeuvre.</w:t>
      </w:r>
    </w:p>
    <w:p>
      <w:pPr>
        <w:pStyle w:val="Normal.0"/>
        <w:rPr>
          <w:b w:val="1"/>
          <w:bCs w:val="1"/>
        </w:rPr>
      </w:pPr>
    </w:p>
    <w:p>
      <w:pPr>
        <w:pStyle w:val="Normal.0"/>
        <w:rPr>
          <w:b w:val="1"/>
          <w:bCs w:val="1"/>
        </w:rPr>
      </w:pPr>
    </w:p>
    <w:p>
      <w:pPr>
        <w:pStyle w:val="Normal.0"/>
      </w:pPr>
      <w:r>
        <w:rPr>
          <w:rtl w:val="0"/>
        </w:rPr>
        <w:t xml:space="preserve">Meeting adjourned at: </w:t>
      </w:r>
      <w:r>
        <w:rPr>
          <w:rtl w:val="0"/>
        </w:rPr>
        <w:t xml:space="preserve">7:30 </w:t>
      </w:r>
      <w:r>
        <w:rPr>
          <w:rtl w:val="0"/>
        </w:rPr>
        <w:t>pm.</w:t>
      </w:r>
    </w:p>
    <w:p>
      <w:pPr>
        <w:pStyle w:val="Normal.0"/>
      </w:pPr>
    </w:p>
    <w:p>
      <w:pPr>
        <w:pStyle w:val="Normal.0"/>
      </w:pPr>
      <w:r>
        <w:rPr>
          <w:rtl w:val="0"/>
        </w:rPr>
        <w:t>Respectively submitted,</w:t>
      </w:r>
    </w:p>
    <w:p>
      <w:pPr>
        <w:pStyle w:val="Normal.0"/>
      </w:pPr>
      <w:r>
        <w:rPr>
          <w:rtl w:val="0"/>
        </w:rPr>
        <w:t>Lynne Stefonik</w:t>
      </w:r>
    </w:p>
    <w:p>
      <w:pPr>
        <w:pStyle w:val="Normal.0"/>
      </w:pPr>
      <w:r>
        <w:rPr>
          <w:rtl w:val="0"/>
        </w:rPr>
        <w:t>HOA Secretary</w:t>
      </w:r>
    </w:p>
    <w:p>
      <w:pPr>
        <w:pStyle w:val="Normal.0"/>
      </w:pPr>
    </w:p>
    <w:p>
      <w:pPr>
        <w:pStyle w:val="Normal.0"/>
      </w:pPr>
    </w:p>
    <w:p>
      <w:pPr>
        <w:pStyle w:val="Normal.0"/>
      </w:pPr>
    </w:p>
    <w:p>
      <w:pPr>
        <w:pStyle w:val="Normal.0"/>
      </w:pPr>
    </w:p>
    <w:p>
      <w:pPr>
        <w:pStyle w:val="Normal.0"/>
      </w:pPr>
      <w:r/>
    </w:p>
    <w:sectPr>
      <w:headerReference w:type="default" r:id="rId5"/>
      <w:footerReference w:type="default" r:id="rId6"/>
      <w:pgSz w:w="12240" w:h="15840" w:orient="portrait"/>
      <w:pgMar w:top="720" w:right="1800" w:bottom="864"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