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FF" w:rsidRDefault="00A67720">
      <w:pPr>
        <w:pStyle w:val="BodyText"/>
        <w:spacing w:after="0"/>
        <w:jc w:val="center"/>
        <w:rPr>
          <w:color w:val="000000"/>
          <w:sz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Things To-Do Before Saying No</w:t>
      </w:r>
    </w:p>
    <w:p w:rsidR="001A1CFF" w:rsidRDefault="00A67720">
      <w:pPr>
        <w:pStyle w:val="BodyText"/>
        <w:numPr>
          <w:ilvl w:val="0"/>
          <w:numId w:val="1"/>
        </w:numPr>
        <w:spacing w:after="0"/>
        <w:rPr>
          <w:color w:val="000000"/>
          <w:sz w:val="26"/>
        </w:rPr>
      </w:pPr>
      <w:r>
        <w:rPr>
          <w:color w:val="000000"/>
          <w:sz w:val="26"/>
        </w:rPr>
        <w:t>get the documentation for the kit</w:t>
      </w:r>
    </w:p>
    <w:p w:rsidR="001A1CFF" w:rsidRDefault="00A67720">
      <w:pPr>
        <w:pStyle w:val="BodyText"/>
        <w:numPr>
          <w:ilvl w:val="0"/>
          <w:numId w:val="1"/>
        </w:numPr>
        <w:spacing w:after="0"/>
        <w:rPr>
          <w:color w:val="000000"/>
          <w:sz w:val="26"/>
        </w:rPr>
      </w:pPr>
      <w:r>
        <w:rPr>
          <w:color w:val="000000"/>
          <w:sz w:val="26"/>
        </w:rPr>
        <w:t>what is the purpose of the kit</w:t>
      </w:r>
    </w:p>
    <w:p w:rsidR="001A1CFF" w:rsidRDefault="00A67720">
      <w:pPr>
        <w:pStyle w:val="BodyText"/>
        <w:numPr>
          <w:ilvl w:val="1"/>
          <w:numId w:val="1"/>
        </w:numPr>
        <w:spacing w:after="0"/>
        <w:rPr>
          <w:color w:val="000000"/>
          <w:sz w:val="26"/>
        </w:rPr>
      </w:pPr>
      <w:r>
        <w:rPr>
          <w:color w:val="000000"/>
          <w:sz w:val="26"/>
        </w:rPr>
        <w:t>at home use screening for asymptomatic</w:t>
      </w:r>
    </w:p>
    <w:p w:rsidR="001A1CFF" w:rsidRDefault="00A67720">
      <w:pPr>
        <w:pStyle w:val="BodyText"/>
        <w:numPr>
          <w:ilvl w:val="1"/>
          <w:numId w:val="1"/>
        </w:numPr>
        <w:spacing w:after="0"/>
        <w:rPr>
          <w:color w:val="000000"/>
          <w:sz w:val="26"/>
        </w:rPr>
      </w:pPr>
      <w:r>
        <w:rPr>
          <w:color w:val="000000"/>
          <w:sz w:val="26"/>
        </w:rPr>
        <w:t>diagnostic</w:t>
      </w:r>
    </w:p>
    <w:p w:rsidR="001A1CFF" w:rsidRDefault="00A67720">
      <w:pPr>
        <w:pStyle w:val="BodyText"/>
        <w:numPr>
          <w:ilvl w:val="1"/>
          <w:numId w:val="1"/>
        </w:numPr>
        <w:spacing w:after="0"/>
        <w:rPr>
          <w:color w:val="000000"/>
          <w:sz w:val="26"/>
        </w:rPr>
      </w:pPr>
      <w:r>
        <w:rPr>
          <w:color w:val="000000"/>
          <w:sz w:val="26"/>
        </w:rPr>
        <w:t>prescription based</w:t>
      </w:r>
    </w:p>
    <w:p w:rsidR="001A1CFF" w:rsidRDefault="00A67720">
      <w:pPr>
        <w:pStyle w:val="BodyText"/>
        <w:numPr>
          <w:ilvl w:val="1"/>
          <w:numId w:val="1"/>
        </w:numPr>
        <w:spacing w:after="0"/>
        <w:rPr>
          <w:color w:val="000000"/>
          <w:sz w:val="26"/>
        </w:rPr>
      </w:pPr>
      <w:r>
        <w:rPr>
          <w:color w:val="000000"/>
          <w:sz w:val="26"/>
        </w:rPr>
        <w:t>is it a 2-part test kit</w:t>
      </w:r>
    </w:p>
    <w:p w:rsidR="001A1CFF" w:rsidRDefault="00A67720">
      <w:pPr>
        <w:pStyle w:val="BodyText"/>
        <w:numPr>
          <w:ilvl w:val="1"/>
          <w:numId w:val="1"/>
        </w:numPr>
        <w:spacing w:after="0"/>
        <w:rPr>
          <w:color w:val="000000"/>
          <w:sz w:val="26"/>
        </w:rPr>
      </w:pPr>
      <w:r>
        <w:rPr>
          <w:color w:val="000000"/>
          <w:sz w:val="26"/>
        </w:rPr>
        <w:t>what other pre-conditions are there for use under the EUA</w:t>
      </w:r>
    </w:p>
    <w:p w:rsidR="001A1CFF" w:rsidRDefault="00A67720">
      <w:pPr>
        <w:pStyle w:val="BodyText"/>
        <w:numPr>
          <w:ilvl w:val="0"/>
          <w:numId w:val="1"/>
        </w:numPr>
        <w:spacing w:after="0"/>
        <w:rPr>
          <w:color w:val="000000"/>
          <w:sz w:val="26"/>
        </w:rPr>
      </w:pPr>
      <w:r>
        <w:rPr>
          <w:color w:val="000000"/>
          <w:sz w:val="26"/>
        </w:rPr>
        <w:t>submit an</w:t>
      </w:r>
      <w:r>
        <w:rPr>
          <w:color w:val="000000"/>
          <w:sz w:val="26"/>
        </w:rPr>
        <w:t xml:space="preserve"> eeo complaint</w:t>
      </w:r>
    </w:p>
    <w:p w:rsidR="001A1CFF" w:rsidRDefault="00A67720">
      <w:pPr>
        <w:pStyle w:val="BodyText"/>
        <w:numPr>
          <w:ilvl w:val="0"/>
          <w:numId w:val="1"/>
        </w:numPr>
        <w:spacing w:after="0"/>
        <w:rPr>
          <w:color w:val="000000"/>
          <w:sz w:val="26"/>
        </w:rPr>
      </w:pPr>
      <w:r>
        <w:rPr>
          <w:color w:val="000000"/>
          <w:sz w:val="26"/>
        </w:rPr>
        <w:t>submit a safety complaint</w:t>
      </w:r>
    </w:p>
    <w:p w:rsidR="001A1CFF" w:rsidRDefault="00A67720">
      <w:pPr>
        <w:pStyle w:val="BodyText"/>
        <w:numPr>
          <w:ilvl w:val="0"/>
          <w:numId w:val="1"/>
        </w:numPr>
        <w:spacing w:after="0"/>
        <w:rPr>
          <w:color w:val="000000"/>
          <w:sz w:val="26"/>
        </w:rPr>
      </w:pPr>
      <w:r>
        <w:rPr>
          <w:color w:val="000000"/>
          <w:sz w:val="26"/>
        </w:rPr>
        <w:t>submit IG complaint for improper use, fraud and waste</w:t>
      </w:r>
    </w:p>
    <w:p w:rsidR="001A1CFF" w:rsidRDefault="00A67720">
      <w:pPr>
        <w:pStyle w:val="BodyText"/>
        <w:numPr>
          <w:ilvl w:val="0"/>
          <w:numId w:val="1"/>
        </w:numPr>
        <w:spacing w:after="0"/>
        <w:rPr>
          <w:color w:val="000000"/>
          <w:sz w:val="26"/>
        </w:rPr>
      </w:pPr>
      <w:r>
        <w:rPr>
          <w:color w:val="000000"/>
          <w:sz w:val="26"/>
        </w:rPr>
        <w:t>ethical complaint to general counsel for improper use, fraud and waste</w:t>
      </w:r>
    </w:p>
    <w:p w:rsidR="001A1CFF" w:rsidRDefault="00A67720">
      <w:pPr>
        <w:pStyle w:val="BodyText"/>
        <w:numPr>
          <w:ilvl w:val="0"/>
          <w:numId w:val="1"/>
        </w:numPr>
        <w:spacing w:after="0"/>
        <w:rPr>
          <w:color w:val="000000"/>
          <w:sz w:val="26"/>
        </w:rPr>
      </w:pPr>
      <w:r>
        <w:rPr>
          <w:color w:val="000000"/>
          <w:sz w:val="26"/>
        </w:rPr>
        <w:t xml:space="preserve">are you having adverse reactions? </w:t>
      </w:r>
    </w:p>
    <w:p w:rsidR="001A1CFF" w:rsidRDefault="00A67720">
      <w:pPr>
        <w:pStyle w:val="BodyText"/>
        <w:numPr>
          <w:ilvl w:val="1"/>
          <w:numId w:val="1"/>
        </w:numPr>
        <w:spacing w:after="0"/>
        <w:rPr>
          <w:color w:val="000000"/>
          <w:sz w:val="26"/>
        </w:rPr>
      </w:pPr>
      <w:r>
        <w:rPr>
          <w:color w:val="000000"/>
          <w:sz w:val="26"/>
        </w:rPr>
        <w:t xml:space="preserve">See a medical professional. </w:t>
      </w:r>
    </w:p>
    <w:p w:rsidR="001A1CFF" w:rsidRDefault="00A67720">
      <w:pPr>
        <w:pStyle w:val="BodyText"/>
        <w:numPr>
          <w:ilvl w:val="1"/>
          <w:numId w:val="1"/>
        </w:numPr>
        <w:spacing w:after="0"/>
        <w:rPr>
          <w:color w:val="000000"/>
          <w:sz w:val="26"/>
        </w:rPr>
      </w:pPr>
      <w:r>
        <w:rPr>
          <w:color w:val="000000"/>
          <w:sz w:val="26"/>
        </w:rPr>
        <w:t>Report it to your supervis</w:t>
      </w:r>
      <w:r>
        <w:rPr>
          <w:color w:val="000000"/>
          <w:sz w:val="26"/>
        </w:rPr>
        <w:t>or</w:t>
      </w:r>
    </w:p>
    <w:p w:rsidR="001A1CFF" w:rsidRDefault="00A67720">
      <w:pPr>
        <w:pStyle w:val="BodyText"/>
        <w:numPr>
          <w:ilvl w:val="1"/>
          <w:numId w:val="1"/>
        </w:numPr>
        <w:spacing w:after="0"/>
        <w:rPr>
          <w:color w:val="000000"/>
          <w:sz w:val="26"/>
        </w:rPr>
      </w:pPr>
      <w:r>
        <w:rPr>
          <w:rFonts w:ascii="sans-serif" w:hAnsi="sans-serif"/>
          <w:color w:val="000000"/>
          <w:sz w:val="26"/>
        </w:rPr>
        <w:t xml:space="preserve">Report Adverse events, including problems with test performance or results, to MedWatch by submitting the online FDA Form 3500 </w:t>
      </w:r>
      <w:r>
        <w:rPr>
          <w:color w:val="000000"/>
          <w:sz w:val="26"/>
        </w:rPr>
        <w:br/>
      </w:r>
      <w:r>
        <w:rPr>
          <w:rFonts w:ascii="sans-serif" w:hAnsi="sans-serif"/>
          <w:color w:val="000000"/>
          <w:sz w:val="26"/>
        </w:rPr>
        <w:t>(https://www.accessdata.fda.gov/scripts/medwatch/index.cfm?action=reporting.home) or by calling 1-800-FDA-1088</w:t>
      </w:r>
    </w:p>
    <w:p w:rsidR="001A1CFF" w:rsidRDefault="00A67720">
      <w:pPr>
        <w:pStyle w:val="BodyText"/>
        <w:numPr>
          <w:ilvl w:val="0"/>
          <w:numId w:val="1"/>
        </w:numPr>
        <w:spacing w:after="0"/>
        <w:rPr>
          <w:color w:val="000000"/>
          <w:sz w:val="26"/>
        </w:rPr>
      </w:pPr>
      <w:r>
        <w:rPr>
          <w:color w:val="000000"/>
          <w:sz w:val="26"/>
        </w:rPr>
        <w:t xml:space="preserve">would it be a </w:t>
      </w:r>
      <w:r>
        <w:rPr>
          <w:color w:val="000000"/>
          <w:sz w:val="26"/>
        </w:rPr>
        <w:t>GINA (genetic information) complaint if they keep the swab?</w:t>
      </w:r>
    </w:p>
    <w:p w:rsidR="001A1CFF" w:rsidRDefault="00A67720">
      <w:pPr>
        <w:pStyle w:val="BodyText"/>
        <w:numPr>
          <w:ilvl w:val="0"/>
          <w:numId w:val="1"/>
        </w:numPr>
        <w:spacing w:after="0"/>
        <w:rPr>
          <w:color w:val="000000"/>
          <w:sz w:val="26"/>
        </w:rPr>
      </w:pPr>
      <w:r>
        <w:rPr>
          <w:color w:val="000000"/>
          <w:sz w:val="26"/>
        </w:rPr>
        <w:t>Is exposure to ethylene oxide (chemical in some of the swabs) on a weekly basis, is that a concern for exposure limits?</w:t>
      </w:r>
    </w:p>
    <w:p w:rsidR="001A1CFF" w:rsidRDefault="00A67720">
      <w:pPr>
        <w:pStyle w:val="BodyText"/>
        <w:numPr>
          <w:ilvl w:val="0"/>
          <w:numId w:val="1"/>
        </w:numPr>
        <w:spacing w:after="0"/>
        <w:rPr>
          <w:color w:val="000000"/>
          <w:sz w:val="26"/>
        </w:rPr>
      </w:pPr>
      <w:r>
        <w:rPr>
          <w:color w:val="000000"/>
          <w:sz w:val="26"/>
        </w:rPr>
        <w:t>Force health protection/cdc guidance 90 days after post infection, do not ne</w:t>
      </w:r>
      <w:r>
        <w:rPr>
          <w:color w:val="000000"/>
          <w:sz w:val="26"/>
        </w:rPr>
        <w:t xml:space="preserve">ed to test for 90 day period, does require a confirmed positive test, and negative post recovery </w:t>
      </w:r>
    </w:p>
    <w:p w:rsidR="001A1CFF" w:rsidRDefault="001A1CFF">
      <w:pPr>
        <w:pStyle w:val="BodyText"/>
        <w:spacing w:after="0"/>
        <w:ind w:left="720"/>
        <w:rPr>
          <w:color w:val="000000"/>
          <w:sz w:val="26"/>
        </w:rPr>
      </w:pPr>
    </w:p>
    <w:p w:rsidR="001A1CFF" w:rsidRDefault="00A67720">
      <w:pPr>
        <w:pStyle w:val="BodyText"/>
        <w:spacing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Example</w:t>
      </w:r>
    </w:p>
    <w:p w:rsidR="001A1CFF" w:rsidRDefault="00A67720">
      <w:pPr>
        <w:pStyle w:val="BodyText"/>
        <w:spacing w:after="0"/>
        <w:rPr>
          <w:color w:val="000000"/>
          <w:sz w:val="26"/>
        </w:rPr>
      </w:pPr>
      <w:r>
        <w:rPr>
          <w:color w:val="000000"/>
          <w:sz w:val="26"/>
        </w:rPr>
        <w:t xml:space="preserve"> for the intelliswab I would put in a complaint for chain of custody proper storage in the requisite temp storage range and it also requires 2 succes</w:t>
      </w:r>
      <w:r>
        <w:rPr>
          <w:color w:val="000000"/>
          <w:sz w:val="26"/>
        </w:rPr>
        <w:t>sive tests.  I also recommend getting the circular, detailed info and reading that. U might find it requires another confirmation for positives. But if they haven’t had proper temp storage the test kit should be void.</w:t>
      </w:r>
    </w:p>
    <w:p w:rsidR="001A1CFF" w:rsidRDefault="00A67720">
      <w:pPr>
        <w:pStyle w:val="BodyText"/>
        <w:spacing w:after="0"/>
        <w:rPr>
          <w:color w:val="000000"/>
          <w:sz w:val="26"/>
        </w:rPr>
      </w:pPr>
      <w:r>
        <w:rPr>
          <w:color w:val="000000"/>
          <w:sz w:val="26"/>
        </w:rPr>
        <w:t>Did they give a data sheet?</w:t>
      </w:r>
    </w:p>
    <w:p w:rsidR="001A1CFF" w:rsidRDefault="00A67720">
      <w:pPr>
        <w:pStyle w:val="BodyText"/>
        <w:spacing w:after="0"/>
        <w:rPr>
          <w:color w:val="000000"/>
          <w:sz w:val="26"/>
        </w:rPr>
      </w:pPr>
      <w:r>
        <w:rPr>
          <w:color w:val="000000"/>
          <w:sz w:val="26"/>
        </w:rPr>
        <w:t>Is the kit</w:t>
      </w:r>
      <w:r>
        <w:rPr>
          <w:color w:val="000000"/>
          <w:sz w:val="26"/>
        </w:rPr>
        <w:t xml:space="preserve"> a prescription kit?</w:t>
      </w:r>
    </w:p>
    <w:p w:rsidR="001A1CFF" w:rsidRDefault="001A1CFF">
      <w:pPr>
        <w:pStyle w:val="BodyText"/>
        <w:spacing w:after="0"/>
      </w:pPr>
    </w:p>
    <w:p w:rsidR="001A1CFF" w:rsidRDefault="001A1CFF">
      <w:pPr>
        <w:pStyle w:val="BodyText"/>
        <w:spacing w:after="0"/>
      </w:pPr>
    </w:p>
    <w:p w:rsidR="001A1CFF" w:rsidRDefault="00A67720">
      <w:pPr>
        <w:pStyle w:val="BodyText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FDA Links to Find Documentation on Your Test Kit</w:t>
      </w:r>
    </w:p>
    <w:p w:rsidR="001A1CFF" w:rsidRDefault="00A67720">
      <w:pPr>
        <w:pStyle w:val="BodyText"/>
        <w:spacing w:after="0"/>
        <w:rPr>
          <w:color w:val="000000"/>
          <w:sz w:val="26"/>
        </w:rPr>
      </w:pPr>
      <w:r>
        <w:rPr>
          <w:color w:val="000000"/>
          <w:sz w:val="26"/>
        </w:rPr>
        <w:t>Search for your kit on this link here if antigen </w:t>
      </w:r>
    </w:p>
    <w:p w:rsidR="001A1CFF" w:rsidRDefault="001A1CFF">
      <w:pPr>
        <w:pStyle w:val="BodyText"/>
        <w:spacing w:after="0"/>
      </w:pPr>
    </w:p>
    <w:p w:rsidR="001A1CFF" w:rsidRDefault="00A67720">
      <w:pPr>
        <w:pStyle w:val="BodyText"/>
        <w:spacing w:after="0"/>
        <w:rPr>
          <w:color w:val="000000"/>
          <w:sz w:val="26"/>
        </w:rPr>
      </w:pPr>
      <w:r>
        <w:rPr>
          <w:color w:val="000000"/>
          <w:sz w:val="26"/>
        </w:rPr>
        <w:t>https://www.fda.gov/medical-devices/coronavirus-disease-2019-covid-19-emergency-use-authorizations-medical-devices/in-vitro-diagnostics-euas-antigen-diagnostic-tests-sars-cov-2</w:t>
      </w:r>
    </w:p>
    <w:p w:rsidR="001A1CFF" w:rsidRDefault="001A1CFF">
      <w:pPr>
        <w:pStyle w:val="BodyText"/>
        <w:spacing w:after="0"/>
      </w:pPr>
    </w:p>
    <w:p w:rsidR="001A1CFF" w:rsidRDefault="00A67720">
      <w:pPr>
        <w:pStyle w:val="BodyText"/>
        <w:spacing w:after="0"/>
        <w:rPr>
          <w:b/>
          <w:bCs/>
          <w:sz w:val="32"/>
          <w:szCs w:val="32"/>
        </w:rPr>
      </w:pPr>
      <w:hyperlink r:id="rId6" w:tgtFrame="_blank">
        <w:r>
          <w:rPr>
            <w:rStyle w:val="Hyperlink"/>
            <w:color w:val="000000"/>
            <w:sz w:val="26"/>
            <w:szCs w:val="32"/>
            <w:u w:val="none"/>
          </w:rPr>
          <w:t>https://www.fda.gov/medical-devices/coronavirus-disease-2019-covid-19-emergency-use-au</w:t>
        </w:r>
        <w:r>
          <w:rPr>
            <w:rStyle w:val="Hyperlink"/>
            <w:color w:val="000000"/>
            <w:sz w:val="26"/>
            <w:szCs w:val="32"/>
            <w:u w:val="none"/>
          </w:rPr>
          <w:t>thorizations-medical-devices/in-vitro-diagnostics-euas</w:t>
        </w:r>
      </w:hyperlink>
    </w:p>
    <w:p w:rsidR="001A1CFF" w:rsidRDefault="00A67720">
      <w:pPr>
        <w:pStyle w:val="BodyText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Papers</w:t>
      </w:r>
    </w:p>
    <w:p w:rsidR="001A1CFF" w:rsidRDefault="00A67720">
      <w:pPr>
        <w:pStyle w:val="BodyText"/>
        <w:numPr>
          <w:ilvl w:val="0"/>
          <w:numId w:val="5"/>
        </w:numPr>
        <w:spacing w:after="0"/>
        <w:rPr>
          <w:color w:val="000000"/>
          <w:sz w:val="26"/>
          <w:szCs w:val="32"/>
        </w:rPr>
      </w:pPr>
      <w:r>
        <w:rPr>
          <w:color w:val="000000"/>
          <w:sz w:val="26"/>
          <w:szCs w:val="32"/>
        </w:rPr>
        <w:t>The Infectious Diseases Society of America Guidelines on the Diagnosis of Covid-19 Molecular Diagnostic Testing. Kimberly E. Hanson, Angela M. Callendo</w:t>
      </w:r>
    </w:p>
    <w:p w:rsidR="001A1CFF" w:rsidRDefault="00A67720">
      <w:pPr>
        <w:pStyle w:val="BodyText"/>
        <w:numPr>
          <w:ilvl w:val="0"/>
          <w:numId w:val="5"/>
        </w:numPr>
        <w:spacing w:after="0"/>
        <w:rPr>
          <w:color w:val="000000"/>
          <w:sz w:val="26"/>
          <w:szCs w:val="32"/>
        </w:rPr>
      </w:pPr>
      <w:r>
        <w:rPr>
          <w:color w:val="000000"/>
          <w:sz w:val="26"/>
          <w:szCs w:val="32"/>
        </w:rPr>
        <w:t>40-Cycle RT-PCR Test for Covid 19: A Weapo</w:t>
      </w:r>
      <w:r>
        <w:rPr>
          <w:color w:val="000000"/>
          <w:sz w:val="26"/>
          <w:szCs w:val="32"/>
        </w:rPr>
        <w:t>n of Mass Destruction?. Alejandro Sousa</w:t>
      </w:r>
    </w:p>
    <w:p w:rsidR="001A1CFF" w:rsidRDefault="00A67720">
      <w:pPr>
        <w:pStyle w:val="BodyText"/>
        <w:numPr>
          <w:ilvl w:val="0"/>
          <w:numId w:val="5"/>
        </w:numPr>
        <w:spacing w:after="0"/>
        <w:rPr>
          <w:color w:val="000000"/>
          <w:sz w:val="26"/>
          <w:szCs w:val="32"/>
        </w:rPr>
      </w:pPr>
      <w:r>
        <w:rPr>
          <w:color w:val="000000"/>
          <w:sz w:val="26"/>
          <w:szCs w:val="32"/>
        </w:rPr>
        <w:t>Mandatory Reporting of Covid 19 Laboratory Test Results: Reporting of Cycle Threshold Values. December 3, 2020</w:t>
      </w:r>
    </w:p>
    <w:p w:rsidR="001A1CFF" w:rsidRDefault="00A67720">
      <w:pPr>
        <w:pStyle w:val="BodyText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Resources</w:t>
      </w:r>
    </w:p>
    <w:p w:rsidR="001A1CFF" w:rsidRDefault="001A1CFF">
      <w:pPr>
        <w:pStyle w:val="BodyText"/>
        <w:spacing w:after="0"/>
      </w:pPr>
    </w:p>
    <w:p w:rsidR="001A1CFF" w:rsidRDefault="00A67720">
      <w:pPr>
        <w:pStyle w:val="BodyText"/>
        <w:numPr>
          <w:ilvl w:val="0"/>
          <w:numId w:val="4"/>
        </w:numPr>
        <w:spacing w:after="0"/>
      </w:pPr>
      <w:r>
        <w:rPr>
          <w:color w:val="000000"/>
          <w:sz w:val="26"/>
        </w:rPr>
        <w:t>Thehealthyamerican.org</w:t>
      </w:r>
    </w:p>
    <w:p w:rsidR="001A1CFF" w:rsidRDefault="00A67720">
      <w:pPr>
        <w:numPr>
          <w:ilvl w:val="0"/>
          <w:numId w:val="3"/>
        </w:numPr>
      </w:pPr>
      <w:hyperlink r:id="rId7">
        <w:r>
          <w:rPr>
            <w:rStyle w:val="Hyperlink"/>
          </w:rPr>
          <w:t>https://pu</w:t>
        </w:r>
        <w:r>
          <w:rPr>
            <w:rStyle w:val="Hyperlink"/>
          </w:rPr>
          <w:t>bmed.ncbi.nlm.nih.gov/33126180/</w:t>
        </w:r>
      </w:hyperlink>
    </w:p>
    <w:p w:rsidR="001A1CFF" w:rsidRDefault="00A67720">
      <w:pPr>
        <w:numPr>
          <w:ilvl w:val="0"/>
          <w:numId w:val="3"/>
        </w:numPr>
      </w:pPr>
      <w:hyperlink r:id="rId8">
        <w:r>
          <w:rPr>
            <w:rStyle w:val="Hyperlink"/>
          </w:rPr>
          <w:t>https://www.fda.gov/medical-devices/coronavirus-co</w:t>
        </w:r>
        <w:r>
          <w:rPr>
            <w:rStyle w:val="Hyperlink"/>
          </w:rPr>
          <w:t>vid-19-and-medical-devices/screening-covid-19-deciding-which-test-use-when-establishing-testing-programs</w:t>
        </w:r>
      </w:hyperlink>
    </w:p>
    <w:p w:rsidR="001A1CFF" w:rsidRDefault="00A67720">
      <w:pPr>
        <w:numPr>
          <w:ilvl w:val="0"/>
          <w:numId w:val="3"/>
        </w:numPr>
      </w:pPr>
      <w:hyperlink r:id="rId9">
        <w:r>
          <w:rPr>
            <w:rStyle w:val="Hyperlink"/>
          </w:rPr>
          <w:t>https://www.fda.gov/news-events/press-announcements/coronavirus-covid-19-update-fda-takes-steps-streamline-path-covid-19-screening-tools-provides</w:t>
        </w:r>
      </w:hyperlink>
    </w:p>
    <w:p w:rsidR="001A1CFF" w:rsidRDefault="00A67720">
      <w:pPr>
        <w:numPr>
          <w:ilvl w:val="0"/>
          <w:numId w:val="3"/>
        </w:numPr>
        <w:rPr>
          <w:b/>
          <w:bCs/>
          <w:sz w:val="36"/>
          <w:szCs w:val="36"/>
        </w:rPr>
      </w:pPr>
      <w:hyperlink>
        <w:r>
          <w:rPr>
            <w:rStyle w:val="Hyperlink"/>
          </w:rPr>
          <w:t>https://www.mayoclinic.org/tests-procedures/covid-19-diagnostic-test/about/pac-</w:t>
        </w:r>
        <w:r>
          <w:rPr>
            <w:rStyle w:val="Hyperlink"/>
          </w:rPr>
          <w:t>20488900</w:t>
        </w:r>
      </w:hyperlink>
    </w:p>
    <w:p w:rsidR="001A1CFF" w:rsidRDefault="00A67720">
      <w:pPr>
        <w:pStyle w:val="BodyText"/>
        <w:numPr>
          <w:ilvl w:val="0"/>
          <w:numId w:val="3"/>
        </w:numPr>
      </w:pPr>
      <w:r>
        <w:rPr>
          <w:rStyle w:val="StrongEmphasis"/>
          <w:b w:val="0"/>
          <w:bCs w:val="0"/>
        </w:rPr>
        <w:t xml:space="preserve">The </w:t>
      </w:r>
      <w:hyperlink r:id="rId10" w:tgtFrame="_blank">
        <w:r>
          <w:rPr>
            <w:rStyle w:val="Hyperlink"/>
          </w:rPr>
          <w:t>properties of chemicals</w:t>
        </w:r>
      </w:hyperlink>
      <w:r>
        <w:rPr>
          <w:rStyle w:val="StrongEmphasis"/>
          <w:b w:val="0"/>
          <w:bCs w:val="0"/>
        </w:rPr>
        <w:t> used in products (PUBCHEM)</w:t>
      </w:r>
      <w:r>
        <w:t xml:space="preserve"> </w:t>
      </w:r>
    </w:p>
    <w:p w:rsidR="001A1CFF" w:rsidRDefault="00A67720">
      <w:pPr>
        <w:pStyle w:val="BodyText"/>
        <w:numPr>
          <w:ilvl w:val="0"/>
          <w:numId w:val="3"/>
        </w:numPr>
        <w:tabs>
          <w:tab w:val="clear" w:pos="720"/>
          <w:tab w:val="left" w:pos="1414"/>
        </w:tabs>
        <w:spacing w:after="0"/>
        <w:ind w:left="707" w:hanging="283"/>
      </w:pPr>
      <w:r>
        <w:rPr>
          <w:rStyle w:val="StrongEmphasis"/>
          <w:b w:val="0"/>
          <w:bCs w:val="0"/>
        </w:rPr>
        <w:t xml:space="preserve">Search </w:t>
      </w:r>
      <w:hyperlink r:id="rId11" w:tgtFrame="_blank">
        <w:r>
          <w:rPr>
            <w:rStyle w:val="Hyperlink"/>
          </w:rPr>
          <w:t>scientific medical papers</w:t>
        </w:r>
      </w:hyperlink>
      <w:r>
        <w:rPr>
          <w:rStyle w:val="StrongEmphasis"/>
          <w:b w:val="0"/>
          <w:bCs w:val="0"/>
        </w:rPr>
        <w:t xml:space="preserve"> (PUBMED)</w:t>
      </w:r>
      <w:r>
        <w:t xml:space="preserve"> </w:t>
      </w:r>
    </w:p>
    <w:p w:rsidR="001A1CFF" w:rsidRDefault="00A67720">
      <w:pPr>
        <w:pStyle w:val="BodyText"/>
        <w:numPr>
          <w:ilvl w:val="0"/>
          <w:numId w:val="3"/>
        </w:numPr>
        <w:tabs>
          <w:tab w:val="clear" w:pos="720"/>
          <w:tab w:val="left" w:pos="1414"/>
        </w:tabs>
        <w:spacing w:after="0"/>
        <w:ind w:left="707" w:hanging="283"/>
      </w:pPr>
      <w:hyperlink r:id="rId12" w:tgtFrame="_blank">
        <w:r>
          <w:rPr>
            <w:rStyle w:val="Hyperlink"/>
          </w:rPr>
          <w:t>Database of harmful chemicals</w:t>
        </w:r>
      </w:hyperlink>
      <w:r>
        <w:rPr>
          <w:rStyle w:val="StrongEmphasis"/>
          <w:b w:val="0"/>
          <w:bCs w:val="0"/>
        </w:rPr>
        <w:t xml:space="preserve"> (TOXNET)</w:t>
      </w:r>
      <w:r>
        <w:t xml:space="preserve"> </w:t>
      </w:r>
    </w:p>
    <w:p w:rsidR="001A1CFF" w:rsidRDefault="00A67720">
      <w:pPr>
        <w:pStyle w:val="BodyText"/>
        <w:numPr>
          <w:ilvl w:val="0"/>
          <w:numId w:val="3"/>
        </w:numPr>
        <w:tabs>
          <w:tab w:val="clear" w:pos="720"/>
          <w:tab w:val="left" w:pos="1414"/>
        </w:tabs>
        <w:spacing w:after="0"/>
        <w:ind w:left="707" w:hanging="283"/>
      </w:pPr>
      <w:hyperlink r:id="rId13" w:tgtFrame="_blank">
        <w:r>
          <w:rPr>
            <w:rStyle w:val="Hyperlink"/>
          </w:rPr>
          <w:t>Chemical Data Access Tool</w:t>
        </w:r>
      </w:hyperlink>
      <w:r>
        <w:rPr>
          <w:rStyle w:val="StrongEmphasis"/>
          <w:b w:val="0"/>
          <w:bCs w:val="0"/>
        </w:rPr>
        <w:t> (CDAT)</w:t>
      </w:r>
      <w:r>
        <w:t xml:space="preserve"> </w:t>
      </w:r>
    </w:p>
    <w:p w:rsidR="001A1CFF" w:rsidRDefault="00A67720">
      <w:pPr>
        <w:pStyle w:val="BodyText"/>
        <w:numPr>
          <w:ilvl w:val="0"/>
          <w:numId w:val="3"/>
        </w:numPr>
        <w:tabs>
          <w:tab w:val="clear" w:pos="720"/>
          <w:tab w:val="left" w:pos="1414"/>
        </w:tabs>
        <w:spacing w:after="0"/>
        <w:ind w:left="707" w:hanging="283"/>
      </w:pPr>
      <w:hyperlink r:id="rId14" w:tgtFrame="_blank">
        <w:r>
          <w:rPr>
            <w:rStyle w:val="Hyperlink"/>
          </w:rPr>
          <w:t>Agency for Toxic Substances and Disease Registry</w:t>
        </w:r>
      </w:hyperlink>
      <w:r>
        <w:rPr>
          <w:rStyle w:val="StrongEmphasis"/>
          <w:b w:val="0"/>
          <w:bCs w:val="0"/>
        </w:rPr>
        <w:t xml:space="preserve"> (ATSDR)</w:t>
      </w:r>
      <w:r>
        <w:t xml:space="preserve"> </w:t>
      </w:r>
    </w:p>
    <w:p w:rsidR="001A1CFF" w:rsidRDefault="00A67720">
      <w:pPr>
        <w:pStyle w:val="BodyText"/>
        <w:numPr>
          <w:ilvl w:val="0"/>
          <w:numId w:val="3"/>
        </w:numPr>
        <w:tabs>
          <w:tab w:val="clear" w:pos="720"/>
          <w:tab w:val="left" w:pos="1414"/>
        </w:tabs>
        <w:spacing w:after="0"/>
        <w:ind w:left="707" w:hanging="283"/>
      </w:pPr>
      <w:hyperlink r:id="rId15" w:tgtFrame="_blank">
        <w:r>
          <w:rPr>
            <w:rStyle w:val="Hyperlink"/>
          </w:rPr>
          <w:t>Clinical trials</w:t>
        </w:r>
      </w:hyperlink>
      <w:r>
        <w:rPr>
          <w:rStyle w:val="StrongEmphasis"/>
          <w:b w:val="0"/>
          <w:bCs w:val="0"/>
        </w:rPr>
        <w:t xml:space="preserve"> being  run in the United States</w:t>
      </w:r>
      <w:r>
        <w:t xml:space="preserve"> </w:t>
      </w:r>
    </w:p>
    <w:p w:rsidR="001A1CFF" w:rsidRDefault="00A67720">
      <w:pPr>
        <w:pStyle w:val="BodyText"/>
        <w:numPr>
          <w:ilvl w:val="0"/>
          <w:numId w:val="3"/>
        </w:numPr>
        <w:tabs>
          <w:tab w:val="clear" w:pos="720"/>
          <w:tab w:val="left" w:pos="1414"/>
        </w:tabs>
        <w:spacing w:after="0"/>
        <w:ind w:left="707" w:hanging="283"/>
      </w:pPr>
      <w:hyperlink r:id="rId16" w:tgtFrame="_blank">
        <w:r>
          <w:rPr>
            <w:rStyle w:val="Hyperlink"/>
          </w:rPr>
          <w:t>Material Safety Data Sheets</w:t>
        </w:r>
      </w:hyperlink>
      <w:r>
        <w:rPr>
          <w:rStyle w:val="StrongEmphasis"/>
          <w:b w:val="0"/>
          <w:bCs w:val="0"/>
        </w:rPr>
        <w:t xml:space="preserve"> (MSDS)</w:t>
      </w:r>
      <w:r>
        <w:t xml:space="preserve"> </w:t>
      </w:r>
    </w:p>
    <w:p w:rsidR="001A1CFF" w:rsidRDefault="00A67720">
      <w:pPr>
        <w:pStyle w:val="BodyText"/>
        <w:numPr>
          <w:ilvl w:val="0"/>
          <w:numId w:val="3"/>
        </w:numPr>
        <w:tabs>
          <w:tab w:val="clear" w:pos="720"/>
          <w:tab w:val="left" w:pos="1414"/>
        </w:tabs>
        <w:spacing w:after="0"/>
        <w:ind w:left="707" w:hanging="283"/>
      </w:pPr>
      <w:hyperlink r:id="rId17" w:tgtFrame="_blank">
        <w:r>
          <w:rPr>
            <w:rStyle w:val="Hyperlink"/>
          </w:rPr>
          <w:t>Chemical Abstract Services</w:t>
        </w:r>
      </w:hyperlink>
      <w:r>
        <w:rPr>
          <w:rStyle w:val="StrongEmphasis"/>
          <w:b w:val="0"/>
          <w:bCs w:val="0"/>
        </w:rPr>
        <w:t xml:space="preserve"> (CAS)</w:t>
      </w:r>
      <w:r>
        <w:t xml:space="preserve"> </w:t>
      </w:r>
    </w:p>
    <w:p w:rsidR="001A1CFF" w:rsidRDefault="00A67720">
      <w:pPr>
        <w:pStyle w:val="BodyText"/>
        <w:numPr>
          <w:ilvl w:val="0"/>
          <w:numId w:val="3"/>
        </w:numPr>
        <w:tabs>
          <w:tab w:val="clear" w:pos="720"/>
          <w:tab w:val="left" w:pos="1414"/>
        </w:tabs>
        <w:spacing w:after="0"/>
        <w:ind w:left="707" w:hanging="283"/>
        <w:rPr>
          <w:b/>
          <w:bCs/>
          <w:sz w:val="36"/>
          <w:szCs w:val="36"/>
        </w:rPr>
      </w:pPr>
      <w:hyperlink r:id="rId18">
        <w:r>
          <w:rPr>
            <w:rStyle w:val="Hyperlink"/>
          </w:rPr>
          <w:t>Adverse Reactions to Drugs</w:t>
        </w:r>
      </w:hyperlink>
      <w:r>
        <w:rPr>
          <w:rStyle w:val="StrongEmphasis"/>
          <w:b w:val="0"/>
          <w:bCs w:val="0"/>
          <w:color w:val="000080"/>
          <w:u w:val="single"/>
        </w:rPr>
        <w:t xml:space="preserve"> (VigiAccess )</w:t>
      </w:r>
      <w:r>
        <w:rPr>
          <w:color w:val="000080"/>
          <w:u w:val="single"/>
        </w:rPr>
        <w:t xml:space="preserve"> </w:t>
      </w:r>
    </w:p>
    <w:p w:rsidR="001A1CFF" w:rsidRDefault="00A67720">
      <w:pPr>
        <w:pStyle w:val="BodyText"/>
        <w:spacing w:after="0"/>
        <w:jc w:val="center"/>
      </w:pPr>
      <w:r>
        <w:rPr>
          <w:b/>
          <w:bCs/>
          <w:sz w:val="32"/>
          <w:szCs w:val="32"/>
        </w:rPr>
        <w:t>Other Notes</w:t>
      </w:r>
    </w:p>
    <w:p w:rsidR="001A1CFF" w:rsidRDefault="00A67720">
      <w:pPr>
        <w:pStyle w:val="BodyText"/>
        <w:numPr>
          <w:ilvl w:val="0"/>
          <w:numId w:val="2"/>
        </w:numPr>
        <w:spacing w:after="0"/>
        <w:rPr>
          <w:color w:val="000000"/>
          <w:sz w:val="26"/>
        </w:rPr>
      </w:pPr>
      <w:r>
        <w:rPr>
          <w:color w:val="000000"/>
          <w:sz w:val="26"/>
        </w:rPr>
        <w:t>documented cases of infections from</w:t>
      </w:r>
      <w:r>
        <w:rPr>
          <w:color w:val="000000"/>
          <w:sz w:val="26"/>
        </w:rPr>
        <w:t xml:space="preserve"> swabs</w:t>
      </w:r>
    </w:p>
    <w:p w:rsidR="001A1CFF" w:rsidRDefault="00A67720">
      <w:pPr>
        <w:pStyle w:val="BodyText"/>
        <w:numPr>
          <w:ilvl w:val="0"/>
          <w:numId w:val="2"/>
        </w:numPr>
        <w:spacing w:after="0"/>
        <w:rPr>
          <w:color w:val="000000"/>
          <w:sz w:val="26"/>
        </w:rPr>
      </w:pPr>
      <w:r>
        <w:rPr>
          <w:color w:val="000000"/>
          <w:sz w:val="26"/>
        </w:rPr>
        <w:t>how are the swabs sterilized?</w:t>
      </w:r>
    </w:p>
    <w:p w:rsidR="001A1CFF" w:rsidRDefault="00A67720">
      <w:pPr>
        <w:pStyle w:val="BodyText"/>
        <w:numPr>
          <w:ilvl w:val="0"/>
          <w:numId w:val="2"/>
        </w:numPr>
        <w:spacing w:after="0"/>
      </w:pPr>
      <w:r>
        <w:rPr>
          <w:color w:val="000000"/>
          <w:sz w:val="26"/>
        </w:rPr>
        <w:t>Note it purpose of test.</w:t>
      </w:r>
    </w:p>
    <w:p w:rsidR="001A1CFF" w:rsidRDefault="00A67720">
      <w:pPr>
        <w:pStyle w:val="BodyText"/>
        <w:numPr>
          <w:ilvl w:val="1"/>
          <w:numId w:val="2"/>
        </w:numPr>
        <w:spacing w:after="0"/>
      </w:pPr>
      <w:r>
        <w:rPr>
          <w:color w:val="000000"/>
          <w:sz w:val="26"/>
        </w:rPr>
        <w:t>There is a difference between diagnostic (think pregnancy) vs preventative (yearly screening)</w:t>
      </w:r>
    </w:p>
    <w:p w:rsidR="001A1CFF" w:rsidRDefault="00A67720">
      <w:pPr>
        <w:pStyle w:val="BodyText"/>
        <w:numPr>
          <w:ilvl w:val="0"/>
          <w:numId w:val="2"/>
        </w:numPr>
        <w:spacing w:after="0"/>
        <w:rPr>
          <w:color w:val="000000"/>
          <w:sz w:val="26"/>
        </w:rPr>
      </w:pPr>
      <w:r>
        <w:rPr>
          <w:color w:val="000000"/>
          <w:sz w:val="26"/>
        </w:rPr>
        <w:t>Also, were you given a data sheet for the kits?</w:t>
      </w:r>
    </w:p>
    <w:p w:rsidR="001A1CFF" w:rsidRDefault="001A1CFF">
      <w:pPr>
        <w:pStyle w:val="BodyText"/>
        <w:spacing w:after="0"/>
      </w:pPr>
    </w:p>
    <w:p w:rsidR="001A1CFF" w:rsidRDefault="00A6772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evidence showing asymptomatic does NOT exist</w:t>
      </w:r>
    </w:p>
    <w:p w:rsidR="001A1CFF" w:rsidRDefault="00A67720">
      <w:hyperlink>
        <w:r>
          <w:rPr>
            <w:rStyle w:val="Hyperlink"/>
            <w:color w:val="000000"/>
            <w:u w:val="none"/>
          </w:rPr>
          <w:t>https://www.who.int/docs/default-source/coronaviruse/situation-reports/20200402-sitrep-73-covid-19.pdf?sfvrsn=5ae25bc7_2</w:t>
        </w:r>
      </w:hyperlink>
    </w:p>
    <w:p w:rsidR="001A1CFF" w:rsidRDefault="001A1CFF">
      <w:pPr>
        <w:rPr>
          <w:rStyle w:val="Hyperlink"/>
          <w:color w:val="000000"/>
          <w:u w:val="none"/>
        </w:rPr>
      </w:pPr>
    </w:p>
    <w:p w:rsidR="001A1CFF" w:rsidRDefault="00A67720">
      <w:pPr>
        <w:pStyle w:val="BodyText"/>
        <w:spacing w:after="0"/>
        <w:rPr>
          <w:color w:val="000000"/>
          <w:sz w:val="32"/>
          <w:szCs w:val="32"/>
        </w:rPr>
      </w:pPr>
      <w:r>
        <w:rPr>
          <w:color w:val="000000"/>
        </w:rPr>
        <w:t>"</w:t>
      </w:r>
      <w:bookmarkStart w:id="1" w:name="page42R_mcid16"/>
      <w:bookmarkEnd w:id="1"/>
      <w:r>
        <w:rPr>
          <w:color w:val="000000"/>
        </w:rPr>
        <w:t xml:space="preserve">Asymptomatic transmission </w:t>
      </w:r>
      <w:bookmarkStart w:id="2" w:name="page42R_mcid17"/>
      <w:bookmarkEnd w:id="2"/>
      <w:r>
        <w:rPr>
          <w:color w:val="000000"/>
        </w:rPr>
        <w:br/>
        <w:t>An asymptomatic laboratory-confirmed case is a person infected with COVID -19 who does not deve</w:t>
      </w:r>
      <w:r>
        <w:rPr>
          <w:color w:val="000000"/>
        </w:rPr>
        <w:t xml:space="preserve">lop symptoms. </w:t>
      </w:r>
      <w:r>
        <w:rPr>
          <w:color w:val="000000"/>
        </w:rPr>
        <w:br/>
        <w:t xml:space="preserve">Asymptomatic transmission refers to transmission of the virus from a person, who does not develop symptoms. </w:t>
      </w:r>
      <w:bookmarkStart w:id="3" w:name="page42R_mcid18"/>
      <w:bookmarkEnd w:id="3"/>
      <w:r>
        <w:rPr>
          <w:color w:val="000000"/>
        </w:rPr>
        <w:br/>
      </w:r>
      <w:bookmarkStart w:id="4" w:name="page42R_mcid19"/>
      <w:bookmarkEnd w:id="4"/>
      <w:r>
        <w:rPr>
          <w:color w:val="000000"/>
        </w:rPr>
        <w:br/>
        <w:t xml:space="preserve">There are few reports of laboratory-confirmed cases who are truly asymptomatic, and to date, there has been no </w:t>
      </w:r>
      <w:r>
        <w:rPr>
          <w:color w:val="000000"/>
        </w:rPr>
        <w:br/>
        <w:t>documented asymptom</w:t>
      </w:r>
      <w:r>
        <w:rPr>
          <w:color w:val="000000"/>
        </w:rPr>
        <w:t xml:space="preserve">atic transmission. This does not exclude the possibility that it may occur. Asymptomatic cases </w:t>
      </w:r>
      <w:r>
        <w:rPr>
          <w:color w:val="000000"/>
        </w:rPr>
        <w:br/>
        <w:t xml:space="preserve">have been reported as part of contact tracing efforts in some countries. </w:t>
      </w:r>
      <w:bookmarkStart w:id="5" w:name="page42R_mcid20"/>
      <w:bookmarkEnd w:id="5"/>
      <w:r>
        <w:rPr>
          <w:color w:val="000000"/>
        </w:rPr>
        <w:br/>
      </w:r>
      <w:bookmarkStart w:id="6" w:name="page42R_mcid21"/>
      <w:bookmarkEnd w:id="6"/>
      <w:r>
        <w:rPr>
          <w:color w:val="000000"/>
        </w:rPr>
        <w:br/>
        <w:t>WHO regularly monitors all emerging evidence about this critical topic and will provi</w:t>
      </w:r>
      <w:r>
        <w:rPr>
          <w:color w:val="000000"/>
        </w:rPr>
        <w:t xml:space="preserve">de an update as more information </w:t>
      </w:r>
      <w:r>
        <w:rPr>
          <w:color w:val="000000"/>
        </w:rPr>
        <w:br/>
        <w:t xml:space="preserve">becomes available. </w:t>
      </w:r>
      <w:r>
        <w:rPr>
          <w:color w:val="000000"/>
        </w:rPr>
        <w:t>"</w:t>
      </w:r>
    </w:p>
    <w:p w:rsidR="001A1CFF" w:rsidRDefault="00A67720">
      <w:pPr>
        <w:pStyle w:val="BodyText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Videos On Testing</w:t>
      </w:r>
    </w:p>
    <w:p w:rsidR="001A1CFF" w:rsidRDefault="001A1CFF"/>
    <w:p w:rsidR="001A1CFF" w:rsidRDefault="00A67720">
      <w:hyperlink>
        <w:r>
          <w:rPr>
            <w:rStyle w:val="Hyperlink"/>
          </w:rPr>
          <w:t>https://www.bitchute.com/video/NRMuuFu1Shky/</w:t>
        </w:r>
      </w:hyperlink>
    </w:p>
    <w:p w:rsidR="001A1CFF" w:rsidRDefault="001A1CFF"/>
    <w:p w:rsidR="001A1CFF" w:rsidRDefault="00A67720">
      <w:hyperlink>
        <w:r>
          <w:rPr>
            <w:rStyle w:val="Hyperlink"/>
          </w:rPr>
          <w:t>https://www.bitchute.com/video/yzOHvtVzGqIP/</w:t>
        </w:r>
      </w:hyperlink>
    </w:p>
    <w:p w:rsidR="001A1CFF" w:rsidRDefault="001A1CFF"/>
    <w:p w:rsidR="001A1CFF" w:rsidRDefault="00A67720">
      <w:hyperlink>
        <w:r>
          <w:rPr>
            <w:rStyle w:val="Hyperlink"/>
          </w:rPr>
          <w:t>https://www.bitchute.com/video/gPEQQoW0niYh/</w:t>
        </w:r>
      </w:hyperlink>
    </w:p>
    <w:p w:rsidR="001A1CFF" w:rsidRDefault="001A1CFF"/>
    <w:p w:rsidR="001A1CFF" w:rsidRDefault="00A67720">
      <w:hyperlink>
        <w:r>
          <w:rPr>
            <w:rStyle w:val="Hyperlink"/>
          </w:rPr>
          <w:t>https://www.bitchute.com/video/6PbOO4Oyt2Ah/</w:t>
        </w:r>
      </w:hyperlink>
    </w:p>
    <w:p w:rsidR="001A1CFF" w:rsidRDefault="001A1CFF"/>
    <w:p w:rsidR="001A1CFF" w:rsidRDefault="00A67720">
      <w:r>
        <w:t xml:space="preserve">last one... </w:t>
      </w:r>
      <w:hyperlink r:id="rId19" w:tgtFrame="_blank">
        <w:r>
          <w:rPr>
            <w:rStyle w:val="Hyperlink"/>
          </w:rPr>
          <w:t>https://rumble.com/vnwt2p-covid-nasal-swabs-examined-by-scientists-</w:t>
        </w:r>
        <w:r>
          <w:rPr>
            <w:rStyle w:val="Hyperlink"/>
          </w:rPr>
          <w:t>reveal-danger.html</w:t>
        </w:r>
      </w:hyperlink>
    </w:p>
    <w:sectPr w:rsidR="001A1CFF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sans-serif">
    <w:altName w:val="Arial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9AA"/>
    <w:multiLevelType w:val="multilevel"/>
    <w:tmpl w:val="6020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23773BB"/>
    <w:multiLevelType w:val="multilevel"/>
    <w:tmpl w:val="32D8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DDB2329"/>
    <w:multiLevelType w:val="multilevel"/>
    <w:tmpl w:val="20FA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A274DCE"/>
    <w:multiLevelType w:val="multilevel"/>
    <w:tmpl w:val="4406EF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4F72AB4"/>
    <w:multiLevelType w:val="multilevel"/>
    <w:tmpl w:val="0AC0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7D238A0"/>
    <w:multiLevelType w:val="multilevel"/>
    <w:tmpl w:val="2D74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FF"/>
    <w:rsid w:val="001A1CFF"/>
    <w:rsid w:val="00A6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medical-devices/coronavirus-covid-19-and-medical-devices/screening-covid-19-deciding-which-test-use-when-establishing-testing-programs" TargetMode="External"/><Relationship Id="rId13" Type="http://schemas.openxmlformats.org/officeDocument/2006/relationships/hyperlink" Target="https://java.epa.gov/oppt_chemical_search/" TargetMode="External"/><Relationship Id="rId18" Type="http://schemas.openxmlformats.org/officeDocument/2006/relationships/hyperlink" Target="http://www.vigiaccess.org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pubmed.ncbi.nlm.nih.gov/33126180/" TargetMode="External"/><Relationship Id="rId12" Type="http://schemas.openxmlformats.org/officeDocument/2006/relationships/hyperlink" Target="https://toxnet.nlm.nih.gov/" TargetMode="External"/><Relationship Id="rId17" Type="http://schemas.openxmlformats.org/officeDocument/2006/relationships/hyperlink" Target="http://www.cas.org/content/chemical-substan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d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da.gov/medical-devices/coronavirus-disease-2019-covid-19-emergency-use-authorizations-medical-devices/in-vitro-diagnostics-euas" TargetMode="External"/><Relationship Id="rId11" Type="http://schemas.openxmlformats.org/officeDocument/2006/relationships/hyperlink" Target="https://www.ncbi.nlm.nih.gov/pubme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inicaltrials.gov/" TargetMode="External"/><Relationship Id="rId10" Type="http://schemas.openxmlformats.org/officeDocument/2006/relationships/hyperlink" Target="https://pubchem.ncbi.nlm.nih.gov/" TargetMode="External"/><Relationship Id="rId19" Type="http://schemas.openxmlformats.org/officeDocument/2006/relationships/hyperlink" Target="https://us02st1.zoom.us/web_client/yckmkh4/html/externalLinkPage.html?ref=https://rumble.com/vnwt2p-covid-nasal-swabs-examined-by-scientists-reveal-dang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da.gov/news-events/press-announcements/coronavirus-covid-19-update-fda-takes-steps-streamline-path-covid-19-screening-tools-provides" TargetMode="External"/><Relationship Id="rId14" Type="http://schemas.openxmlformats.org/officeDocument/2006/relationships/hyperlink" Target="https://www.atsdr.cd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2</cp:revision>
  <dcterms:created xsi:type="dcterms:W3CDTF">2022-02-04T13:00:00Z</dcterms:created>
  <dcterms:modified xsi:type="dcterms:W3CDTF">2022-02-04T13:00:00Z</dcterms:modified>
  <dc:language>en-US</dc:language>
</cp:coreProperties>
</file>