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1A2E" w:val="clear"/>
            <w:tcMar>
              <w:top w:type="dxa" w:w="560"/>
              <w:left w:type="dxa" w:w="560"/>
              <w:bottom w:type="dxa" w:w="560"/>
              <w:right w:type="dxa" w:w="560"/>
            </w:tcMar>
          </w:tcPr>
          <w:p>
            <w:pPr>
              <w:spacing w:after="120" w:before="0"/>
              <w:jc w:val="center"/>
            </w:pPr>
            <w:r>
              <w:rPr>
                <w:rFonts w:ascii="Arial" w:cs="Arial" w:eastAsia="Arial" w:hAnsi="Arial"/>
                <w:b/>
                <w:bCs/>
                <w:i w:val="false"/>
                <w:iCs w:val="false"/>
                <w:color w:val="FFFFFF"/>
                <w:sz w:val="36"/>
                <w:szCs w:val="36"/>
              </w:rPr>
              <w:t xml:space="preserve">FORESIGHT VALUE LTD</w:t>
            </w:r>
          </w:p>
          <w:p>
            <w:pPr>
              <w:spacing w:after="160" w:before="0"/>
              <w:jc w:val="center"/>
            </w:pPr>
            <w:r>
              <w:rPr>
                <w:rFonts w:ascii="Arial" w:cs="Arial" w:eastAsia="Arial" w:hAnsi="Arial"/>
                <w:b w:val="false"/>
                <w:bCs w:val="false"/>
                <w:i w:val="false"/>
                <w:iCs w:val="false"/>
                <w:color w:val="C8D0E8"/>
                <w:sz w:val="22"/>
                <w:szCs w:val="22"/>
              </w:rPr>
              <w:t xml:space="preserve">DSR INTELLIGENCE &amp; DEALFLOW PLATFORM</w:t>
            </w:r>
          </w:p>
          <w:p>
            <w:pPr>
              <w:spacing w:after="280" w:before="0"/>
              <w:jc w:val="center"/>
            </w:pPr>
            <w:r>
              <w:rPr>
                <w:rFonts w:ascii="Arial" w:cs="Arial" w:eastAsia="Arial" w:hAnsi="Arial"/>
                <w:b/>
                <w:bCs/>
                <w:i w:val="false"/>
                <w:iCs w:val="false"/>
                <w:color w:val="FFFFFF"/>
                <w:sz w:val="28"/>
                <w:szCs w:val="28"/>
              </w:rPr>
              <w:t xml:space="preserve">PLATFORM TERMS AND CONDITIONS</w:t>
            </w:r>
          </w:p>
          <w:p>
            <w:pPr>
              <w:spacing w:after="80" w:before="0"/>
              <w:jc w:val="center"/>
            </w:pPr>
            <w:r>
              <w:rPr>
                <w:rFonts w:ascii="Arial" w:cs="Arial" w:eastAsia="Arial" w:hAnsi="Arial"/>
                <w:b w:val="false"/>
                <w:bCs w:val="false"/>
                <w:i/>
                <w:iCs/>
                <w:color w:val="C8D0E8"/>
                <w:sz w:val="19"/>
                <w:szCs w:val="19"/>
              </w:rPr>
              <w:t xml:space="preserve">Incorporating General User Terms, Startup-Specific Terms,</w:t>
            </w:r>
          </w:p>
          <w:p>
            <w:pPr>
              <w:spacing w:after="80" w:before="0"/>
              <w:jc w:val="center"/>
            </w:pPr>
            <w:r>
              <w:rPr>
                <w:rFonts w:ascii="Arial" w:cs="Arial" w:eastAsia="Arial" w:hAnsi="Arial"/>
                <w:b w:val="false"/>
                <w:bCs w:val="false"/>
                <w:i/>
                <w:iCs/>
                <w:color w:val="C8D0E8"/>
                <w:sz w:val="19"/>
                <w:szCs w:val="19"/>
              </w:rPr>
              <w:t xml:space="preserve">Success Fee Provisions, and Onboarding Acknowledgement</w:t>
            </w:r>
          </w:p>
          <w:p>
            <w:pPr>
              <w:spacing w:after="0" w:before="160"/>
              <w:jc w:val="center"/>
            </w:pPr>
            <w:r>
              <w:rPr>
                <w:rFonts w:ascii="Arial" w:cs="Arial" w:eastAsia="Arial" w:hAnsi="Arial"/>
                <w:b w:val="false"/>
                <w:bCs w:val="false"/>
                <w:i w:val="false"/>
                <w:iCs w:val="false"/>
                <w:color w:val="8899BB"/>
                <w:sz w:val="18"/>
                <w:szCs w:val="18"/>
              </w:rPr>
              <w:t xml:space="preserve">Version 1.0  |  England &amp; Wales  |  [Date]</w:t>
            </w:r>
          </w:p>
        </w:tc>
      </w:tr>
    </w:tbl>
    <w:p>
      <w:pPr>
        <w:spacing w:after="40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0F3460" w:sz="8"/>
              <w:left w:val="single" w:color="0F3460" w:sz="24"/>
              <w:bottom w:val="single" w:color="0F3460" w:sz="8"/>
              <w:right w:val="single" w:color="0F3460" w:sz="8"/>
            </w:tcBorders>
            <w:shd w:fill="EEF1F8" w:val="clear"/>
            <w:tcMar>
              <w:top w:type="dxa" w:w="160"/>
              <w:left w:type="dxa" w:w="240"/>
              <w:bottom w:type="dxa" w:w="160"/>
              <w:right w:type="dxa" w:w="240"/>
            </w:tcMar>
          </w:tcPr>
          <w:p>
            <w:pPr>
              <w:jc w:val="both"/>
            </w:pPr>
            <w:r>
              <w:rPr>
                <w:rFonts w:ascii="Arial" w:cs="Arial" w:eastAsia="Arial" w:hAnsi="Arial"/>
                <w:b w:val="false"/>
                <w:bCs w:val="false"/>
                <w:color w:val="1A1A2E"/>
                <w:sz w:val="19"/>
                <w:szCs w:val="19"/>
              </w:rPr>
              <w:t xml:space="preserve">IMPORTANT NOTICE: These Terms contain legally binding obligations including Success Fee provisions, anti-circumvention obligations, and reverse burden of proof clauses. By accessing or using the Platform, you confirm that you have read, understood, and agree to be bound by these Terms in their entirety. If you do not agree, you must not access or use the Platform. These Terms do not constitute investment advice, financial promotion, or the provision of regulated services under the Financial Services and Markets Act 2000.</w:t>
            </w:r>
          </w:p>
        </w:tc>
      </w:tr>
    </w:tbl>
    <w:p>
      <w:pPr>
        <w:spacing w:after="300" w:before="0"/>
      </w:pPr>
    </w:p>
    <w:p>
      <w:pPr>
        <w:spacing w:after="0" w:before="480"/>
      </w:pPr>
      <w:r>
        <w:rPr>
          <w:rFonts w:ascii="Arial" w:cs="Arial" w:eastAsia="Arial" w:hAnsi="Arial"/>
          <w:b/>
          <w:bCs/>
          <w:color w:val="1A1A2E"/>
          <w:sz w:val="28"/>
          <w:szCs w:val="28"/>
        </w:rPr>
        <w:t xml:space="preserve">PART A — GENERAL PLATFORM TERMS (ALL USERS)</w:t>
      </w:r>
    </w:p>
    <w:p>
      <w:pPr>
        <w:pBdr>
          <w:bottom w:val="single" w:color="0F3460" w:sz="6" w:space="2"/>
        </w:pBdr>
        <w:spacing w:after="240" w:before="60"/>
      </w:pPr>
    </w:p>
    <w:p>
      <w:pPr>
        <w:spacing w:after="120" w:before="320"/>
      </w:pPr>
      <w:r>
        <w:rPr>
          <w:rFonts w:ascii="Arial" w:cs="Arial" w:eastAsia="Arial" w:hAnsi="Arial"/>
          <w:b/>
          <w:bCs/>
          <w:color w:val="0F3460"/>
          <w:sz w:val="23"/>
          <w:szCs w:val="23"/>
        </w:rPr>
        <w:t xml:space="preserve">1. DEFINITIONS AND INTERPRETATION</w:t>
      </w:r>
    </w:p>
    <w:p>
      <w:pPr>
        <w:spacing w:after="120" w:before="80"/>
        <w:jc w:val="both"/>
      </w:pPr>
      <w:r>
        <w:rPr>
          <w:rFonts w:ascii="Arial" w:cs="Arial" w:eastAsia="Arial" w:hAnsi="Arial"/>
          <w:b w:val="false"/>
          <w:bCs w:val="false"/>
          <w:i w:val="false"/>
          <w:iCs w:val="false"/>
          <w:color w:val="1A1A2E"/>
          <w:sz w:val="20"/>
          <w:szCs w:val="20"/>
        </w:rPr>
        <w:t xml:space="preserve">In these Terms, the following words and expressions have the following meanings unless the context requires otherwise:</w:t>
      </w:r>
    </w:p>
    <w:p>
      <w:pPr>
        <w:spacing w:after="12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00"/>
      </w:tblGrid>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Advisor</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Any individual or entity registered on the Platform in the capacity of a financial adviser, corporate finance adviser, placement agent, broker, or intermediary, who uses the Platform to identify, introduce, or facilitate Transactions on behalf of Startups, Investors, or both.</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Confidential Information</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All information, data, materials, know-how, trade secrets, business plans, financial data, technical specifications, and any other information disclosed by one User to another through or in connection with the Platform, whether disclosed orally, in writing, electronically, or by any other means, and whether or not expressly designated as confidential.</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Facilitated Transaction</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Any Transaction where: (a) a party was identified, discovered, or became known to another party through the Platform; (b) any interaction between the parties occurred via the Platform, including without limitation profile access, access requests, messaging, document sharing, data room access, or any exchange of information; (c) the Platform materially enabled, supported, or accelerated the engagement between the parties, whether directly or indirectly; or (d) both parties were registered on the Platform and operate within overlapping sectors, geographies, or investment criteria at the time of the Transaction. For the avoidance of doubt, a Transaction shall constitute a Facilitated Transaction regardless of whether it is concluded outside the Platform, through a third party, or after cessation of Platform use.</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Foresight Value</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Foresight Value Ltd, a company registered in England and Wales, operating the Platform.</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Investor</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Any individual or entity registered on the Platform as a provider or potential provider of capital, including without limitation venture capital funds, private equity funds, family offices, corporate investors, sovereign wealth funds, angel investors, and co-investment vehicles.</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Platform</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The proprietary online dealflow and intelligence platform operated by Foresight Value Ltd at [URL] and any associated tools, data services, intelligence products, application programming interfaces, and ancillary services provided thereunder.</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Services</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The services provided by Foresight Value through the Platform, including without limitation deal origination, DGSM geopolitical screening, intelligence briefings, profile hosting, investor matching, and related information services, as further described on the Platform.</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Startup</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Any company, venture, or entity registered on the Platform seeking capital investment, strategic partnerships, or other forms of financing or commercial engagement from Investors or other counterparties through the Platform.</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Success Fee</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The fee payable by a Startup to Foresight Value upon completion of a Facilitated Transaction, as described in Part B and Schedule 1 of these Terms.</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Terms</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These Platform Terms and Conditions, together with any schedules, annexes, and onboarding confirmation documents forming part of the agreement between Foresight Value and the User.</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Transaction</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Any transaction, agreement, or arrangement resulting in the provision of capital, equity investment, debt financing, convertible instrument, SAFE, grant, strategic partnership, merger, acquisition, or any other commercial arrangement concluded between a Startup and one or more counterparties, whether or not facilitated through the Platform.</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User</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Any individual or entity accessing or using the Platform, whether as a Startup, Investor, or Advisor.</w:t>
            </w:r>
          </w:p>
        </w:tc>
      </w:tr>
    </w:tbl>
    <w:p>
      <w:pPr>
        <w:spacing w:after="160" w:before="0"/>
      </w:pPr>
    </w:p>
    <w:p>
      <w:pPr>
        <w:spacing w:after="120" w:before="80"/>
        <w:jc w:val="both"/>
      </w:pPr>
      <w:r>
        <w:rPr>
          <w:rFonts w:ascii="Arial" w:cs="Arial" w:eastAsia="Arial" w:hAnsi="Arial"/>
          <w:b w:val="false"/>
          <w:bCs w:val="false"/>
          <w:i w:val="false"/>
          <w:iCs w:val="false"/>
          <w:color w:val="1A1A2E"/>
          <w:sz w:val="20"/>
          <w:szCs w:val="20"/>
        </w:rPr>
        <w:t xml:space="preserve">In these Terms: (a) the singular includes the plural and vice versa; (b) a reference to a statute or statutory provision includes any subordinate legislation made under it and any amendment or re-enactment; (c) headings are for convenience only and shall not affect interpretation; (d) 'including' and 'in particular' are illustrative and shall not limit the generality of the preceding words; (e) 'writing' includes electronic communications where the context permits.</w:t>
      </w:r>
    </w:p>
    <w:p>
      <w:pPr>
        <w:spacing w:after="80" w:before="0"/>
      </w:pPr>
    </w:p>
    <w:p>
      <w:pPr>
        <w:spacing w:after="120" w:before="320"/>
      </w:pPr>
      <w:r>
        <w:rPr>
          <w:rFonts w:ascii="Arial" w:cs="Arial" w:eastAsia="Arial" w:hAnsi="Arial"/>
          <w:b/>
          <w:bCs/>
          <w:color w:val="0F3460"/>
          <w:sz w:val="23"/>
          <w:szCs w:val="23"/>
        </w:rPr>
        <w:t xml:space="preserve">2. REGULATORY STATUS AND FINANCIAL PROMOTIONS</w:t>
      </w:r>
    </w:p>
    <w:p>
      <w:pPr>
        <w:pStyle w:val="ListParagraph"/>
        <w:numPr>
          <w:ilvl w:val="0"/>
          <w:numId w:val="2"/>
        </w:numPr>
        <w:spacing w:after="100" w:before="80"/>
        <w:jc w:val="both"/>
      </w:pPr>
      <w:r>
        <w:rPr>
          <w:rFonts w:ascii="Arial" w:cs="Arial" w:eastAsia="Arial" w:hAnsi="Arial"/>
          <w:b w:val="false"/>
          <w:bCs w:val="false"/>
          <w:i w:val="false"/>
          <w:iCs w:val="false"/>
          <w:color w:val="1A1A2E"/>
          <w:sz w:val="20"/>
          <w:szCs w:val="20"/>
        </w:rPr>
        <w:t xml:space="preserve">Foresight Value is not authorised or regulated by the Financial Conduct Authority (</w:t>
      </w:r>
      <w:r>
        <w:rPr>
          <w:rFonts w:ascii="Arial" w:cs="Arial" w:eastAsia="Arial" w:hAnsi="Arial"/>
          <w:b/>
          <w:bCs/>
          <w:i w:val="false"/>
          <w:iCs w:val="false"/>
          <w:color w:val="1A1A2E"/>
          <w:sz w:val="20"/>
          <w:szCs w:val="20"/>
        </w:rPr>
        <w:t xml:space="preserve">FCA</w:t>
      </w:r>
      <w:r>
        <w:rPr>
          <w:rFonts w:ascii="Arial" w:cs="Arial" w:eastAsia="Arial" w:hAnsi="Arial"/>
          <w:b w:val="false"/>
          <w:bCs w:val="false"/>
          <w:i w:val="false"/>
          <w:iCs w:val="false"/>
          <w:color w:val="1A1A2E"/>
          <w:sz w:val="20"/>
          <w:szCs w:val="20"/>
        </w:rPr>
        <w:t xml:space="preserve">) under the Financial Services and Markets Act 2000 (</w:t>
      </w:r>
      <w:r>
        <w:rPr>
          <w:rFonts w:ascii="Arial" w:cs="Arial" w:eastAsia="Arial" w:hAnsi="Arial"/>
          <w:b/>
          <w:bCs/>
          <w:i w:val="false"/>
          <w:iCs w:val="false"/>
          <w:color w:val="1A1A2E"/>
          <w:sz w:val="20"/>
          <w:szCs w:val="20"/>
        </w:rPr>
        <w:t xml:space="preserve">FSMA</w:t>
      </w:r>
      <w:r>
        <w:rPr>
          <w:rFonts w:ascii="Arial" w:cs="Arial" w:eastAsia="Arial" w:hAnsi="Arial"/>
          <w:b w:val="false"/>
          <w:bCs w:val="false"/>
          <w:i w:val="false"/>
          <w:iCs w:val="false"/>
          <w:color w:val="1A1A2E"/>
          <w:sz w:val="20"/>
          <w:szCs w:val="20"/>
        </w:rPr>
        <w:t xml:space="preserve">). The Platform provides information technology, data aggregation, and deal origination infrastructure services only.</w:t>
      </w:r>
    </w:p>
    <w:p>
      <w:pPr>
        <w:pStyle w:val="ListParagraph"/>
        <w:numPr>
          <w:ilvl w:val="0"/>
          <w:numId w:val="2"/>
        </w:numPr>
        <w:spacing w:after="100" w:before="80"/>
        <w:jc w:val="both"/>
      </w:pPr>
      <w:r>
        <w:rPr>
          <w:rFonts w:ascii="Arial" w:cs="Arial" w:eastAsia="Arial" w:hAnsi="Arial"/>
          <w:color w:val="1A1A2E"/>
          <w:sz w:val="20"/>
          <w:szCs w:val="20"/>
        </w:rPr>
        <w:t xml:space="preserve">Nothing on the Platform constitutes, and the Services shall not be construed as constituting: (a) investment advice within the meaning of Article 53 of the Financial Services and Markets Act 2000 (Regulated Activities) Order 2001 (RAO); (b) arranging deals in investments within the meaning of Article 25 of the RAO; (c) operating a multilateral trading facility (MTF) or organised trading facility (OTF); (d) dealing in investments as principal or agent; or (e) any other regulated activity within the meaning of FSMA.</w:t>
      </w:r>
    </w:p>
    <w:p>
      <w:pPr>
        <w:pStyle w:val="ListParagraph"/>
        <w:numPr>
          <w:ilvl w:val="0"/>
          <w:numId w:val="2"/>
        </w:numPr>
        <w:spacing w:after="100" w:before="80"/>
        <w:jc w:val="both"/>
      </w:pPr>
      <w:r>
        <w:rPr>
          <w:rFonts w:ascii="Arial" w:cs="Arial" w:eastAsia="Arial" w:hAnsi="Arial"/>
          <w:color w:val="1A1A2E"/>
          <w:sz w:val="20"/>
          <w:szCs w:val="20"/>
        </w:rPr>
        <w:t xml:space="preserve">Each User acknowledges that it acts entirely independently and on its own account in accessing the Platform and concluding any Transaction. Foresight Value does not act as agent, broker, intermediary, or fiduciary for any User.</w:t>
      </w:r>
    </w:p>
    <w:p>
      <w:pPr>
        <w:pStyle w:val="ListParagraph"/>
        <w:numPr>
          <w:ilvl w:val="0"/>
          <w:numId w:val="2"/>
        </w:numPr>
        <w:spacing w:after="100" w:before="80"/>
        <w:jc w:val="both"/>
      </w:pPr>
      <w:r>
        <w:rPr>
          <w:rFonts w:ascii="Arial" w:cs="Arial" w:eastAsia="Arial" w:hAnsi="Arial"/>
          <w:color w:val="1A1A2E"/>
          <w:sz w:val="20"/>
          <w:szCs w:val="20"/>
        </w:rPr>
        <w:t xml:space="preserve">Any financial promotions communicated through the Platform are directed exclusively at persons who fall within one or more of the following categories: (a) investment professionals within the meaning of Article 19 of the Financial Services and Markets Act 2000 (Financial Promotion) Order 2005 (FPO); (b) high net worth companies and unincorporated associations within the meaning of Article 49 of the FPO; (c) certified sophisticated investors within the meaning of Article 50A of the FPO; or (d) self-certified sophisticated investors within the meaning of Article 50 of the FPO.</w:t>
      </w:r>
    </w:p>
    <w:p>
      <w:pPr>
        <w:pStyle w:val="ListParagraph"/>
        <w:numPr>
          <w:ilvl w:val="0"/>
          <w:numId w:val="2"/>
        </w:numPr>
        <w:spacing w:after="100" w:before="80"/>
        <w:jc w:val="both"/>
      </w:pPr>
      <w:r>
        <w:rPr>
          <w:rFonts w:ascii="Arial" w:cs="Arial" w:eastAsia="Arial" w:hAnsi="Arial"/>
          <w:color w:val="1A1A2E"/>
          <w:sz w:val="20"/>
          <w:szCs w:val="20"/>
        </w:rPr>
        <w:t xml:space="preserve">Users located in or accessing the Platform from the United States of America represent and warrant that: (a) they are 'accredited investors' within the meaning of Rule 501 of Regulation D under the US Securities Act of 1933, as amended; (b) they are not accessing the Platform as a result of any general solicitation or general advertising; (c) they understand that the Success Fee constitutes a platform service fee and not a broker-dealer commission; and (d) Foresight Value is not registered as a broker-dealer under the US Securities Exchange Act of 1934 and does not act in such capacity.</w:t>
      </w:r>
    </w:p>
    <w:p>
      <w:pPr>
        <w:pStyle w:val="ListParagraph"/>
        <w:numPr>
          <w:ilvl w:val="0"/>
          <w:numId w:val="2"/>
        </w:numPr>
        <w:spacing w:after="100" w:before="80"/>
        <w:jc w:val="both"/>
      </w:pPr>
      <w:r>
        <w:rPr>
          <w:rFonts w:ascii="Arial" w:cs="Arial" w:eastAsia="Arial" w:hAnsi="Arial"/>
          <w:color w:val="1A1A2E"/>
          <w:sz w:val="20"/>
          <w:szCs w:val="20"/>
        </w:rPr>
        <w:t xml:space="preserve">Users located in or accessing the Platform from jurisdictions within the European Union acknowledge that the Platform does not constitute a service regulated under Directive 2014/65/EU (MiFID II), Regulation (EU) 2017/1129 (Prospectus Regulation), or any equivalent national implementing legislation.</w:t>
      </w:r>
    </w:p>
    <w:p>
      <w:pPr>
        <w:spacing w:after="80" w:before="0"/>
      </w:pPr>
    </w:p>
    <w:p>
      <w:pPr>
        <w:spacing w:after="120" w:before="320"/>
      </w:pPr>
      <w:r>
        <w:rPr>
          <w:rFonts w:ascii="Arial" w:cs="Arial" w:eastAsia="Arial" w:hAnsi="Arial"/>
          <w:b/>
          <w:bCs/>
          <w:color w:val="0F3460"/>
          <w:sz w:val="23"/>
          <w:szCs w:val="23"/>
        </w:rPr>
        <w:t xml:space="preserve">3. ELIGIBILITY, AUTHORITY, AND USER REPRESENTATIONS</w:t>
      </w:r>
    </w:p>
    <w:p>
      <w:pPr>
        <w:pStyle w:val="ListParagraph"/>
        <w:numPr>
          <w:ilvl w:val="0"/>
          <w:numId w:val="2"/>
        </w:numPr>
        <w:spacing w:after="100" w:before="80"/>
        <w:jc w:val="both"/>
      </w:pPr>
      <w:r>
        <w:rPr>
          <w:rFonts w:ascii="Arial" w:cs="Arial" w:eastAsia="Arial" w:hAnsi="Arial"/>
          <w:color w:val="1A1A2E"/>
          <w:sz w:val="20"/>
          <w:szCs w:val="20"/>
        </w:rPr>
        <w:t xml:space="preserve">The Platform is accessible exclusively to professional, institutional, or sophisticated users. By registering on the Platform, each User represents and warrants that it: (a) is not a retail consumer or private individual acting outside the course of a trade or business; (b) has sufficient knowledge, expertise, and experience to evaluate the risks associated with any Transaction; and (c) meets the eligibility criteria set out in Clause 2.4 or 2.5 above as applicable.</w:t>
      </w:r>
    </w:p>
    <w:p>
      <w:pPr>
        <w:pStyle w:val="ListParagraph"/>
        <w:numPr>
          <w:ilvl w:val="0"/>
          <w:numId w:val="2"/>
        </w:numPr>
        <w:spacing w:after="100" w:before="80"/>
        <w:jc w:val="both"/>
      </w:pPr>
      <w:r>
        <w:rPr>
          <w:rFonts w:ascii="Arial" w:cs="Arial" w:eastAsia="Arial" w:hAnsi="Arial"/>
          <w:color w:val="1A1A2E"/>
          <w:sz w:val="20"/>
          <w:szCs w:val="20"/>
        </w:rPr>
        <w:t xml:space="preserve">Each User represents, warrants, and undertakes on a continuing basis that: (a) it has full legal capacity and authority to enter into and perform its obligations under these Terms; (b) where acting on behalf of a corporate entity, it has all necessary authorisations to bind that entity; (c) its entry into and performance of these Terms does not violate any applicable law, regulation, court order, or contractual obligation; and (d) all information provided to the Platform is accurate, complete, and not misleading.</w:t>
      </w:r>
    </w:p>
    <w:p>
      <w:pPr>
        <w:pStyle w:val="ListParagraph"/>
        <w:numPr>
          <w:ilvl w:val="0"/>
          <w:numId w:val="2"/>
        </w:numPr>
        <w:spacing w:after="100" w:before="80"/>
        <w:jc w:val="both"/>
      </w:pPr>
      <w:r>
        <w:rPr>
          <w:rFonts w:ascii="Arial" w:cs="Arial" w:eastAsia="Arial" w:hAnsi="Arial"/>
          <w:color w:val="1A1A2E"/>
          <w:sz w:val="20"/>
          <w:szCs w:val="20"/>
        </w:rPr>
        <w:t xml:space="preserve">Where a User accesses the Platform using a corporate email address or domain, or where a corporate entity benefits from any Services, the corporate entity shall be deemed to have authorised such access and shall be bound by these Terms as a User, jointly and severally with any individual accessing the Platform on its behalf.</w:t>
      </w:r>
    </w:p>
    <w:p>
      <w:pPr>
        <w:pStyle w:val="ListParagraph"/>
        <w:numPr>
          <w:ilvl w:val="0"/>
          <w:numId w:val="2"/>
        </w:numPr>
        <w:spacing w:after="100" w:before="80"/>
        <w:jc w:val="both"/>
      </w:pPr>
      <w:r>
        <w:rPr>
          <w:rFonts w:ascii="Arial" w:cs="Arial" w:eastAsia="Arial" w:hAnsi="Arial"/>
          <w:color w:val="1A1A2E"/>
          <w:sz w:val="20"/>
          <w:szCs w:val="20"/>
        </w:rPr>
        <w:t xml:space="preserve">Foresight Value reserves the right to request evidence of eligibility, identity, and authority at any time. Failure to provide satisfactory evidence within five Business Days of a request shall entitle Foresight Value to suspend or terminate access without liability.</w:t>
      </w:r>
    </w:p>
    <w:p>
      <w:pPr>
        <w:pStyle w:val="ListParagraph"/>
        <w:numPr>
          <w:ilvl w:val="0"/>
          <w:numId w:val="2"/>
        </w:numPr>
        <w:spacing w:after="100" w:before="80"/>
        <w:jc w:val="both"/>
      </w:pPr>
      <w:r>
        <w:rPr>
          <w:rFonts w:ascii="Arial" w:cs="Arial" w:eastAsia="Arial" w:hAnsi="Arial"/>
          <w:color w:val="1A1A2E"/>
          <w:sz w:val="20"/>
          <w:szCs w:val="20"/>
        </w:rPr>
        <w:t xml:space="preserve">Users who are regulated entities in their home jurisdiction acknowledge that their use of the Platform is subject to their own regulatory obligations and that Foresight Value bears no responsibility for ensuring compliance with such obligations.</w:t>
      </w:r>
    </w:p>
    <w:p>
      <w:pPr>
        <w:spacing w:after="80" w:before="0"/>
      </w:pPr>
    </w:p>
    <w:p>
      <w:pPr>
        <w:spacing w:after="120" w:before="320"/>
      </w:pPr>
      <w:r>
        <w:rPr>
          <w:rFonts w:ascii="Arial" w:cs="Arial" w:eastAsia="Arial" w:hAnsi="Arial"/>
          <w:b/>
          <w:bCs/>
          <w:color w:val="0F3460"/>
          <w:sz w:val="23"/>
          <w:szCs w:val="23"/>
        </w:rPr>
        <w:t xml:space="preserve">4. NATURE AND SCOPE OF PLATFORM SERVICES</w:t>
      </w:r>
    </w:p>
    <w:p>
      <w:pPr>
        <w:pStyle w:val="ListParagraph"/>
        <w:numPr>
          <w:ilvl w:val="0"/>
          <w:numId w:val="2"/>
        </w:numPr>
        <w:spacing w:after="100" w:before="80"/>
        <w:jc w:val="both"/>
      </w:pPr>
      <w:r>
        <w:rPr>
          <w:rFonts w:ascii="Arial" w:cs="Arial" w:eastAsia="Arial" w:hAnsi="Arial"/>
          <w:color w:val="1A1A2E"/>
          <w:sz w:val="20"/>
          <w:szCs w:val="20"/>
        </w:rPr>
        <w:t xml:space="preserve">Foresight Value provides the Platform as an enabling infrastructure that: (a) hosts information submitted by Users; (b) provides proprietary geopolitical screening and deal intelligence tools, including the DGSM framework; (c) enables Users to identify, filter, and interact with other Users; and (d) facilitates the exchange of information between Users for the purpose of evaluating potential Transactions.</w:t>
      </w:r>
    </w:p>
    <w:p>
      <w:pPr>
        <w:pStyle w:val="ListParagraph"/>
        <w:numPr>
          <w:ilvl w:val="0"/>
          <w:numId w:val="2"/>
        </w:numPr>
        <w:spacing w:after="100" w:before="80"/>
        <w:jc w:val="both"/>
      </w:pPr>
      <w:r>
        <w:rPr>
          <w:rFonts w:ascii="Arial" w:cs="Arial" w:eastAsia="Arial" w:hAnsi="Arial"/>
          <w:color w:val="1A1A2E"/>
          <w:sz w:val="20"/>
          <w:szCs w:val="20"/>
        </w:rPr>
        <w:t xml:space="preserve">Foresight Value does not: (a) verify, audit, or warrant the accuracy, completeness, or fitness for purpose of any information submitted by Users; (b) conduct due diligence on behalf of any User; (c) endorse, recommend, or approve any Transaction or counterparty; or (d) guarantee that any interaction on the Platform will result in a Transaction.</w:t>
      </w:r>
    </w:p>
    <w:p>
      <w:pPr>
        <w:pStyle w:val="ListParagraph"/>
        <w:numPr>
          <w:ilvl w:val="0"/>
          <w:numId w:val="2"/>
        </w:numPr>
        <w:spacing w:after="100" w:before="80"/>
        <w:jc w:val="both"/>
      </w:pPr>
      <w:r>
        <w:rPr>
          <w:rFonts w:ascii="Arial" w:cs="Arial" w:eastAsia="Arial" w:hAnsi="Arial"/>
          <w:color w:val="1A1A2E"/>
          <w:sz w:val="20"/>
          <w:szCs w:val="20"/>
        </w:rPr>
        <w:t xml:space="preserve">DGSM assessments, intelligence briefings, and other analytical outputs produced by Foresight Value constitute information products only. They do not constitute investment advice, legal advice, regulatory advice, or any form of professional advice. Users should obtain independent professional advice before entering into any Transaction.</w:t>
      </w:r>
    </w:p>
    <w:p>
      <w:pPr>
        <w:pStyle w:val="ListParagraph"/>
        <w:numPr>
          <w:ilvl w:val="0"/>
          <w:numId w:val="2"/>
        </w:numPr>
        <w:spacing w:after="100" w:before="80"/>
        <w:jc w:val="both"/>
      </w:pPr>
      <w:r>
        <w:rPr>
          <w:rFonts w:ascii="Arial" w:cs="Arial" w:eastAsia="Arial" w:hAnsi="Arial"/>
          <w:color w:val="1A1A2E"/>
          <w:sz w:val="20"/>
          <w:szCs w:val="20"/>
        </w:rPr>
        <w:t xml:space="preserve">Foresight Value may modify, suspend, or discontinue any aspect of the Platform at any time and for any reason without prior notice, subject to reasonable efforts to minimise disruption to Users.</w:t>
      </w:r>
    </w:p>
    <w:p>
      <w:pPr>
        <w:spacing w:after="80" w:before="0"/>
      </w:pPr>
    </w:p>
    <w:p>
      <w:pPr>
        <w:spacing w:after="120" w:before="320"/>
      </w:pPr>
      <w:r>
        <w:rPr>
          <w:rFonts w:ascii="Arial" w:cs="Arial" w:eastAsia="Arial" w:hAnsi="Arial"/>
          <w:b/>
          <w:bCs/>
          <w:color w:val="0F3460"/>
          <w:sz w:val="23"/>
          <w:szCs w:val="23"/>
        </w:rPr>
        <w:t xml:space="preserve">5. ACCESS, SUSPENSION, AND REMOVAL</w:t>
      </w:r>
    </w:p>
    <w:p>
      <w:pPr>
        <w:pStyle w:val="ListParagraph"/>
        <w:numPr>
          <w:ilvl w:val="0"/>
          <w:numId w:val="2"/>
        </w:numPr>
        <w:spacing w:after="100" w:before="80"/>
        <w:jc w:val="both"/>
      </w:pPr>
      <w:r>
        <w:rPr>
          <w:rFonts w:ascii="Arial" w:cs="Arial" w:eastAsia="Arial" w:hAnsi="Arial"/>
          <w:color w:val="1A1A2E"/>
          <w:sz w:val="20"/>
          <w:szCs w:val="20"/>
        </w:rPr>
        <w:t xml:space="preserve">Foresight Value reserves the absolute and unconditional right to suspend, restrict, or permanently terminate any User's access to the Platform at any time, for any reason or for no reason, without prior notice and without liability to the User.</w:t>
      </w:r>
    </w:p>
    <w:p>
      <w:pPr>
        <w:pStyle w:val="ListParagraph"/>
        <w:numPr>
          <w:ilvl w:val="0"/>
          <w:numId w:val="2"/>
        </w:numPr>
        <w:spacing w:after="100" w:before="80"/>
        <w:jc w:val="both"/>
      </w:pPr>
      <w:r>
        <w:rPr>
          <w:rFonts w:ascii="Arial" w:cs="Arial" w:eastAsia="Arial" w:hAnsi="Arial"/>
          <w:color w:val="1A1A2E"/>
          <w:sz w:val="20"/>
          <w:szCs w:val="20"/>
        </w:rPr>
        <w:t xml:space="preserve">Without limiting Clause 5.1, Foresight Value may suspend or terminate access where it reasonably considers that: (a) the User has breached any provision of these Terms; (b) the User's continued presence on the Platform is contrary to applicable law or regulation; (c) the User has provided false, misleading, or incomplete information; or (d) the User's conduct is likely to harm the reputation, commercial interests, or legal position of Foresight Value or other Users.</w:t>
      </w:r>
    </w:p>
    <w:p>
      <w:pPr>
        <w:pStyle w:val="ListParagraph"/>
        <w:numPr>
          <w:ilvl w:val="0"/>
          <w:numId w:val="2"/>
        </w:numPr>
        <w:spacing w:after="100" w:before="80"/>
        <w:jc w:val="both"/>
      </w:pPr>
      <w:r>
        <w:rPr>
          <w:rFonts w:ascii="Arial" w:cs="Arial" w:eastAsia="Arial" w:hAnsi="Arial"/>
          <w:color w:val="1A1A2E"/>
          <w:sz w:val="20"/>
          <w:szCs w:val="20"/>
        </w:rPr>
        <w:t xml:space="preserve">Any suspension or termination of access shall not affect any rights accrued prior to such suspension or termination, including without limitation any Success Fee obligation arising from interactions that occurred prior to removal.</w:t>
      </w:r>
    </w:p>
    <w:p>
      <w:pPr>
        <w:pStyle w:val="ListParagraph"/>
        <w:numPr>
          <w:ilvl w:val="0"/>
          <w:numId w:val="2"/>
        </w:numPr>
        <w:spacing w:after="100" w:before="80"/>
        <w:jc w:val="both"/>
      </w:pPr>
      <w:r>
        <w:rPr>
          <w:rFonts w:ascii="Arial" w:cs="Arial" w:eastAsia="Arial" w:hAnsi="Arial"/>
          <w:color w:val="1A1A2E"/>
          <w:sz w:val="20"/>
          <w:szCs w:val="20"/>
        </w:rPr>
        <w:t xml:space="preserve">Users may not transfer, sublicense, or share their Platform access credentials. Each registration is personal to the User. Where a User is a corporate entity, access may be extended to authorised personnel of that entity, subject to each such individual being bound by these Terms.</w:t>
      </w:r>
    </w:p>
    <w:p>
      <w:pPr>
        <w:spacing w:after="80" w:before="0"/>
      </w:pPr>
    </w:p>
    <w:p>
      <w:pPr>
        <w:spacing w:after="120" w:before="320"/>
      </w:pPr>
      <w:r>
        <w:rPr>
          <w:rFonts w:ascii="Arial" w:cs="Arial" w:eastAsia="Arial" w:hAnsi="Arial"/>
          <w:b/>
          <w:bCs/>
          <w:color w:val="0F3460"/>
          <w:sz w:val="23"/>
          <w:szCs w:val="23"/>
        </w:rPr>
        <w:t xml:space="preserve">6. NON-EXCLUSIVITY</w:t>
      </w:r>
    </w:p>
    <w:p>
      <w:pPr>
        <w:pStyle w:val="ListParagraph"/>
        <w:numPr>
          <w:ilvl w:val="0"/>
          <w:numId w:val="2"/>
        </w:numPr>
        <w:spacing w:after="100" w:before="80"/>
        <w:jc w:val="both"/>
      </w:pPr>
      <w:r>
        <w:rPr>
          <w:rFonts w:ascii="Arial" w:cs="Arial" w:eastAsia="Arial" w:hAnsi="Arial"/>
          <w:color w:val="1A1A2E"/>
          <w:sz w:val="20"/>
          <w:szCs w:val="20"/>
        </w:rPr>
        <w:t xml:space="preserve">These Terms do not create an exclusive relationship between Foresight Value and any User. Users remain free to identify, negotiate, and conclude Transactions through any other means or platform.</w:t>
      </w:r>
    </w:p>
    <w:p>
      <w:pPr>
        <w:pStyle w:val="ListParagraph"/>
        <w:numPr>
          <w:ilvl w:val="0"/>
          <w:numId w:val="2"/>
        </w:numPr>
        <w:spacing w:after="100" w:before="80"/>
        <w:jc w:val="both"/>
      </w:pPr>
      <w:r>
        <w:rPr>
          <w:rFonts w:ascii="Arial" w:cs="Arial" w:eastAsia="Arial" w:hAnsi="Arial"/>
          <w:color w:val="1A1A2E"/>
          <w:sz w:val="20"/>
          <w:szCs w:val="20"/>
        </w:rPr>
        <w:t xml:space="preserve">Notwithstanding Clause 6.1, where a Transaction constitutes a Facilitated Transaction as defined in Clause 1, the Success Fee shall be payable to Foresight Value regardless of: (a) where or how the Transaction is ultimately concluded; (b) whether the parties used any other platform, intermediary, or channel in connection with the Transaction; (c) whether the parties ceased to use the Platform prior to completion; or (d) the extent to which the Platform was the proximate cause of the Transaction.</w:t>
      </w:r>
    </w:p>
    <w:p>
      <w:pPr>
        <w:spacing w:after="80" w:before="0"/>
      </w:pPr>
    </w:p>
    <w:p>
      <w:pPr>
        <w:spacing w:after="120" w:before="320"/>
      </w:pPr>
      <w:r>
        <w:rPr>
          <w:rFonts w:ascii="Arial" w:cs="Arial" w:eastAsia="Arial" w:hAnsi="Arial"/>
          <w:b/>
          <w:bCs/>
          <w:color w:val="0F3460"/>
          <w:sz w:val="23"/>
          <w:szCs w:val="23"/>
        </w:rPr>
        <w:t xml:space="preserve">7. CONFIDENTIALITY AND USE OF INFORMATION</w:t>
      </w:r>
    </w:p>
    <w:p>
      <w:pPr>
        <w:pStyle w:val="ListParagraph"/>
        <w:numPr>
          <w:ilvl w:val="0"/>
          <w:numId w:val="2"/>
        </w:numPr>
        <w:spacing w:after="100" w:before="80"/>
        <w:jc w:val="both"/>
      </w:pPr>
      <w:r>
        <w:rPr>
          <w:rFonts w:ascii="Arial" w:cs="Arial" w:eastAsia="Arial" w:hAnsi="Arial"/>
          <w:color w:val="1A1A2E"/>
          <w:sz w:val="20"/>
          <w:szCs w:val="20"/>
        </w:rPr>
        <w:t xml:space="preserve">Each User undertakes to: (a) hold all Confidential Information received from other Users in strict confidence; (b) use Confidential Information solely for the purpose of evaluating a potential Transaction with the disclosing User; (c) not disclose Confidential Information to any third party without the prior written consent of the disclosing User; and (d) implement reasonable security measures to protect Confidential Information from unauthorised access or disclosure.</w:t>
      </w:r>
    </w:p>
    <w:p>
      <w:pPr>
        <w:pStyle w:val="ListParagraph"/>
        <w:numPr>
          <w:ilvl w:val="0"/>
          <w:numId w:val="2"/>
        </w:numPr>
        <w:spacing w:after="100" w:before="80"/>
        <w:jc w:val="both"/>
      </w:pPr>
      <w:r>
        <w:rPr>
          <w:rFonts w:ascii="Arial" w:cs="Arial" w:eastAsia="Arial" w:hAnsi="Arial"/>
          <w:color w:val="1A1A2E"/>
          <w:sz w:val="20"/>
          <w:szCs w:val="20"/>
        </w:rPr>
        <w:t xml:space="preserve">The confidentiality obligations in Clause 7.1 shall not apply to information that: (a) is or becomes publicly available through no breach of these Terms; (b) was lawfully known to the receiving party prior to disclosure; (c) is independently developed by the receiving party without reference to the Confidential Information; or (d) is required to be disclosed by applicable law or regulatory requirement, provided that the disclosing party is given reasonable prior written notice where legally permissible.</w:t>
      </w:r>
    </w:p>
    <w:p>
      <w:pPr>
        <w:pStyle w:val="ListParagraph"/>
        <w:numPr>
          <w:ilvl w:val="0"/>
          <w:numId w:val="2"/>
        </w:numPr>
        <w:spacing w:after="100" w:before="80"/>
        <w:jc w:val="both"/>
      </w:pPr>
      <w:r>
        <w:rPr>
          <w:rFonts w:ascii="Arial" w:cs="Arial" w:eastAsia="Arial" w:hAnsi="Arial"/>
          <w:color w:val="1A1A2E"/>
          <w:sz w:val="20"/>
          <w:szCs w:val="20"/>
        </w:rPr>
        <w:t xml:space="preserve">Foresight Value shall not be liable for any misuse of Confidential Information by one User against another. Each User's recourse in respect of such misuse lies against the disclosing User and not against Foresight Value.</w:t>
      </w:r>
    </w:p>
    <w:p>
      <w:pPr>
        <w:pStyle w:val="ListParagraph"/>
        <w:numPr>
          <w:ilvl w:val="0"/>
          <w:numId w:val="2"/>
        </w:numPr>
        <w:spacing w:after="100" w:before="80"/>
        <w:jc w:val="both"/>
      </w:pPr>
      <w:r>
        <w:rPr>
          <w:rFonts w:ascii="Arial" w:cs="Arial" w:eastAsia="Arial" w:hAnsi="Arial"/>
          <w:color w:val="1A1A2E"/>
          <w:sz w:val="20"/>
          <w:szCs w:val="20"/>
        </w:rPr>
        <w:t xml:space="preserve">Foresight Value may use aggregated, anonymised data derived from Platform activity for the purposes of improving the Platform, developing intelligence products, and training analytical models. Such use shall not identify individual Users or Transactions.</w:t>
      </w:r>
    </w:p>
    <w:p>
      <w:pPr>
        <w:spacing w:after="80" w:before="0"/>
      </w:pPr>
    </w:p>
    <w:p>
      <w:pPr>
        <w:spacing w:after="120" w:before="320"/>
      </w:pPr>
      <w:r>
        <w:rPr>
          <w:rFonts w:ascii="Arial" w:cs="Arial" w:eastAsia="Arial" w:hAnsi="Arial"/>
          <w:b/>
          <w:bCs/>
          <w:color w:val="0F3460"/>
          <w:sz w:val="23"/>
          <w:szCs w:val="23"/>
        </w:rPr>
        <w:t xml:space="preserve">8. SUBSCRIPTION FEES (INVESTORS AND ADVISORS)</w:t>
      </w:r>
    </w:p>
    <w:p>
      <w:pPr>
        <w:pStyle w:val="ListParagraph"/>
        <w:numPr>
          <w:ilvl w:val="0"/>
          <w:numId w:val="2"/>
        </w:numPr>
        <w:spacing w:after="100" w:before="80"/>
        <w:jc w:val="both"/>
      </w:pPr>
      <w:r>
        <w:rPr>
          <w:rFonts w:ascii="Arial" w:cs="Arial" w:eastAsia="Arial" w:hAnsi="Arial"/>
          <w:color w:val="1A1A2E"/>
          <w:sz w:val="20"/>
          <w:szCs w:val="20"/>
        </w:rPr>
        <w:t xml:space="preserve">Investors and Advisors shall pay such subscription fees as are set out in their onboarding confirmation or as notified by Foresight Value from time to time. Subscription fees may be set at zero during promotional periods.</w:t>
      </w:r>
    </w:p>
    <w:p>
      <w:pPr>
        <w:pStyle w:val="ListParagraph"/>
        <w:numPr>
          <w:ilvl w:val="0"/>
          <w:numId w:val="2"/>
        </w:numPr>
        <w:spacing w:after="100" w:before="80"/>
        <w:jc w:val="both"/>
      </w:pPr>
      <w:r>
        <w:rPr>
          <w:rFonts w:ascii="Arial" w:cs="Arial" w:eastAsia="Arial" w:hAnsi="Arial"/>
          <w:color w:val="1A1A2E"/>
          <w:sz w:val="20"/>
          <w:szCs w:val="20"/>
        </w:rPr>
        <w:t xml:space="preserve">Foresight Value may amend subscription fees on not less than thirty (30) days' written notice to the relevant User. Continued use of the Platform following such notice shall constitute acceptance of the revised fees. Where a User does not accept revised fees, it may withdraw from the Platform in accordance with Clause 18, provided that withdrawal does not affect any accrued obligations.</w:t>
      </w:r>
    </w:p>
    <w:p>
      <w:pPr>
        <w:pStyle w:val="ListParagraph"/>
        <w:numPr>
          <w:ilvl w:val="0"/>
          <w:numId w:val="2"/>
        </w:numPr>
        <w:spacing w:after="100" w:before="80"/>
        <w:jc w:val="both"/>
      </w:pPr>
      <w:r>
        <w:rPr>
          <w:rFonts w:ascii="Arial" w:cs="Arial" w:eastAsia="Arial" w:hAnsi="Arial"/>
          <w:color w:val="1A1A2E"/>
          <w:sz w:val="20"/>
          <w:szCs w:val="20"/>
        </w:rPr>
        <w:t xml:space="preserve">Subscription fees are non-refundable save where required by applicable law.</w:t>
      </w:r>
    </w:p>
    <w:p>
      <w:pPr>
        <w:pStyle w:val="ListParagraph"/>
        <w:numPr>
          <w:ilvl w:val="0"/>
          <w:numId w:val="2"/>
        </w:numPr>
        <w:spacing w:after="100" w:before="80"/>
        <w:jc w:val="both"/>
      </w:pPr>
      <w:r>
        <w:rPr>
          <w:rFonts w:ascii="Arial" w:cs="Arial" w:eastAsia="Arial" w:hAnsi="Arial"/>
          <w:color w:val="1A1A2E"/>
          <w:sz w:val="20"/>
          <w:szCs w:val="20"/>
        </w:rPr>
        <w:t xml:space="preserve">Subscription fees payable by Investors and Advisors are separate from, and shall not be offset against, any Success Fee payable by a Startup.</w:t>
      </w:r>
    </w:p>
    <w:p>
      <w:pPr>
        <w:spacing w:after="80" w:before="0"/>
      </w:pPr>
    </w:p>
    <w:p>
      <w:pPr>
        <w:spacing w:after="120" w:before="320"/>
      </w:pPr>
      <w:r>
        <w:rPr>
          <w:rFonts w:ascii="Arial" w:cs="Arial" w:eastAsia="Arial" w:hAnsi="Arial"/>
          <w:b/>
          <w:bCs/>
          <w:color w:val="0F3460"/>
          <w:sz w:val="23"/>
          <w:szCs w:val="23"/>
        </w:rPr>
        <w:t xml:space="preserve">9. STARTUP PLATFORM ACCESS AND FEE CONDITIONS</w:t>
      </w:r>
    </w:p>
    <w:p>
      <w:pPr>
        <w:pStyle w:val="ListParagraph"/>
        <w:numPr>
          <w:ilvl w:val="0"/>
          <w:numId w:val="2"/>
        </w:numPr>
        <w:spacing w:after="100" w:before="80"/>
        <w:jc w:val="both"/>
      </w:pPr>
      <w:r>
        <w:rPr>
          <w:rFonts w:ascii="Arial" w:cs="Arial" w:eastAsia="Arial" w:hAnsi="Arial"/>
          <w:color w:val="1A1A2E"/>
          <w:sz w:val="20"/>
          <w:szCs w:val="20"/>
        </w:rPr>
        <w:t xml:space="preserve">As a condition of listing on the Platform and accessing the investor network, each Startup agrees to be bound by the Success Fee provisions set out in Part B of these Terms and Schedule 1.</w:t>
      </w:r>
    </w:p>
    <w:p>
      <w:pPr>
        <w:pStyle w:val="ListParagraph"/>
        <w:numPr>
          <w:ilvl w:val="0"/>
          <w:numId w:val="2"/>
        </w:numPr>
        <w:spacing w:after="100" w:before="80"/>
        <w:jc w:val="both"/>
      </w:pPr>
      <w:r>
        <w:rPr>
          <w:rFonts w:ascii="Arial" w:cs="Arial" w:eastAsia="Arial" w:hAnsi="Arial"/>
          <w:color w:val="1A1A2E"/>
          <w:sz w:val="20"/>
          <w:szCs w:val="20"/>
        </w:rPr>
        <w:t xml:space="preserve">A Startup's registration shall not be activated until it has: (a) completed the onboarding disclosure form in accordance with Part B; (b) received an Onboarding Confirmation from Foresight Value; and (c) countersigned and returned the Onboarding Confirmation within the period specified therein.</w:t>
      </w:r>
    </w:p>
    <w:p>
      <w:pPr>
        <w:pStyle w:val="ListParagraph"/>
        <w:numPr>
          <w:ilvl w:val="0"/>
          <w:numId w:val="2"/>
        </w:numPr>
        <w:spacing w:after="100" w:before="80"/>
        <w:jc w:val="both"/>
      </w:pPr>
      <w:r>
        <w:rPr>
          <w:rFonts w:ascii="Arial" w:cs="Arial" w:eastAsia="Arial" w:hAnsi="Arial"/>
          <w:color w:val="1A1A2E"/>
          <w:sz w:val="20"/>
          <w:szCs w:val="20"/>
        </w:rPr>
        <w:t xml:space="preserve">A Startup that does not countersign and return the Onboarding Confirmation within the specified period shall not be granted Platform access. Foresight Value shall incur no liability in such circumstances.</w:t>
      </w:r>
    </w:p>
    <w:p>
      <w:pPr>
        <w:spacing w:after="80" w:before="0"/>
      </w:pPr>
    </w:p>
    <w:p>
      <w:pPr>
        <w:spacing w:after="120" w:before="320"/>
      </w:pPr>
      <w:r>
        <w:rPr>
          <w:rFonts w:ascii="Arial" w:cs="Arial" w:eastAsia="Arial" w:hAnsi="Arial"/>
          <w:b/>
          <w:bCs/>
          <w:color w:val="0F3460"/>
          <w:sz w:val="23"/>
          <w:szCs w:val="23"/>
        </w:rPr>
        <w:t xml:space="preserve">10. SUCCESS FEE — GENERAL PROVISIONS</w:t>
      </w:r>
    </w:p>
    <w:p>
      <w:pPr>
        <w:pStyle w:val="ListParagraph"/>
        <w:numPr>
          <w:ilvl w:val="0"/>
          <w:numId w:val="2"/>
        </w:numPr>
        <w:spacing w:after="100" w:before="80"/>
        <w:jc w:val="both"/>
      </w:pPr>
      <w:r>
        <w:rPr>
          <w:rFonts w:ascii="Arial" w:cs="Arial" w:eastAsia="Arial" w:hAnsi="Arial"/>
          <w:color w:val="1A1A2E"/>
          <w:sz w:val="20"/>
          <w:szCs w:val="20"/>
        </w:rPr>
        <w:t xml:space="preserve">A Success Fee is payable by the Startup to Foresight Value upon the completion of any Facilitated Transaction, in accordance with the detailed provisions set out in Part B and Schedule 1.</w:t>
      </w:r>
    </w:p>
    <w:p>
      <w:pPr>
        <w:pStyle w:val="ListParagraph"/>
        <w:numPr>
          <w:ilvl w:val="0"/>
          <w:numId w:val="2"/>
        </w:numPr>
        <w:spacing w:after="100" w:before="80"/>
        <w:jc w:val="both"/>
      </w:pPr>
      <w:r>
        <w:rPr>
          <w:rFonts w:ascii="Arial" w:cs="Arial" w:eastAsia="Arial" w:hAnsi="Arial"/>
          <w:color w:val="1A1A2E"/>
          <w:sz w:val="20"/>
          <w:szCs w:val="20"/>
        </w:rPr>
        <w:t xml:space="preserve">The Success Fee obligation: (a) arises at the point of interaction or identification through the Platform; (b) crystallises upon completion of the Facilitated Transaction; and (c) survives the termination or expiry of Platform access for the duration of the Tail Period as defined in Part B.</w:t>
      </w:r>
    </w:p>
    <w:p>
      <w:pPr>
        <w:pStyle w:val="ListParagraph"/>
        <w:numPr>
          <w:ilvl w:val="0"/>
          <w:numId w:val="2"/>
        </w:numPr>
        <w:spacing w:after="100" w:before="80"/>
        <w:jc w:val="both"/>
      </w:pPr>
      <w:r>
        <w:rPr>
          <w:rFonts w:ascii="Arial" w:cs="Arial" w:eastAsia="Arial" w:hAnsi="Arial"/>
          <w:color w:val="1A1A2E"/>
          <w:sz w:val="20"/>
          <w:szCs w:val="20"/>
        </w:rPr>
        <w:t xml:space="preserve">For the purpose of these Terms, a Transaction shall be deemed complete upon: (a) execution of binding legal documentation; (b) satisfaction or waiver of all conditions precedent; and (c) transfer or allocation of any consideration or equity, whichever occurs first.</w:t>
      </w:r>
    </w:p>
    <w:p>
      <w:pPr>
        <w:spacing w:after="80" w:before="0"/>
      </w:pPr>
    </w:p>
    <w:p>
      <w:pPr>
        <w:spacing w:after="120" w:before="320"/>
      </w:pPr>
      <w:r>
        <w:rPr>
          <w:rFonts w:ascii="Arial" w:cs="Arial" w:eastAsia="Arial" w:hAnsi="Arial"/>
          <w:b/>
          <w:bCs/>
          <w:color w:val="0F3460"/>
          <w:sz w:val="23"/>
          <w:szCs w:val="23"/>
        </w:rPr>
        <w:t xml:space="preserve">11. PAYMENT MECHANICS AND INVESTOR FACILITATION</w:t>
      </w:r>
    </w:p>
    <w:p>
      <w:pPr>
        <w:pStyle w:val="ListParagraph"/>
        <w:numPr>
          <w:ilvl w:val="0"/>
          <w:numId w:val="2"/>
        </w:numPr>
        <w:spacing w:after="100" w:before="80"/>
        <w:jc w:val="both"/>
      </w:pPr>
      <w:r>
        <w:rPr>
          <w:rFonts w:ascii="Arial" w:cs="Arial" w:eastAsia="Arial" w:hAnsi="Arial"/>
          <w:color w:val="1A1A2E"/>
          <w:sz w:val="20"/>
          <w:szCs w:val="20"/>
        </w:rPr>
        <w:t xml:space="preserve">The Startup is and remains primarily liable for the payment of all Success Fees. The obligations of an Investor or Advisor under this Clause 11 are administrative only and do not create any agency or brokerage relationship.</w:t>
      </w:r>
    </w:p>
    <w:p>
      <w:pPr>
        <w:pStyle w:val="ListParagraph"/>
        <w:numPr>
          <w:ilvl w:val="0"/>
          <w:numId w:val="2"/>
        </w:numPr>
        <w:spacing w:after="100" w:before="80"/>
        <w:jc w:val="both"/>
      </w:pPr>
      <w:r>
        <w:rPr>
          <w:rFonts w:ascii="Arial" w:cs="Arial" w:eastAsia="Arial" w:hAnsi="Arial"/>
          <w:color w:val="1A1A2E"/>
          <w:sz w:val="20"/>
          <w:szCs w:val="20"/>
        </w:rPr>
        <w:t xml:space="preserve">Upon written request from Foresight Value, an Investor may, but is not obliged to: (a) deduct the applicable Success Fee from any amount payable to the Startup in connection with the Facilitated Transaction; and (b) remit such amount directly to Foresight Value. Any such action by an Investor shall constitute valid discharge of the corresponding portion of the Investor's payment obligation to the Startup.</w:t>
      </w:r>
    </w:p>
    <w:p>
      <w:pPr>
        <w:pStyle w:val="ListParagraph"/>
        <w:numPr>
          <w:ilvl w:val="0"/>
          <w:numId w:val="2"/>
        </w:numPr>
        <w:spacing w:after="100" w:before="80"/>
        <w:jc w:val="both"/>
      </w:pPr>
      <w:r>
        <w:rPr>
          <w:rFonts w:ascii="Arial" w:cs="Arial" w:eastAsia="Arial" w:hAnsi="Arial"/>
          <w:color w:val="1A1A2E"/>
          <w:sz w:val="20"/>
          <w:szCs w:val="20"/>
        </w:rPr>
        <w:t xml:space="preserve">Nothing in Clause 11.2 shall be construed as: (a) making the Investor a party to the Success Fee obligation; (b) creating any liability in the Investor for unpaid Success Fees; or (c) constituting the arrangement of a Transaction or any other regulated activity by Foresight Value.</w:t>
      </w:r>
    </w:p>
    <w:p>
      <w:pPr>
        <w:pStyle w:val="ListParagraph"/>
        <w:numPr>
          <w:ilvl w:val="0"/>
          <w:numId w:val="2"/>
        </w:numPr>
        <w:spacing w:after="100" w:before="80"/>
        <w:jc w:val="both"/>
      </w:pPr>
      <w:r>
        <w:rPr>
          <w:rFonts w:ascii="Arial" w:cs="Arial" w:eastAsia="Arial" w:hAnsi="Arial"/>
          <w:color w:val="1A1A2E"/>
          <w:sz w:val="20"/>
          <w:szCs w:val="20"/>
        </w:rPr>
        <w:t xml:space="preserve">All payments shall be made in pounds sterling (GBP) unless otherwise agreed in writing. Where consideration in a Facilitated Transaction is denominated in a currency other than GBP, the Success Fee shall be calculated by reference to the GBP equivalent at the rate published by the Bank of England on the date of completion.</w:t>
      </w:r>
    </w:p>
    <w:p>
      <w:pPr>
        <w:spacing w:after="80" w:before="0"/>
      </w:pPr>
    </w:p>
    <w:p>
      <w:pPr>
        <w:spacing w:after="120" w:before="320"/>
      </w:pPr>
      <w:r>
        <w:rPr>
          <w:rFonts w:ascii="Arial" w:cs="Arial" w:eastAsia="Arial" w:hAnsi="Arial"/>
          <w:b/>
          <w:bCs/>
          <w:color w:val="0F3460"/>
          <w:sz w:val="23"/>
          <w:szCs w:val="23"/>
        </w:rPr>
        <w:t xml:space="preserve">12. ADVISORS</w:t>
      </w:r>
    </w:p>
    <w:p>
      <w:pPr>
        <w:pStyle w:val="ListParagraph"/>
        <w:numPr>
          <w:ilvl w:val="0"/>
          <w:numId w:val="2"/>
        </w:numPr>
        <w:spacing w:after="100" w:before="80"/>
        <w:jc w:val="both"/>
      </w:pPr>
      <w:r>
        <w:rPr>
          <w:rFonts w:ascii="Arial" w:cs="Arial" w:eastAsia="Arial" w:hAnsi="Arial"/>
          <w:color w:val="1A1A2E"/>
          <w:sz w:val="20"/>
          <w:szCs w:val="20"/>
        </w:rPr>
        <w:t xml:space="preserve">Advisors access the Platform in an independent capacity and do not act as agents of Foresight Value. Nothing in these Terms shall be construed as creating an agency, partnership, joint venture, or employment relationship between Foresight Value and any Advisor.</w:t>
      </w:r>
    </w:p>
    <w:p>
      <w:pPr>
        <w:pStyle w:val="ListParagraph"/>
        <w:numPr>
          <w:ilvl w:val="0"/>
          <w:numId w:val="2"/>
        </w:numPr>
        <w:spacing w:after="100" w:before="80"/>
        <w:jc w:val="both"/>
      </w:pPr>
      <w:r>
        <w:rPr>
          <w:rFonts w:ascii="Arial" w:cs="Arial" w:eastAsia="Arial" w:hAnsi="Arial"/>
          <w:color w:val="1A1A2E"/>
          <w:sz w:val="20"/>
          <w:szCs w:val="20"/>
        </w:rPr>
        <w:t xml:space="preserve">Advisors have no authority to: (a) make representations or give warranties on behalf of Foresight Value; (b) bind Foresight Value to any agreement or obligation; or (c) waive, modify, or vary any provision of these Terms.</w:t>
      </w:r>
    </w:p>
    <w:p>
      <w:pPr>
        <w:pStyle w:val="ListParagraph"/>
        <w:numPr>
          <w:ilvl w:val="0"/>
          <w:numId w:val="2"/>
        </w:numPr>
        <w:spacing w:after="100" w:before="80"/>
        <w:jc w:val="both"/>
      </w:pPr>
      <w:r>
        <w:rPr>
          <w:rFonts w:ascii="Arial" w:cs="Arial" w:eastAsia="Arial" w:hAnsi="Arial"/>
          <w:color w:val="1A1A2E"/>
          <w:sz w:val="20"/>
          <w:szCs w:val="20"/>
        </w:rPr>
        <w:t xml:space="preserve">Advisors who introduce Startups to the Platform acknowledge that the Success Fee is payable to Foresight Value and not to the Advisor. Any separate arrangement between an Advisor and a Startup regarding advisory fees is entirely outside the scope of these Terms.</w:t>
      </w:r>
    </w:p>
    <w:p>
      <w:pPr>
        <w:spacing w:after="80" w:before="0"/>
      </w:pPr>
    </w:p>
    <w:p>
      <w:pPr>
        <w:spacing w:after="120" w:before="320"/>
      </w:pPr>
      <w:r>
        <w:rPr>
          <w:rFonts w:ascii="Arial" w:cs="Arial" w:eastAsia="Arial" w:hAnsi="Arial"/>
          <w:b/>
          <w:bCs/>
          <w:color w:val="0F3460"/>
          <w:sz w:val="23"/>
          <w:szCs w:val="23"/>
        </w:rPr>
        <w:t xml:space="preserve">13. LIABILITY AND EXCLUSIONS</w:t>
      </w:r>
    </w:p>
    <w:p>
      <w:pPr>
        <w:pStyle w:val="ListParagraph"/>
        <w:numPr>
          <w:ilvl w:val="0"/>
          <w:numId w:val="2"/>
        </w:numPr>
        <w:spacing w:after="100" w:before="80"/>
        <w:jc w:val="both"/>
      </w:pPr>
      <w:r>
        <w:rPr>
          <w:rFonts w:ascii="Arial" w:cs="Arial" w:eastAsia="Arial" w:hAnsi="Arial"/>
          <w:color w:val="1A1A2E"/>
          <w:sz w:val="20"/>
          <w:szCs w:val="20"/>
        </w:rPr>
        <w:t xml:space="preserve">To the fullest extent permitted by applicable law, Foresight Value excludes all liability for: (a) any indirect, consequential, special, or punitive loss or damage; (b) loss of profit, revenue, business, opportunity, goodwill, or data; (c) any loss arising from the accuracy, completeness, or fitness for purpose of information provided by Users; (d) any loss arising from a User's reliance on DGSM assessments, intelligence briefings, or other Platform outputs; and (e) any loss arising from the failure of a Transaction to complete.</w:t>
      </w:r>
    </w:p>
    <w:p>
      <w:pPr>
        <w:pStyle w:val="ListParagraph"/>
        <w:numPr>
          <w:ilvl w:val="0"/>
          <w:numId w:val="2"/>
        </w:numPr>
        <w:spacing w:after="100" w:before="80"/>
        <w:jc w:val="both"/>
      </w:pPr>
      <w:r>
        <w:rPr>
          <w:rFonts w:ascii="Arial" w:cs="Arial" w:eastAsia="Arial" w:hAnsi="Arial"/>
          <w:color w:val="1A1A2E"/>
          <w:sz w:val="20"/>
          <w:szCs w:val="20"/>
        </w:rPr>
        <w:t xml:space="preserve">Foresight Value's total aggregate liability to any User in connection with these Terms, the Platform, and the Services shall not exceed the greater of: (a) one thousand pounds sterling (£1,000); or (b) the total fees paid by the User to Foresight Value in the twelve (12) months immediately preceding the event giving rise to the claim.</w:t>
      </w:r>
    </w:p>
    <w:p>
      <w:pPr>
        <w:pStyle w:val="ListParagraph"/>
        <w:numPr>
          <w:ilvl w:val="0"/>
          <w:numId w:val="2"/>
        </w:numPr>
        <w:spacing w:after="100" w:before="80"/>
        <w:jc w:val="both"/>
      </w:pPr>
      <w:r>
        <w:rPr>
          <w:rFonts w:ascii="Arial" w:cs="Arial" w:eastAsia="Arial" w:hAnsi="Arial"/>
          <w:color w:val="1A1A2E"/>
          <w:sz w:val="20"/>
          <w:szCs w:val="20"/>
        </w:rPr>
        <w:t xml:space="preserve">Nothing in these Terms shall exclude or limit liability for: (a) death or personal injury caused by negligence; (b) fraud or fraudulent misrepresentation; or (c) any other liability that cannot be excluded or limited under applicable law.</w:t>
      </w:r>
    </w:p>
    <w:p>
      <w:pPr>
        <w:pStyle w:val="ListParagraph"/>
        <w:numPr>
          <w:ilvl w:val="0"/>
          <w:numId w:val="2"/>
        </w:numPr>
        <w:spacing w:after="100" w:before="80"/>
        <w:jc w:val="both"/>
      </w:pPr>
      <w:r>
        <w:rPr>
          <w:rFonts w:ascii="Arial" w:cs="Arial" w:eastAsia="Arial" w:hAnsi="Arial"/>
          <w:color w:val="1A1A2E"/>
          <w:sz w:val="20"/>
          <w:szCs w:val="20"/>
        </w:rPr>
        <w:t xml:space="preserve">Each User acknowledges that the limitations and exclusions in this Clause 13 are reasonable having regard to the nature of the Services, the information-only character of the Platform, and the sophistication of the Users.</w:t>
      </w:r>
    </w:p>
    <w:p>
      <w:pPr>
        <w:spacing w:after="80" w:before="0"/>
      </w:pPr>
    </w:p>
    <w:p>
      <w:pPr>
        <w:spacing w:after="120" w:before="320"/>
      </w:pPr>
      <w:r>
        <w:rPr>
          <w:rFonts w:ascii="Arial" w:cs="Arial" w:eastAsia="Arial" w:hAnsi="Arial"/>
          <w:b/>
          <w:bCs/>
          <w:color w:val="0F3460"/>
          <w:sz w:val="23"/>
          <w:szCs w:val="23"/>
        </w:rPr>
        <w:t xml:space="preserve">14. USER INDEMNITY</w:t>
      </w:r>
    </w:p>
    <w:p>
      <w:pPr>
        <w:pStyle w:val="ListParagraph"/>
        <w:numPr>
          <w:ilvl w:val="0"/>
          <w:numId w:val="2"/>
        </w:numPr>
        <w:spacing w:after="100" w:before="80"/>
        <w:jc w:val="both"/>
      </w:pPr>
      <w:r>
        <w:rPr>
          <w:rFonts w:ascii="Arial" w:cs="Arial" w:eastAsia="Arial" w:hAnsi="Arial"/>
          <w:color w:val="1A1A2E"/>
          <w:sz w:val="20"/>
          <w:szCs w:val="20"/>
        </w:rPr>
        <w:t xml:space="preserve">Each User shall indemnify, defend, and hold harmless Foresight Value and its directors, officers, employees, and agents from and against all claims, liabilities, losses, damages, costs, and expenses (including reasonable legal fees) arising from or in connection with: (a) the User's breach of these Terms; (b) the User's violation of any applicable law or regulation; (c) inaccurate, incomplete, or misleading information provided by the User to the Platform; (d) any claim by a third party arising from the User's conduct on or through the Platform; or (e) any regulatory investigation, inquiry, or enforcement action arising from the User's activities on the Platform.</w:t>
      </w:r>
    </w:p>
    <w:p>
      <w:pPr>
        <w:spacing w:after="80" w:before="0"/>
      </w:pPr>
    </w:p>
    <w:p>
      <w:pPr>
        <w:spacing w:after="120" w:before="320"/>
      </w:pPr>
      <w:r>
        <w:rPr>
          <w:rFonts w:ascii="Arial" w:cs="Arial" w:eastAsia="Arial" w:hAnsi="Arial"/>
          <w:b/>
          <w:bCs/>
          <w:color w:val="0F3460"/>
          <w:sz w:val="23"/>
          <w:szCs w:val="23"/>
        </w:rPr>
        <w:t xml:space="preserve">15. INTELLECTUAL PROPERTY</w:t>
      </w:r>
    </w:p>
    <w:p>
      <w:pPr>
        <w:pStyle w:val="ListParagraph"/>
        <w:numPr>
          <w:ilvl w:val="0"/>
          <w:numId w:val="2"/>
        </w:numPr>
        <w:spacing w:after="100" w:before="80"/>
        <w:jc w:val="both"/>
      </w:pPr>
      <w:r>
        <w:rPr>
          <w:rFonts w:ascii="Arial" w:cs="Arial" w:eastAsia="Arial" w:hAnsi="Arial"/>
          <w:color w:val="1A1A2E"/>
          <w:sz w:val="20"/>
          <w:szCs w:val="20"/>
        </w:rPr>
        <w:t xml:space="preserve">All intellectual property rights in and to the Platform, including without limitation the DGSM methodology, geopolitical screening tools, intelligence outputs, Platform architecture, data models, branding, and all related software and documentation, are and shall remain the exclusive property of Foresight Value.</w:t>
      </w:r>
    </w:p>
    <w:p>
      <w:pPr>
        <w:pStyle w:val="ListParagraph"/>
        <w:numPr>
          <w:ilvl w:val="0"/>
          <w:numId w:val="2"/>
        </w:numPr>
        <w:spacing w:after="100" w:before="80"/>
        <w:jc w:val="both"/>
      </w:pPr>
      <w:r>
        <w:rPr>
          <w:rFonts w:ascii="Arial" w:cs="Arial" w:eastAsia="Arial" w:hAnsi="Arial"/>
          <w:color w:val="1A1A2E"/>
          <w:sz w:val="20"/>
          <w:szCs w:val="20"/>
        </w:rPr>
        <w:t xml:space="preserve">No User acquires any right, title, or interest in Foresight Value's intellectual property by reason of these Terms or use of the Platform.</w:t>
      </w:r>
    </w:p>
    <w:p>
      <w:pPr>
        <w:pStyle w:val="ListParagraph"/>
        <w:numPr>
          <w:ilvl w:val="0"/>
          <w:numId w:val="2"/>
        </w:numPr>
        <w:spacing w:after="100" w:before="80"/>
        <w:jc w:val="both"/>
      </w:pPr>
      <w:r>
        <w:rPr>
          <w:rFonts w:ascii="Arial" w:cs="Arial" w:eastAsia="Arial" w:hAnsi="Arial"/>
          <w:color w:val="1A1A2E"/>
          <w:sz w:val="20"/>
          <w:szCs w:val="20"/>
        </w:rPr>
        <w:t xml:space="preserve">Each User grants Foresight Value a non-exclusive, royalty-free, worldwide licence to use, process, display, and analyse information submitted by the User to the Platform for the purposes of operating and improving the Platform, developing intelligence products, and, in anonymised and aggregated form, training analytical models.</w:t>
      </w:r>
    </w:p>
    <w:p>
      <w:pPr>
        <w:spacing w:after="80" w:before="0"/>
      </w:pPr>
    </w:p>
    <w:p>
      <w:pPr>
        <w:spacing w:after="120" w:before="320"/>
      </w:pPr>
      <w:r>
        <w:rPr>
          <w:rFonts w:ascii="Arial" w:cs="Arial" w:eastAsia="Arial" w:hAnsi="Arial"/>
          <w:b/>
          <w:bCs/>
          <w:color w:val="0F3460"/>
          <w:sz w:val="23"/>
          <w:szCs w:val="23"/>
        </w:rPr>
        <w:t xml:space="preserve">16. DATA PROTECTION</w:t>
      </w:r>
    </w:p>
    <w:p>
      <w:pPr>
        <w:pStyle w:val="ListParagraph"/>
        <w:numPr>
          <w:ilvl w:val="0"/>
          <w:numId w:val="2"/>
        </w:numPr>
        <w:spacing w:after="100" w:before="80"/>
        <w:jc w:val="both"/>
      </w:pPr>
      <w:r>
        <w:rPr>
          <w:rFonts w:ascii="Arial" w:cs="Arial" w:eastAsia="Arial" w:hAnsi="Arial"/>
          <w:color w:val="1A1A2E"/>
          <w:sz w:val="20"/>
          <w:szCs w:val="20"/>
        </w:rPr>
        <w:t xml:space="preserve">Foresight Value shall process personal data in accordance with the UK General Data Protection Regulation (UK GDPR), the Data Protection Act 2018, and Foresight Value's Privacy Notice, which is available on the Platform.</w:t>
      </w:r>
    </w:p>
    <w:p>
      <w:pPr>
        <w:pStyle w:val="ListParagraph"/>
        <w:numPr>
          <w:ilvl w:val="0"/>
          <w:numId w:val="2"/>
        </w:numPr>
        <w:spacing w:after="100" w:before="80"/>
        <w:jc w:val="both"/>
      </w:pPr>
      <w:r>
        <w:rPr>
          <w:rFonts w:ascii="Arial" w:cs="Arial" w:eastAsia="Arial" w:hAnsi="Arial"/>
          <w:color w:val="1A1A2E"/>
          <w:sz w:val="20"/>
          <w:szCs w:val="20"/>
        </w:rPr>
        <w:t xml:space="preserve">Where Users access the Platform from the European Union, Foresight Value shall ensure that any transfer of personal data from the EEA to the United Kingdom is conducted in accordance with applicable EU data protection law, including through reliance on the EU-UK adequacy decision or such other transfer mechanisms as may be applicable.</w:t>
      </w:r>
    </w:p>
    <w:p>
      <w:pPr>
        <w:pStyle w:val="ListParagraph"/>
        <w:numPr>
          <w:ilvl w:val="0"/>
          <w:numId w:val="2"/>
        </w:numPr>
        <w:spacing w:after="100" w:before="80"/>
        <w:jc w:val="both"/>
      </w:pPr>
      <w:r>
        <w:rPr>
          <w:rFonts w:ascii="Arial" w:cs="Arial" w:eastAsia="Arial" w:hAnsi="Arial"/>
          <w:color w:val="1A1A2E"/>
          <w:sz w:val="20"/>
          <w:szCs w:val="20"/>
        </w:rPr>
        <w:t xml:space="preserve">Users shall ensure that any personal data they submit to or share through the Platform has been collected and shared in compliance with applicable data protection law, including obtaining any necessary consents.</w:t>
      </w:r>
    </w:p>
    <w:p>
      <w:pPr>
        <w:spacing w:after="80" w:before="0"/>
      </w:pPr>
    </w:p>
    <w:p>
      <w:pPr>
        <w:spacing w:after="120" w:before="320"/>
      </w:pPr>
      <w:r>
        <w:rPr>
          <w:rFonts w:ascii="Arial" w:cs="Arial" w:eastAsia="Arial" w:hAnsi="Arial"/>
          <w:b/>
          <w:bCs/>
          <w:color w:val="0F3460"/>
          <w:sz w:val="23"/>
          <w:szCs w:val="23"/>
        </w:rPr>
        <w:t xml:space="preserve">17. AMENDMENTS TO THESE TERMS</w:t>
      </w:r>
    </w:p>
    <w:p>
      <w:pPr>
        <w:pStyle w:val="ListParagraph"/>
        <w:numPr>
          <w:ilvl w:val="0"/>
          <w:numId w:val="2"/>
        </w:numPr>
        <w:spacing w:after="100" w:before="80"/>
        <w:jc w:val="both"/>
      </w:pPr>
      <w:r>
        <w:rPr>
          <w:rFonts w:ascii="Arial" w:cs="Arial" w:eastAsia="Arial" w:hAnsi="Arial"/>
          <w:color w:val="1A1A2E"/>
          <w:sz w:val="20"/>
          <w:szCs w:val="20"/>
        </w:rPr>
        <w:t xml:space="preserve">Foresight Value may amend these Terms at any time. Users will be notified of material amendments by email or through an in-platform notification at least fourteen (14) days before the amendments take effect.</w:t>
      </w:r>
    </w:p>
    <w:p>
      <w:pPr>
        <w:pStyle w:val="ListParagraph"/>
        <w:numPr>
          <w:ilvl w:val="0"/>
          <w:numId w:val="2"/>
        </w:numPr>
        <w:spacing w:after="100" w:before="80"/>
        <w:jc w:val="both"/>
      </w:pPr>
      <w:r>
        <w:rPr>
          <w:rFonts w:ascii="Arial" w:cs="Arial" w:eastAsia="Arial" w:hAnsi="Arial"/>
          <w:color w:val="1A1A2E"/>
          <w:sz w:val="20"/>
          <w:szCs w:val="20"/>
        </w:rPr>
        <w:t xml:space="preserve">Continued use of the Platform following the effective date of any amendment shall constitute the User's acceptance of the amended Terms.</w:t>
      </w:r>
    </w:p>
    <w:p>
      <w:pPr>
        <w:pStyle w:val="ListParagraph"/>
        <w:numPr>
          <w:ilvl w:val="0"/>
          <w:numId w:val="2"/>
        </w:numPr>
        <w:spacing w:after="100" w:before="80"/>
        <w:jc w:val="both"/>
      </w:pPr>
      <w:r>
        <w:rPr>
          <w:rFonts w:ascii="Arial" w:cs="Arial" w:eastAsia="Arial" w:hAnsi="Arial"/>
          <w:color w:val="1A1A2E"/>
          <w:sz w:val="20"/>
          <w:szCs w:val="20"/>
        </w:rPr>
        <w:t xml:space="preserve">Where a User does not accept an amendment, it may withdraw from the Platform in accordance with Clause 18. Withdrawal shall not affect any obligations accrued prior to the effective date of the amendment.</w:t>
      </w:r>
    </w:p>
    <w:p>
      <w:pPr>
        <w:spacing w:after="80" w:before="0"/>
      </w:pPr>
    </w:p>
    <w:p>
      <w:pPr>
        <w:spacing w:after="120" w:before="320"/>
      </w:pPr>
      <w:r>
        <w:rPr>
          <w:rFonts w:ascii="Arial" w:cs="Arial" w:eastAsia="Arial" w:hAnsi="Arial"/>
          <w:b/>
          <w:bCs/>
          <w:color w:val="0F3460"/>
          <w:sz w:val="23"/>
          <w:szCs w:val="23"/>
        </w:rPr>
        <w:t xml:space="preserve">18. WITHDRAWAL AND TERMINATION</w:t>
      </w:r>
    </w:p>
    <w:p>
      <w:pPr>
        <w:pStyle w:val="ListParagraph"/>
        <w:numPr>
          <w:ilvl w:val="0"/>
          <w:numId w:val="2"/>
        </w:numPr>
        <w:spacing w:after="100" w:before="80"/>
        <w:jc w:val="both"/>
      </w:pPr>
      <w:r>
        <w:rPr>
          <w:rFonts w:ascii="Arial" w:cs="Arial" w:eastAsia="Arial" w:hAnsi="Arial"/>
          <w:color w:val="1A1A2E"/>
          <w:sz w:val="20"/>
          <w:szCs w:val="20"/>
        </w:rPr>
        <w:t xml:space="preserve">Any User may withdraw from the Platform at any time by providing written notice to Foresight Value. Withdrawal takes effect on receipt of such notice.</w:t>
      </w:r>
    </w:p>
    <w:p>
      <w:pPr>
        <w:pStyle w:val="ListParagraph"/>
        <w:numPr>
          <w:ilvl w:val="0"/>
          <w:numId w:val="2"/>
        </w:numPr>
        <w:spacing w:after="100" w:before="80"/>
        <w:jc w:val="both"/>
      </w:pPr>
      <w:r>
        <w:rPr>
          <w:rFonts w:ascii="Arial" w:cs="Arial" w:eastAsia="Arial" w:hAnsi="Arial"/>
          <w:color w:val="1A1A2E"/>
          <w:sz w:val="20"/>
          <w:szCs w:val="20"/>
        </w:rPr>
        <w:t xml:space="preserve">Withdrawal does not affect: (a) any Success Fee obligation arising from interactions that occurred prior to the date of withdrawal; (b) any Tail Period obligation under Part B; (c) any subscription fees accrued and unpaid at the date of withdrawal; or (d) any other right or obligation that has accrued prior to withdrawal.</w:t>
      </w:r>
    </w:p>
    <w:p>
      <w:pPr>
        <w:pStyle w:val="ListParagraph"/>
        <w:numPr>
          <w:ilvl w:val="0"/>
          <w:numId w:val="2"/>
        </w:numPr>
        <w:spacing w:after="100" w:before="80"/>
        <w:jc w:val="both"/>
      </w:pPr>
      <w:r>
        <w:rPr>
          <w:rFonts w:ascii="Arial" w:cs="Arial" w:eastAsia="Arial" w:hAnsi="Arial"/>
          <w:color w:val="1A1A2E"/>
          <w:sz w:val="20"/>
          <w:szCs w:val="20"/>
        </w:rPr>
        <w:t xml:space="preserve">Upon withdrawal, the User's access to the Platform will be terminated. Foresight Value will retain records of the User's interactions on the Platform in accordance with its data retention policy and as required by applicable law.</w:t>
      </w:r>
    </w:p>
    <w:p>
      <w:pPr>
        <w:spacing w:after="80" w:before="0"/>
      </w:pPr>
    </w:p>
    <w:p>
      <w:pPr>
        <w:spacing w:after="120" w:before="320"/>
      </w:pPr>
      <w:r>
        <w:rPr>
          <w:rFonts w:ascii="Arial" w:cs="Arial" w:eastAsia="Arial" w:hAnsi="Arial"/>
          <w:b/>
          <w:bCs/>
          <w:color w:val="0F3460"/>
          <w:sz w:val="23"/>
          <w:szCs w:val="23"/>
        </w:rPr>
        <w:t xml:space="preserve">19. SURVIVAL OF TERMS</w:t>
      </w:r>
    </w:p>
    <w:p>
      <w:pPr>
        <w:pStyle w:val="ListParagraph"/>
        <w:numPr>
          <w:ilvl w:val="0"/>
          <w:numId w:val="2"/>
        </w:numPr>
        <w:spacing w:after="100" w:before="80"/>
        <w:jc w:val="both"/>
      </w:pPr>
      <w:r>
        <w:rPr>
          <w:rFonts w:ascii="Arial" w:cs="Arial" w:eastAsia="Arial" w:hAnsi="Arial"/>
          <w:color w:val="1A1A2E"/>
          <w:sz w:val="20"/>
          <w:szCs w:val="20"/>
        </w:rPr>
        <w:t xml:space="preserve">The following provisions shall survive the termination or expiry of these Terms and any withdrawal from the Platform for the periods specified or, where no period is specified, indefinitely: (a) Clause 1 (Definitions); (b) Part B and Schedule 1 (Success Fee provisions), for the duration of the Tail Period; (c) Clause 7 (Confidentiality), for a period of five (5) years from termination; (d) Clauses 13 and 14 (Liability and Indemnity); (e) Clause 15 (Intellectual Property); (f) Clause 20 (Governing Law and Jurisdiction); and (g) any other provision which by its nature is intended to survive termination.</w:t>
      </w:r>
    </w:p>
    <w:p>
      <w:pPr>
        <w:spacing w:after="80" w:before="0"/>
      </w:pPr>
    </w:p>
    <w:p>
      <w:pPr>
        <w:spacing w:after="120" w:before="320"/>
      </w:pPr>
      <w:r>
        <w:rPr>
          <w:rFonts w:ascii="Arial" w:cs="Arial" w:eastAsia="Arial" w:hAnsi="Arial"/>
          <w:b/>
          <w:bCs/>
          <w:color w:val="0F3460"/>
          <w:sz w:val="23"/>
          <w:szCs w:val="23"/>
        </w:rPr>
        <w:t xml:space="preserve">20. GOVERNING LAW AND JURISDICTION</w:t>
      </w:r>
    </w:p>
    <w:p>
      <w:pPr>
        <w:pStyle w:val="ListParagraph"/>
        <w:numPr>
          <w:ilvl w:val="0"/>
          <w:numId w:val="2"/>
        </w:numPr>
        <w:spacing w:after="100" w:before="80"/>
        <w:jc w:val="both"/>
      </w:pPr>
      <w:r>
        <w:rPr>
          <w:rFonts w:ascii="Arial" w:cs="Arial" w:eastAsia="Arial" w:hAnsi="Arial"/>
          <w:color w:val="1A1A2E"/>
          <w:sz w:val="20"/>
          <w:szCs w:val="20"/>
        </w:rPr>
        <w:t xml:space="preserve">These Terms and any dispute or claim arising out of or in connection with them, their subject matter, or their formation (including non-contractual disputes or claims) shall be governed by and construed in accordance with the law of England and Wales.</w:t>
      </w:r>
    </w:p>
    <w:p>
      <w:pPr>
        <w:pStyle w:val="ListParagraph"/>
        <w:numPr>
          <w:ilvl w:val="0"/>
          <w:numId w:val="2"/>
        </w:numPr>
        <w:spacing w:after="100" w:before="80"/>
        <w:jc w:val="both"/>
      </w:pPr>
      <w:r>
        <w:rPr>
          <w:rFonts w:ascii="Arial" w:cs="Arial" w:eastAsia="Arial" w:hAnsi="Arial"/>
          <w:color w:val="1A1A2E"/>
          <w:sz w:val="20"/>
          <w:szCs w:val="20"/>
        </w:rPr>
        <w:t xml:space="preserve">Each User irrevocably submits to the exclusive jurisdiction of the courts of England and Wales to settle any dispute or claim arising out of or in connection with these Terms.</w:t>
      </w:r>
    </w:p>
    <w:p>
      <w:pPr>
        <w:pStyle w:val="ListParagraph"/>
        <w:numPr>
          <w:ilvl w:val="0"/>
          <w:numId w:val="2"/>
        </w:numPr>
        <w:spacing w:after="100" w:before="80"/>
        <w:jc w:val="both"/>
      </w:pPr>
      <w:r>
        <w:rPr>
          <w:rFonts w:ascii="Arial" w:cs="Arial" w:eastAsia="Arial" w:hAnsi="Arial"/>
          <w:color w:val="1A1A2E"/>
          <w:sz w:val="20"/>
          <w:szCs w:val="20"/>
        </w:rPr>
        <w:t xml:space="preserve">Nothing in this Clause 20 shall limit Foresight Value's right to bring proceedings against a User in any other jurisdiction where the User has assets or carries on business.</w:t>
      </w:r>
    </w:p>
    <w:p>
      <w:pPr>
        <w:spacing w:after="80" w:before="0"/>
      </w:pPr>
    </w:p>
    <w:p>
      <w:pPr>
        <w:spacing w:after="120" w:before="320"/>
      </w:pPr>
      <w:r>
        <w:rPr>
          <w:rFonts w:ascii="Arial" w:cs="Arial" w:eastAsia="Arial" w:hAnsi="Arial"/>
          <w:b/>
          <w:bCs/>
          <w:color w:val="0F3460"/>
          <w:sz w:val="23"/>
          <w:szCs w:val="23"/>
        </w:rPr>
        <w:t xml:space="preserve">21. UNITED STATES REGULATORY SAFE HARBOUR</w:t>
      </w:r>
    </w:p>
    <w:p>
      <w:pPr>
        <w:pStyle w:val="ListParagraph"/>
        <w:numPr>
          <w:ilvl w:val="0"/>
          <w:numId w:val="2"/>
        </w:numPr>
        <w:spacing w:after="100" w:before="80"/>
        <w:jc w:val="both"/>
      </w:pPr>
      <w:r>
        <w:rPr>
          <w:rFonts w:ascii="Arial" w:cs="Arial" w:eastAsia="Arial" w:hAnsi="Arial"/>
          <w:color w:val="1A1A2E"/>
          <w:sz w:val="20"/>
          <w:szCs w:val="20"/>
        </w:rPr>
        <w:t xml:space="preserve">The following provisions apply specifically to Users located in or accessing the Platform from the United States of America.</w:t>
      </w:r>
    </w:p>
    <w:p>
      <w:pPr>
        <w:pStyle w:val="ListParagraph"/>
        <w:numPr>
          <w:ilvl w:val="0"/>
          <w:numId w:val="2"/>
        </w:numPr>
        <w:spacing w:after="100" w:before="80"/>
        <w:jc w:val="both"/>
      </w:pPr>
      <w:r>
        <w:rPr>
          <w:rFonts w:ascii="Arial" w:cs="Arial" w:eastAsia="Arial" w:hAnsi="Arial"/>
          <w:color w:val="1A1A2E"/>
          <w:sz w:val="20"/>
          <w:szCs w:val="20"/>
        </w:rPr>
        <w:t xml:space="preserve">The Platform does not constitute a national securities exchange, alternative trading system, or broker-dealer as those terms are defined under US federal securities laws. Foresight Value is not registered with the Securities and Exchange Commission (SEC) as a broker-dealer and does not act in such capacity.</w:t>
      </w:r>
    </w:p>
    <w:p>
      <w:pPr>
        <w:pStyle w:val="ListParagraph"/>
        <w:numPr>
          <w:ilvl w:val="0"/>
          <w:numId w:val="2"/>
        </w:numPr>
        <w:spacing w:after="100" w:before="80"/>
        <w:jc w:val="both"/>
      </w:pPr>
      <w:r>
        <w:rPr>
          <w:rFonts w:ascii="Arial" w:cs="Arial" w:eastAsia="Arial" w:hAnsi="Arial"/>
          <w:color w:val="1A1A2E"/>
          <w:sz w:val="20"/>
          <w:szCs w:val="20"/>
        </w:rPr>
        <w:t xml:space="preserve">The Success Fee is a platform service fee charged for access to dealflow origination infrastructure, geopolitical screening tools, and intelligence services. It is not a transaction-based compensation that would require broker-dealer registration under Section 15(a) of the Securities Exchange Act of 1934.</w:t>
      </w:r>
    </w:p>
    <w:p>
      <w:pPr>
        <w:pStyle w:val="ListParagraph"/>
        <w:numPr>
          <w:ilvl w:val="0"/>
          <w:numId w:val="2"/>
        </w:numPr>
        <w:spacing w:after="100" w:before="80"/>
        <w:jc w:val="both"/>
      </w:pPr>
      <w:r>
        <w:rPr>
          <w:rFonts w:ascii="Arial" w:cs="Arial" w:eastAsia="Arial" w:hAnsi="Arial"/>
          <w:color w:val="1A1A2E"/>
          <w:sz w:val="20"/>
          <w:szCs w:val="20"/>
        </w:rPr>
        <w:t xml:space="preserve">No offer or sale of securities is made through the Platform. Any investment decision made by a User is made independently of and outside the Platform.</w:t>
      </w:r>
    </w:p>
    <w:p>
      <w:pPr>
        <w:pStyle w:val="ListParagraph"/>
        <w:numPr>
          <w:ilvl w:val="0"/>
          <w:numId w:val="2"/>
        </w:numPr>
        <w:spacing w:after="100" w:before="80"/>
        <w:jc w:val="both"/>
      </w:pPr>
      <w:r>
        <w:rPr>
          <w:rFonts w:ascii="Arial" w:cs="Arial" w:eastAsia="Arial" w:hAnsi="Arial"/>
          <w:color w:val="1A1A2E"/>
          <w:sz w:val="20"/>
          <w:szCs w:val="20"/>
        </w:rPr>
        <w:t xml:space="preserve">US Users confirm that they are accessing the Platform on their own initiative and not as a result of any directed selling effort or general solicitation within the meaning of Regulation S and Regulation D under the Securities Act of 1933.</w:t>
      </w:r>
    </w:p>
    <w:p>
      <w:pPr>
        <w:spacing w:after="320" w:before="0"/>
      </w:pPr>
    </w:p>
    <w:p>
      <w:pPr>
        <w:spacing w:after="0" w:before="480"/>
      </w:pPr>
      <w:r>
        <w:rPr>
          <w:rFonts w:ascii="Arial" w:cs="Arial" w:eastAsia="Arial" w:hAnsi="Arial"/>
          <w:b/>
          <w:bCs/>
          <w:color w:val="1A1A2E"/>
          <w:sz w:val="28"/>
          <w:szCs w:val="28"/>
        </w:rPr>
        <w:t xml:space="preserve">PART B — STARTUP-SPECIFIC TERMS AND SUCCESS FEE PROVISIONS</w:t>
      </w:r>
    </w:p>
    <w:p>
      <w:pPr>
        <w:pBdr>
          <w:bottom w:val="single" w:color="0F3460" w:sz="6" w:space="2"/>
        </w:pBdr>
        <w:spacing w:after="240" w:before="60"/>
      </w:pPr>
    </w:p>
    <w:p>
      <w:pPr>
        <w:spacing w:after="120" w:before="80"/>
        <w:jc w:val="both"/>
      </w:pPr>
      <w:r>
        <w:rPr>
          <w:rFonts w:ascii="Arial" w:cs="Arial" w:eastAsia="Arial" w:hAnsi="Arial"/>
          <w:b w:val="false"/>
          <w:bCs w:val="false"/>
          <w:i w:val="false"/>
          <w:iCs w:val="false"/>
          <w:color w:val="1A1A2E"/>
          <w:sz w:val="20"/>
          <w:szCs w:val="20"/>
        </w:rPr>
        <w:t xml:space="preserve">The provisions in this Part B apply exclusively to Startups. In the event of any conflict between the provisions of Part A and Part B, Part B shall prevail in relation to Startups.</w:t>
      </w:r>
    </w:p>
    <w:p>
      <w:pPr>
        <w:spacing w:after="120" w:before="0"/>
      </w:pPr>
    </w:p>
    <w:p>
      <w:pPr>
        <w:spacing w:after="120" w:before="320"/>
      </w:pPr>
      <w:r>
        <w:rPr>
          <w:rFonts w:ascii="Arial" w:cs="Arial" w:eastAsia="Arial" w:hAnsi="Arial"/>
          <w:b/>
          <w:bCs/>
          <w:color w:val="0F3460"/>
          <w:sz w:val="23"/>
          <w:szCs w:val="23"/>
        </w:rPr>
        <w:t xml:space="preserve">22. DEFINITIONS — SUCCESS FEE</w:t>
      </w:r>
    </w:p>
    <w:p>
      <w:pPr>
        <w:spacing w:after="120" w:before="80"/>
        <w:jc w:val="both"/>
      </w:pPr>
      <w:r>
        <w:rPr>
          <w:rFonts w:ascii="Arial" w:cs="Arial" w:eastAsia="Arial" w:hAnsi="Arial"/>
          <w:b w:val="false"/>
          <w:bCs w:val="false"/>
          <w:i w:val="false"/>
          <w:iCs w:val="false"/>
          <w:color w:val="1A1A2E"/>
          <w:sz w:val="20"/>
          <w:szCs w:val="20"/>
        </w:rPr>
        <w:t xml:space="preserve">The following additional definitions apply for the purposes of Part B and Schedule 1:</w:t>
      </w:r>
    </w:p>
    <w:p>
      <w:pPr>
        <w:spacing w:after="12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00"/>
      </w:tblGrid>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Completion</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The date on which a Transaction becomes legally binding and unconditional, being the earlier of: (a) execution of final binding transaction documentation by all parties; (b) satisfaction or waiver of all conditions precedent; or (c) the transfer, allocation, or issuance of any consideration, equity, or other economic benefit.</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Declared Exclusion</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An Investor specifically named by the Startup in its Onboarding Disclosure Form as being subject to Substantial Engagement at the date of listing, in respect of whom Foresight Value has confirmed a fee exclusion or reduction in the Onboarding Confirmation.</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Expressed Interest</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Any action taken by an Investor through the Platform in relation to a specific Startup, including without limitation: requesting access to the Startup's profile; downloading or viewing any materials relating to the Startup; sending a message or expression of interest to the Startup; or requesting introduction to the Startup through the Platform's interaction tools.</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Onboarding Confirmation</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The written confirmation issued by Foresight Value to a Startup upon completion of the onboarding process, setting out the confirmed Success Fee terms, any Declared Exclusions, and the conditions of Platform access.</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Onboarding Disclosure Form</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The form completed by a Startup at registration, in which the Startup declares any prior relationships with Investors who are or may be Platform members, in accordance with Clause 24.</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Platform Interaction Log</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The automated records generated and maintained by Foresight Value's systems documenting all User activity on the Platform, including profile views, access requests, document downloads, and messaging.</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Substantial Engagement</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Active, substantive discussions between a Startup and an Investor in the twelve (12) months immediately preceding the Startup's listing date, being discussions that included one or more of: (a) sharing of a data room or any non-public financial information beyond a standard pitch deck; (b) execution of a non-disclosure agreement; (c) delivery of a term sheet, letter of intent, or indicative offer; (d) a meeting in which investment terms, valuation, or transaction structure were discussed; or (e) written confirmation of investment interest by the Investor.</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Tail Period</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The period of twenty-four (24) months following the date of the last recorded Interaction between a Startup and an Investor on the Platform, as determined by reference to the Platform Interaction Log.</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Total Consideration</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The aggregate economic value of a Transaction, calculated in accordance with Clause 28, including all upfront, deferred, contingent, and non-cash consideration.</w:t>
            </w:r>
          </w:p>
        </w:tc>
      </w:tr>
    </w:tbl>
    <w:p>
      <w:pPr>
        <w:spacing w:after="160" w:before="0"/>
      </w:pPr>
    </w:p>
    <w:p>
      <w:pPr>
        <w:spacing w:after="120" w:before="320"/>
      </w:pPr>
      <w:r>
        <w:rPr>
          <w:rFonts w:ascii="Arial" w:cs="Arial" w:eastAsia="Arial" w:hAnsi="Arial"/>
          <w:b/>
          <w:bCs/>
          <w:color w:val="0F3460"/>
          <w:sz w:val="23"/>
          <w:szCs w:val="23"/>
        </w:rPr>
        <w:t xml:space="preserve">23. SUCCESS FEE TRIGGER</w:t>
      </w:r>
    </w:p>
    <w:p>
      <w:pPr>
        <w:pStyle w:val="ListParagraph"/>
        <w:numPr>
          <w:ilvl w:val="0"/>
          <w:numId w:val="2"/>
        </w:numPr>
        <w:spacing w:after="100" w:before="80"/>
        <w:jc w:val="both"/>
      </w:pPr>
      <w:r>
        <w:rPr>
          <w:rFonts w:ascii="Arial" w:cs="Arial" w:eastAsia="Arial" w:hAnsi="Arial"/>
          <w:color w:val="1A1A2E"/>
          <w:sz w:val="20"/>
          <w:szCs w:val="20"/>
        </w:rPr>
        <w:t xml:space="preserve">The Success Fee shall become due and payable by the Startup to Foresight Value upon Completion of any Facilitated Transaction.</w:t>
      </w:r>
    </w:p>
    <w:p>
      <w:pPr>
        <w:pStyle w:val="ListParagraph"/>
        <w:numPr>
          <w:ilvl w:val="0"/>
          <w:numId w:val="2"/>
        </w:numPr>
        <w:spacing w:after="100" w:before="80"/>
        <w:jc w:val="both"/>
      </w:pPr>
      <w:r>
        <w:rPr>
          <w:rFonts w:ascii="Arial" w:cs="Arial" w:eastAsia="Arial" w:hAnsi="Arial"/>
          <w:color w:val="1A1A2E"/>
          <w:sz w:val="20"/>
          <w:szCs w:val="20"/>
        </w:rPr>
        <w:t xml:space="preserve">A Transaction shall constitute a Facilitated Transaction, and the Success Fee shall be triggered, where:</w:t>
      </w:r>
    </w:p>
    <w:p>
      <w:pPr>
        <w:pStyle w:val="ListParagraph"/>
        <w:numPr>
          <w:ilvl w:val="2"/>
          <w:numId w:val="2"/>
        </w:numPr>
        <w:spacing w:after="100" w:before="80"/>
        <w:jc w:val="both"/>
      </w:pPr>
      <w:r>
        <w:rPr>
          <w:rFonts w:ascii="Arial" w:cs="Arial" w:eastAsia="Arial" w:hAnsi="Arial"/>
          <w:color w:val="1A1A2E"/>
          <w:sz w:val="20"/>
          <w:szCs w:val="20"/>
        </w:rPr>
        <w:t xml:space="preserve">an Investor who is a registered member of the Platform has made Expressed Interest in the Startup through the Platform at any time prior to Completion; or</w:t>
      </w:r>
    </w:p>
    <w:p>
      <w:pPr>
        <w:pStyle w:val="ListParagraph"/>
        <w:numPr>
          <w:ilvl w:val="2"/>
          <w:numId w:val="2"/>
        </w:numPr>
        <w:spacing w:after="100" w:before="80"/>
        <w:jc w:val="both"/>
      </w:pPr>
      <w:r>
        <w:rPr>
          <w:rFonts w:ascii="Arial" w:cs="Arial" w:eastAsia="Arial" w:hAnsi="Arial"/>
          <w:color w:val="1A1A2E"/>
          <w:sz w:val="20"/>
          <w:szCs w:val="20"/>
        </w:rPr>
        <w:t xml:space="preserve">the identity of the Investor was made known to the Startup, or the identity of the Startup was made known to the Investor, through the Platform; or</w:t>
      </w:r>
    </w:p>
    <w:p>
      <w:pPr>
        <w:pStyle w:val="ListParagraph"/>
        <w:numPr>
          <w:ilvl w:val="2"/>
          <w:numId w:val="2"/>
        </w:numPr>
        <w:spacing w:after="100" w:before="80"/>
        <w:jc w:val="both"/>
      </w:pPr>
      <w:r>
        <w:rPr>
          <w:rFonts w:ascii="Arial" w:cs="Arial" w:eastAsia="Arial" w:hAnsi="Arial"/>
          <w:color w:val="1A1A2E"/>
          <w:sz w:val="20"/>
          <w:szCs w:val="20"/>
        </w:rPr>
        <w:t xml:space="preserve">the Platform materially enabled, supported, or accelerated the engagement between the Startup and the Investor, whether directly or indirectly.</w:t>
      </w:r>
    </w:p>
    <w:p>
      <w:pPr>
        <w:pStyle w:val="ListParagraph"/>
        <w:numPr>
          <w:ilvl w:val="0"/>
          <w:numId w:val="2"/>
        </w:numPr>
        <w:spacing w:after="100" w:before="80"/>
        <w:jc w:val="both"/>
      </w:pPr>
      <w:r>
        <w:rPr>
          <w:rFonts w:ascii="Arial" w:cs="Arial" w:eastAsia="Arial" w:hAnsi="Arial"/>
          <w:color w:val="1A1A2E"/>
          <w:sz w:val="20"/>
          <w:szCs w:val="20"/>
        </w:rPr>
        <w:t xml:space="preserve">For the avoidance of doubt, the Success Fee shall be payable regardless of: (a) where the Transaction is ultimately concluded; (b) whether the parties used any other platform, intermediary, or adviser in connection with the Transaction; (c) whether the Startup or the Investor has ceased to use the Platform; or (d) the time elapsed between Expressed Interest and Completion, provided Completion occurs within the Tail Period.</w:t>
      </w:r>
    </w:p>
    <w:p>
      <w:pPr>
        <w:pStyle w:val="ListParagraph"/>
        <w:numPr>
          <w:ilvl w:val="0"/>
          <w:numId w:val="2"/>
        </w:numPr>
        <w:spacing w:after="100" w:before="80"/>
        <w:jc w:val="both"/>
      </w:pPr>
      <w:r>
        <w:rPr>
          <w:rFonts w:ascii="Arial" w:cs="Arial" w:eastAsia="Arial" w:hAnsi="Arial"/>
          <w:color w:val="1A1A2E"/>
          <w:sz w:val="20"/>
          <w:szCs w:val="20"/>
        </w:rPr>
        <w:t xml:space="preserve">The Tail Period shall run from the date of the last recorded Interaction between the Startup and the relevant Investor on the Platform as recorded in the Platform Interaction Log. Where multiple interactions have occurred, the Tail Period runs from the most recent.</w:t>
      </w:r>
    </w:p>
    <w:p>
      <w:pPr>
        <w:spacing w:after="80" w:before="0"/>
      </w:pPr>
    </w:p>
    <w:p>
      <w:pPr>
        <w:spacing w:after="120" w:before="320"/>
      </w:pPr>
      <w:r>
        <w:rPr>
          <w:rFonts w:ascii="Arial" w:cs="Arial" w:eastAsia="Arial" w:hAnsi="Arial"/>
          <w:b/>
          <w:bCs/>
          <w:color w:val="0F3460"/>
          <w:sz w:val="23"/>
          <w:szCs w:val="23"/>
        </w:rPr>
        <w:t xml:space="preserve">24. ONBOARDING DISCLOSURE AND PRIOR RELATIONSHIP DECLARATIONS</w:t>
      </w:r>
    </w:p>
    <w:p>
      <w:pPr>
        <w:pStyle w:val="ListParagraph"/>
        <w:numPr>
          <w:ilvl w:val="0"/>
          <w:numId w:val="2"/>
        </w:numPr>
        <w:spacing w:after="100" w:before="80"/>
        <w:jc w:val="both"/>
      </w:pPr>
      <w:r>
        <w:rPr>
          <w:rFonts w:ascii="Arial" w:cs="Arial" w:eastAsia="Arial" w:hAnsi="Arial"/>
          <w:color w:val="1A1A2E"/>
          <w:sz w:val="20"/>
          <w:szCs w:val="20"/>
        </w:rPr>
        <w:t xml:space="preserve">Prior to listing on the Platform, each Startup shall complete the Onboarding Disclosure Form, in which it shall declare all Investors with whom it is in Substantial Engagement at the date of listing.</w:t>
      </w:r>
    </w:p>
    <w:p>
      <w:pPr>
        <w:pStyle w:val="ListParagraph"/>
        <w:numPr>
          <w:ilvl w:val="0"/>
          <w:numId w:val="2"/>
        </w:numPr>
        <w:spacing w:after="100" w:before="80"/>
        <w:jc w:val="both"/>
      </w:pPr>
      <w:r>
        <w:rPr>
          <w:rFonts w:ascii="Arial" w:cs="Arial" w:eastAsia="Arial" w:hAnsi="Arial"/>
          <w:color w:val="1A1A2E"/>
          <w:sz w:val="20"/>
          <w:szCs w:val="20"/>
        </w:rPr>
        <w:t xml:space="preserve">Upon receipt of the Onboarding Disclosure Form, Foresight Value shall: (a) verify whether any declared Investor is a registered member of the Platform; (b) evaluate whether the Startup's declared engagement constitutes Substantial Engagement, based on such evidence as is provided; and (c) issue an Onboarding Confirmation setting out the confirmed Success Fee terms and any Declared Exclusions.</w:t>
      </w:r>
    </w:p>
    <w:p>
      <w:pPr>
        <w:pStyle w:val="ListParagraph"/>
        <w:numPr>
          <w:ilvl w:val="0"/>
          <w:numId w:val="2"/>
        </w:numPr>
        <w:spacing w:after="100" w:before="80"/>
        <w:jc w:val="both"/>
      </w:pPr>
      <w:r>
        <w:rPr>
          <w:rFonts w:ascii="Arial" w:cs="Arial" w:eastAsia="Arial" w:hAnsi="Arial"/>
          <w:color w:val="1A1A2E"/>
          <w:sz w:val="20"/>
          <w:szCs w:val="20"/>
        </w:rPr>
        <w:t xml:space="preserve">Foresight Value shall evaluate declarations at its sole discretion and may require the Startup to provide documentary evidence of Substantial Engagement, including without limitation: (a) a copy of any executed term sheet or letter of intent; (b) access logs or correspondence demonstrating the timeline of engagement; (c) a copy of any executed non-disclosure agreement; or (d) such other evidence as Foresight Value considers appropriate.</w:t>
      </w:r>
    </w:p>
    <w:p>
      <w:pPr>
        <w:pStyle w:val="ListParagraph"/>
        <w:numPr>
          <w:ilvl w:val="0"/>
          <w:numId w:val="2"/>
        </w:numPr>
        <w:spacing w:after="100" w:before="80"/>
        <w:jc w:val="both"/>
      </w:pPr>
      <w:r>
        <w:rPr>
          <w:rFonts w:ascii="Arial" w:cs="Arial" w:eastAsia="Arial" w:hAnsi="Arial"/>
          <w:color w:val="1A1A2E"/>
          <w:sz w:val="20"/>
          <w:szCs w:val="20"/>
        </w:rPr>
        <w:t xml:space="preserve">Where a Startup provides insufficient or unsatisfactory evidence to support a declaration, Foresight Value may decline to grant a Declared Exclusion, in which case the standard Success Fee terms shall apply to the relevant Investor.</w:t>
      </w:r>
    </w:p>
    <w:p>
      <w:pPr>
        <w:pStyle w:val="ListParagraph"/>
        <w:numPr>
          <w:ilvl w:val="0"/>
          <w:numId w:val="2"/>
        </w:numPr>
        <w:spacing w:after="100" w:before="80"/>
        <w:jc w:val="both"/>
      </w:pPr>
      <w:r>
        <w:rPr>
          <w:rFonts w:ascii="Arial" w:cs="Arial" w:eastAsia="Arial" w:hAnsi="Arial"/>
          <w:color w:val="1A1A2E"/>
          <w:sz w:val="20"/>
          <w:szCs w:val="20"/>
        </w:rPr>
        <w:t xml:space="preserve">Declared Exclusions are fixed at the date of the Onboarding Confirmation and may not be amended, expanded, or supplemented after that date. The Startup acknowledges that it is responsible for ensuring that all material prior relationships are declared prior to listing.</w:t>
      </w:r>
    </w:p>
    <w:p>
      <w:pPr>
        <w:pStyle w:val="ListParagraph"/>
        <w:numPr>
          <w:ilvl w:val="0"/>
          <w:numId w:val="2"/>
        </w:numPr>
        <w:spacing w:after="100" w:before="80"/>
        <w:jc w:val="both"/>
      </w:pPr>
      <w:r>
        <w:rPr>
          <w:rFonts w:ascii="Arial" w:cs="Arial" w:eastAsia="Arial" w:hAnsi="Arial"/>
          <w:color w:val="1A1A2E"/>
          <w:sz w:val="20"/>
          <w:szCs w:val="20"/>
        </w:rPr>
        <w:t xml:space="preserve">The Startup shall not be listed on the Platform, and shall have no access to the investor network, until it has countersigned and returned the Onboarding Confirmation within the period specified therein, which shall be not less than 48 hours from issue.</w:t>
      </w:r>
    </w:p>
    <w:p>
      <w:pPr>
        <w:spacing w:after="80" w:before="0"/>
      </w:pPr>
    </w:p>
    <w:p>
      <w:pPr>
        <w:spacing w:after="120" w:before="320"/>
      </w:pPr>
      <w:r>
        <w:rPr>
          <w:rFonts w:ascii="Arial" w:cs="Arial" w:eastAsia="Arial" w:hAnsi="Arial"/>
          <w:b/>
          <w:bCs/>
          <w:color w:val="0F3460"/>
          <w:sz w:val="23"/>
          <w:szCs w:val="23"/>
        </w:rPr>
        <w:t xml:space="preserve">25. DEEMED INTRODUCTION AND BURDEN OF PROOF</w:t>
      </w:r>
    </w:p>
    <w:p>
      <w:pPr>
        <w:pStyle w:val="ListParagraph"/>
        <w:numPr>
          <w:ilvl w:val="0"/>
          <w:numId w:val="2"/>
        </w:numPr>
        <w:spacing w:after="100" w:before="80"/>
        <w:jc w:val="both"/>
      </w:pPr>
      <w:r>
        <w:rPr>
          <w:rFonts w:ascii="Arial" w:cs="Arial" w:eastAsia="Arial" w:hAnsi="Arial"/>
          <w:color w:val="1A1A2E"/>
          <w:sz w:val="20"/>
          <w:szCs w:val="20"/>
        </w:rPr>
        <w:t xml:space="preserve">Where a Startup and an Investor: (a) have both been registered on the Platform; and (b) operate within overlapping sectors, geographies, or investment criteria at any point during their concurrent registration, any subsequent Transaction between them within the Tail Period shall be presumed to constitute a Facilitated Transaction.</w:t>
      </w:r>
    </w:p>
    <w:p>
      <w:pPr>
        <w:pStyle w:val="ListParagraph"/>
        <w:numPr>
          <w:ilvl w:val="0"/>
          <w:numId w:val="2"/>
        </w:numPr>
        <w:spacing w:after="100" w:before="80"/>
        <w:jc w:val="both"/>
      </w:pPr>
      <w:r>
        <w:rPr>
          <w:rFonts w:ascii="Arial" w:cs="Arial" w:eastAsia="Arial" w:hAnsi="Arial"/>
          <w:color w:val="1A1A2E"/>
          <w:sz w:val="20"/>
          <w:szCs w:val="20"/>
        </w:rPr>
        <w:t xml:space="preserve">The presumption in Clause 25.1 may only be rebutted by the Startup providing clear and contemporaneous documentary evidence that: (a) the parties were already in Substantial Engagement prior to any Platform interaction by either party; and (b) such Substantial Engagement was wholly independent of the Platform and predated the Startup's listing on the Platform.</w:t>
      </w:r>
    </w:p>
    <w:p>
      <w:pPr>
        <w:pStyle w:val="ListParagraph"/>
        <w:numPr>
          <w:ilvl w:val="0"/>
          <w:numId w:val="2"/>
        </w:numPr>
        <w:spacing w:after="100" w:before="80"/>
        <w:jc w:val="both"/>
      </w:pPr>
      <w:r>
        <w:rPr>
          <w:rFonts w:ascii="Arial" w:cs="Arial" w:eastAsia="Arial" w:hAnsi="Arial"/>
          <w:color w:val="1A1A2E"/>
          <w:sz w:val="20"/>
          <w:szCs w:val="20"/>
        </w:rPr>
        <w:t xml:space="preserve">The parties agree that: (a) records generated by the Platform Interaction Log shall constitute prima facie evidence of interaction and facilitation for the purposes of these Terms; (b) in the event of any dispute, the burden of proof shall lie with the Startup to demonstrate that a Transaction does not constitute a Facilitated Transaction; and (c) absence of evidence to rebut the deemed introduction presumption shall give rise to a presumption in favour of Foresight Value.</w:t>
      </w:r>
    </w:p>
    <w:p>
      <w:pPr>
        <w:pStyle w:val="ListParagraph"/>
        <w:numPr>
          <w:ilvl w:val="0"/>
          <w:numId w:val="2"/>
        </w:numPr>
        <w:spacing w:after="100" w:before="80"/>
        <w:jc w:val="both"/>
      </w:pPr>
      <w:r>
        <w:rPr>
          <w:rFonts w:ascii="Arial" w:cs="Arial" w:eastAsia="Arial" w:hAnsi="Arial"/>
          <w:color w:val="1A1A2E"/>
          <w:sz w:val="20"/>
          <w:szCs w:val="20"/>
        </w:rPr>
        <w:t xml:space="preserve">The Startup acknowledges that the deemed introduction mechanism reflects the commercial reality that the Platform's value as enabling infrastructure operates independently of whether any specific interaction can be identified as the direct cause of a Transaction.</w:t>
      </w:r>
    </w:p>
    <w:p>
      <w:pPr>
        <w:spacing w:after="80" w:before="0"/>
      </w:pPr>
    </w:p>
    <w:p>
      <w:pPr>
        <w:spacing w:after="120" w:before="320"/>
      </w:pPr>
      <w:r>
        <w:rPr>
          <w:rFonts w:ascii="Arial" w:cs="Arial" w:eastAsia="Arial" w:hAnsi="Arial"/>
          <w:b/>
          <w:bCs/>
          <w:color w:val="0F3460"/>
          <w:sz w:val="23"/>
          <w:szCs w:val="23"/>
        </w:rPr>
        <w:t xml:space="preserve">26. ONGOING NOTIFICATION OBLIGATIONS</w:t>
      </w:r>
    </w:p>
    <w:p>
      <w:pPr>
        <w:pStyle w:val="ListParagraph"/>
        <w:numPr>
          <w:ilvl w:val="0"/>
          <w:numId w:val="2"/>
        </w:numPr>
        <w:spacing w:after="100" w:before="80"/>
        <w:jc w:val="both"/>
      </w:pPr>
      <w:r>
        <w:rPr>
          <w:rFonts w:ascii="Arial" w:cs="Arial" w:eastAsia="Arial" w:hAnsi="Arial"/>
          <w:color w:val="1A1A2E"/>
          <w:sz w:val="20"/>
          <w:szCs w:val="20"/>
        </w:rPr>
        <w:t xml:space="preserve">From the date of listing until expiry of the Tail Period, the Startup shall notify Foresight Value in writing within forty-eight (48) hours of: (a) receiving any inbound approach, expression of interest, or investment enquiry from any Investor who is a registered member of the Platform, regardless of how or where such approach was made; (b) entering into any substantive discussions with a Platform member that were initiated outside the Platform; and (c) Completion of any Transaction with a Platform member.</w:t>
      </w:r>
    </w:p>
    <w:p>
      <w:pPr>
        <w:pStyle w:val="ListParagraph"/>
        <w:numPr>
          <w:ilvl w:val="0"/>
          <w:numId w:val="2"/>
        </w:numPr>
        <w:spacing w:after="100" w:before="80"/>
        <w:jc w:val="both"/>
      </w:pPr>
      <w:r>
        <w:rPr>
          <w:rFonts w:ascii="Arial" w:cs="Arial" w:eastAsia="Arial" w:hAnsi="Arial"/>
          <w:color w:val="1A1A2E"/>
          <w:sz w:val="20"/>
          <w:szCs w:val="20"/>
        </w:rPr>
        <w:t xml:space="preserve">Failure to comply with the notification obligations in Clause 26.1 shall constitute a material breach of these Terms and shall not affect the Startup's liability to pay the Success Fee.</w:t>
      </w:r>
    </w:p>
    <w:p>
      <w:pPr>
        <w:pStyle w:val="ListParagraph"/>
        <w:numPr>
          <w:ilvl w:val="0"/>
          <w:numId w:val="2"/>
        </w:numPr>
        <w:spacing w:after="100" w:before="80"/>
        <w:jc w:val="both"/>
      </w:pPr>
      <w:r>
        <w:rPr>
          <w:rFonts w:ascii="Arial" w:cs="Arial" w:eastAsia="Arial" w:hAnsi="Arial"/>
          <w:color w:val="1A1A2E"/>
          <w:sz w:val="20"/>
          <w:szCs w:val="20"/>
        </w:rPr>
        <w:t xml:space="preserve">The notification obligations in this Clause 26 apply whether or not the Startup considers the relevant Transaction to constitute a Facilitated Transaction.</w:t>
      </w:r>
    </w:p>
    <w:p>
      <w:pPr>
        <w:spacing w:after="80" w:before="0"/>
      </w:pPr>
    </w:p>
    <w:p>
      <w:pPr>
        <w:spacing w:after="120" w:before="320"/>
      </w:pPr>
      <w:r>
        <w:rPr>
          <w:rFonts w:ascii="Arial" w:cs="Arial" w:eastAsia="Arial" w:hAnsi="Arial"/>
          <w:b/>
          <w:bCs/>
          <w:color w:val="0F3460"/>
          <w:sz w:val="23"/>
          <w:szCs w:val="23"/>
        </w:rPr>
        <w:t xml:space="preserve">27. NON-CIRCUMVENTION</w:t>
      </w:r>
    </w:p>
    <w:p>
      <w:pPr>
        <w:pStyle w:val="ListParagraph"/>
        <w:numPr>
          <w:ilvl w:val="0"/>
          <w:numId w:val="2"/>
        </w:numPr>
        <w:spacing w:after="100" w:before="80"/>
        <w:jc w:val="both"/>
      </w:pPr>
      <w:r>
        <w:rPr>
          <w:rFonts w:ascii="Arial" w:cs="Arial" w:eastAsia="Arial" w:hAnsi="Arial"/>
          <w:color w:val="1A1A2E"/>
          <w:sz w:val="20"/>
          <w:szCs w:val="20"/>
        </w:rPr>
        <w:t xml:space="preserve">The Startup shall not, directly or indirectly: (a) structure, delay, stage, or fragment a Transaction; (b) interpose any affiliate, subsidiary, holding company, special purpose vehicle, or other third party; (c) enter into any side arrangement, shadow agreement, or other arrangement having the same or equivalent economic effect; (d) convert equity consideration to debt or other instruments; or (e) defer or withhold completion of a Transaction, for the purpose, or with the effect, of avoiding, reducing, or deferring the Success Fee.</w:t>
      </w:r>
    </w:p>
    <w:p>
      <w:pPr>
        <w:pStyle w:val="ListParagraph"/>
        <w:numPr>
          <w:ilvl w:val="0"/>
          <w:numId w:val="2"/>
        </w:numPr>
        <w:spacing w:after="100" w:before="80"/>
        <w:jc w:val="both"/>
      </w:pPr>
      <w:r>
        <w:rPr>
          <w:rFonts w:ascii="Arial" w:cs="Arial" w:eastAsia="Arial" w:hAnsi="Arial"/>
          <w:color w:val="1A1A2E"/>
          <w:sz w:val="20"/>
          <w:szCs w:val="20"/>
        </w:rPr>
        <w:t xml:space="preserve">Any arrangement falling within Clause 27.1 shall be treated as a Facilitated Transaction for all purposes of these Terms, and the Success Fee shall be calculated by reference to the full economic value of the arrangement, including the value of any instrument or arrangement used to circumvent the Success Fee.</w:t>
      </w:r>
    </w:p>
    <w:p>
      <w:pPr>
        <w:pStyle w:val="ListParagraph"/>
        <w:numPr>
          <w:ilvl w:val="0"/>
          <w:numId w:val="2"/>
        </w:numPr>
        <w:spacing w:after="100" w:before="80"/>
        <w:jc w:val="both"/>
      </w:pPr>
      <w:r>
        <w:rPr>
          <w:rFonts w:ascii="Arial" w:cs="Arial" w:eastAsia="Arial" w:hAnsi="Arial"/>
          <w:color w:val="1A1A2E"/>
          <w:sz w:val="20"/>
          <w:szCs w:val="20"/>
        </w:rPr>
        <w:t xml:space="preserve">Where Foresight Value has reasonable grounds to believe that a circumvention arrangement has been entered into, it may: (a) apply a valuation to the Transaction based on its reasonable assessment of the full economic value; and (b) immediately demand payment of the Success Fee together with interest at the rate specified in Clause 30.</w:t>
      </w:r>
    </w:p>
    <w:p>
      <w:pPr>
        <w:spacing w:after="80" w:before="0"/>
      </w:pPr>
    </w:p>
    <w:p>
      <w:pPr>
        <w:spacing w:after="120" w:before="320"/>
      </w:pPr>
      <w:r>
        <w:rPr>
          <w:rFonts w:ascii="Arial" w:cs="Arial" w:eastAsia="Arial" w:hAnsi="Arial"/>
          <w:b/>
          <w:bCs/>
          <w:color w:val="0F3460"/>
          <w:sz w:val="23"/>
          <w:szCs w:val="23"/>
        </w:rPr>
        <w:t xml:space="preserve">28. CALCULATION OF SUCCESS FEE</w:t>
      </w:r>
    </w:p>
    <w:p>
      <w:pPr>
        <w:pStyle w:val="ListParagraph"/>
        <w:numPr>
          <w:ilvl w:val="0"/>
          <w:numId w:val="2"/>
        </w:numPr>
        <w:spacing w:after="100" w:before="80"/>
        <w:jc w:val="both"/>
      </w:pPr>
      <w:r>
        <w:rPr>
          <w:rFonts w:ascii="Arial" w:cs="Arial" w:eastAsia="Arial" w:hAnsi="Arial"/>
          <w:color w:val="1A1A2E"/>
          <w:sz w:val="20"/>
          <w:szCs w:val="20"/>
        </w:rPr>
        <w:t xml:space="preserve">The Success Fee shall be calculated as [5]% of the Total Consideration attributable to Platform members who have made Expressed Interest in the Startup.</w:t>
      </w:r>
    </w:p>
    <w:p>
      <w:pPr>
        <w:pStyle w:val="ListParagraph"/>
        <w:numPr>
          <w:ilvl w:val="0"/>
          <w:numId w:val="2"/>
        </w:numPr>
        <w:spacing w:after="100" w:before="80"/>
        <w:jc w:val="both"/>
      </w:pPr>
      <w:r>
        <w:rPr>
          <w:rFonts w:ascii="Arial" w:cs="Arial" w:eastAsia="Arial" w:hAnsi="Arial"/>
          <w:color w:val="1A1A2E"/>
          <w:sz w:val="20"/>
          <w:szCs w:val="20"/>
        </w:rPr>
        <w:t xml:space="preserve">Total Consideration shall include all economic value received or receivable by the Startup in connection with the Transaction, including without limitation: (a) upfront cash consideration; (b) deferred consideration, whether or not subject to conditions; (c) contingent consideration, including milestone payments and earn-outs, valued on a probability-adjusted basis at the date of Completion; (d) equity or other securities issued or to be issued, valued at the transaction price; (e) assumption of liabilities or obligations; (f) non-cash consideration, valued at fair market value; and (g) any other economic benefit received.</w:t>
      </w:r>
    </w:p>
    <w:p>
      <w:pPr>
        <w:pStyle w:val="ListParagraph"/>
        <w:numPr>
          <w:ilvl w:val="0"/>
          <w:numId w:val="2"/>
        </w:numPr>
        <w:spacing w:after="100" w:before="80"/>
        <w:jc w:val="both"/>
      </w:pPr>
      <w:r>
        <w:rPr>
          <w:rFonts w:ascii="Arial" w:cs="Arial" w:eastAsia="Arial" w:hAnsi="Arial"/>
          <w:color w:val="1A1A2E"/>
          <w:sz w:val="20"/>
          <w:szCs w:val="20"/>
        </w:rPr>
        <w:t xml:space="preserve">Where consideration is paid in tranches, the Success Fee shall be payable proportionately as each tranche is received. The total Success Fee shall not be affected by any subsequent adjustment to the Total Consideration, save where such adjustment is provided for in the transaction documentation and was not made for the purpose of reducing the Success Fee.</w:t>
      </w:r>
    </w:p>
    <w:p>
      <w:pPr>
        <w:pStyle w:val="ListParagraph"/>
        <w:numPr>
          <w:ilvl w:val="0"/>
          <w:numId w:val="2"/>
        </w:numPr>
        <w:spacing w:after="100" w:before="80"/>
        <w:jc w:val="both"/>
      </w:pPr>
      <w:r>
        <w:rPr>
          <w:rFonts w:ascii="Arial" w:cs="Arial" w:eastAsia="Arial" w:hAnsi="Arial"/>
          <w:color w:val="1A1A2E"/>
          <w:sz w:val="20"/>
          <w:szCs w:val="20"/>
        </w:rPr>
        <w:t xml:space="preserve">Where any element of Total Consideration is not denominated in GBP, it shall be converted to GBP at the Bank of England spot rate on the date of Completion.</w:t>
      </w:r>
    </w:p>
    <w:p>
      <w:pPr>
        <w:pStyle w:val="ListParagraph"/>
        <w:numPr>
          <w:ilvl w:val="0"/>
          <w:numId w:val="2"/>
        </w:numPr>
        <w:spacing w:after="100" w:before="80"/>
        <w:jc w:val="both"/>
      </w:pPr>
      <w:r>
        <w:rPr>
          <w:rFonts w:ascii="Arial" w:cs="Arial" w:eastAsia="Arial" w:hAnsi="Arial"/>
          <w:color w:val="1A1A2E"/>
          <w:sz w:val="20"/>
          <w:szCs w:val="20"/>
        </w:rPr>
        <w:t xml:space="preserve">A minimum Success Fee of £[75,000] shall apply to all Facilitated Transactions, regardless of the Total Consideration.</w:t>
      </w:r>
    </w:p>
    <w:p>
      <w:pPr>
        <w:spacing w:after="80" w:before="0"/>
      </w:pPr>
    </w:p>
    <w:p>
      <w:pPr>
        <w:spacing w:after="120" w:before="320"/>
      </w:pPr>
      <w:r>
        <w:rPr>
          <w:rFonts w:ascii="Arial" w:cs="Arial" w:eastAsia="Arial" w:hAnsi="Arial"/>
          <w:b/>
          <w:bCs/>
          <w:color w:val="0F3460"/>
          <w:sz w:val="23"/>
          <w:szCs w:val="23"/>
        </w:rPr>
        <w:t xml:space="preserve">29. PAYMENT OF SUCCESS FEE</w:t>
      </w:r>
    </w:p>
    <w:p>
      <w:pPr>
        <w:pStyle w:val="ListParagraph"/>
        <w:numPr>
          <w:ilvl w:val="0"/>
          <w:numId w:val="2"/>
        </w:numPr>
        <w:spacing w:after="100" w:before="80"/>
        <w:jc w:val="both"/>
      </w:pPr>
      <w:r>
        <w:rPr>
          <w:rFonts w:ascii="Arial" w:cs="Arial" w:eastAsia="Arial" w:hAnsi="Arial"/>
          <w:color w:val="1A1A2E"/>
          <w:sz w:val="20"/>
          <w:szCs w:val="20"/>
        </w:rPr>
        <w:t xml:space="preserve">The Success Fee shall be due and payable to Foresight Value immediately upon Completion of the Facilitated Transaction.</w:t>
      </w:r>
    </w:p>
    <w:p>
      <w:pPr>
        <w:pStyle w:val="ListParagraph"/>
        <w:numPr>
          <w:ilvl w:val="0"/>
          <w:numId w:val="2"/>
        </w:numPr>
        <w:spacing w:after="100" w:before="80"/>
        <w:jc w:val="both"/>
      </w:pPr>
      <w:r>
        <w:rPr>
          <w:rFonts w:ascii="Arial" w:cs="Arial" w:eastAsia="Arial" w:hAnsi="Arial"/>
          <w:color w:val="1A1A2E"/>
          <w:sz w:val="20"/>
          <w:szCs w:val="20"/>
        </w:rPr>
        <w:t xml:space="preserve">Payment shall be made by bank transfer to such account as Foresight Value shall notify to the Startup in writing.</w:t>
      </w:r>
    </w:p>
    <w:p>
      <w:pPr>
        <w:pStyle w:val="ListParagraph"/>
        <w:numPr>
          <w:ilvl w:val="0"/>
          <w:numId w:val="2"/>
        </w:numPr>
        <w:spacing w:after="100" w:before="80"/>
        <w:jc w:val="both"/>
      </w:pPr>
      <w:r>
        <w:rPr>
          <w:rFonts w:ascii="Arial" w:cs="Arial" w:eastAsia="Arial" w:hAnsi="Arial"/>
          <w:color w:val="1A1A2E"/>
          <w:sz w:val="20"/>
          <w:szCs w:val="20"/>
        </w:rPr>
        <w:t xml:space="preserve">The Startup irrevocably authorises any Investor or counterparty involved in a Facilitated Transaction, upon written request by Foresight Value: (a) to deduct the applicable Success Fee from any amounts payable by that party to the Startup in connection with the Transaction; and (b) to remit such amount directly to Foresight Value. Such action shall constitute valid discharge of the corresponding portion of that party's payment obligation to the Startup.</w:t>
      </w:r>
    </w:p>
    <w:p>
      <w:pPr>
        <w:pStyle w:val="ListParagraph"/>
        <w:numPr>
          <w:ilvl w:val="0"/>
          <w:numId w:val="2"/>
        </w:numPr>
        <w:spacing w:after="100" w:before="80"/>
        <w:jc w:val="both"/>
      </w:pPr>
      <w:r>
        <w:rPr>
          <w:rFonts w:ascii="Arial" w:cs="Arial" w:eastAsia="Arial" w:hAnsi="Arial"/>
          <w:color w:val="1A1A2E"/>
          <w:sz w:val="20"/>
          <w:szCs w:val="20"/>
        </w:rPr>
        <w:t xml:space="preserve">All amounts payable under these Terms are exclusive of VAT. Where VAT is applicable, it shall be charged in addition at the prevailing rate.</w:t>
      </w:r>
    </w:p>
    <w:p>
      <w:pPr>
        <w:spacing w:after="80" w:before="0"/>
      </w:pPr>
    </w:p>
    <w:p>
      <w:pPr>
        <w:spacing w:after="120" w:before="320"/>
      </w:pPr>
      <w:r>
        <w:rPr>
          <w:rFonts w:ascii="Arial" w:cs="Arial" w:eastAsia="Arial" w:hAnsi="Arial"/>
          <w:b/>
          <w:bCs/>
          <w:color w:val="0F3460"/>
          <w:sz w:val="23"/>
          <w:szCs w:val="23"/>
        </w:rPr>
        <w:t xml:space="preserve">30. INTEREST, ENFORCEMENT, AND RECOVERY COSTS</w:t>
      </w:r>
    </w:p>
    <w:p>
      <w:pPr>
        <w:pStyle w:val="ListParagraph"/>
        <w:numPr>
          <w:ilvl w:val="0"/>
          <w:numId w:val="2"/>
        </w:numPr>
        <w:spacing w:after="100" w:before="80"/>
        <w:jc w:val="both"/>
      </w:pPr>
      <w:r>
        <w:rPr>
          <w:rFonts w:ascii="Arial" w:cs="Arial" w:eastAsia="Arial" w:hAnsi="Arial"/>
          <w:color w:val="1A1A2E"/>
          <w:sz w:val="20"/>
          <w:szCs w:val="20"/>
        </w:rPr>
        <w:t xml:space="preserve">Any Success Fee not paid on the due date shall accrue interest at the rate of eight per cent (8%) per annum above the Bank of England base rate, calculated on a daily basis from the due date until the date of actual payment.</w:t>
      </w:r>
    </w:p>
    <w:p>
      <w:pPr>
        <w:pStyle w:val="ListParagraph"/>
        <w:numPr>
          <w:ilvl w:val="0"/>
          <w:numId w:val="2"/>
        </w:numPr>
        <w:spacing w:after="100" w:before="80"/>
        <w:jc w:val="both"/>
      </w:pPr>
      <w:r>
        <w:rPr>
          <w:rFonts w:ascii="Arial" w:cs="Arial" w:eastAsia="Arial" w:hAnsi="Arial"/>
          <w:color w:val="1A1A2E"/>
          <w:sz w:val="20"/>
          <w:szCs w:val="20"/>
        </w:rPr>
        <w:t xml:space="preserve">The Startup shall indemnify Foresight Value on a full indemnity basis for all costs, expenses, and liabilities incurred in recovering any unpaid Success Fee, including without limitation legal fees, court fees, enforcement costs, and the costs of any expert or valuator engaged in connection with a fee calculation dispute.</w:t>
      </w:r>
    </w:p>
    <w:p>
      <w:pPr>
        <w:pStyle w:val="ListParagraph"/>
        <w:numPr>
          <w:ilvl w:val="0"/>
          <w:numId w:val="2"/>
        </w:numPr>
        <w:spacing w:after="100" w:before="80"/>
        <w:jc w:val="both"/>
      </w:pPr>
      <w:r>
        <w:rPr>
          <w:rFonts w:ascii="Arial" w:cs="Arial" w:eastAsia="Arial" w:hAnsi="Arial"/>
          <w:color w:val="1A1A2E"/>
          <w:sz w:val="20"/>
          <w:szCs w:val="20"/>
        </w:rPr>
        <w:t xml:space="preserve">Foresight Value may set off any amounts owed to it by the Startup against any amounts owed by Foresight Value to the Startup under any separate agreement.</w:t>
      </w:r>
    </w:p>
    <w:p>
      <w:pPr>
        <w:spacing w:after="80" w:before="0"/>
      </w:pPr>
    </w:p>
    <w:p>
      <w:pPr>
        <w:spacing w:after="120" w:before="320"/>
      </w:pPr>
      <w:r>
        <w:rPr>
          <w:rFonts w:ascii="Arial" w:cs="Arial" w:eastAsia="Arial" w:hAnsi="Arial"/>
          <w:b/>
          <w:bCs/>
          <w:color w:val="0F3460"/>
          <w:sz w:val="23"/>
          <w:szCs w:val="23"/>
        </w:rPr>
        <w:t xml:space="preserve">31. NO SET-OFF</w:t>
      </w:r>
    </w:p>
    <w:p>
      <w:pPr>
        <w:pStyle w:val="ListParagraph"/>
        <w:numPr>
          <w:ilvl w:val="0"/>
          <w:numId w:val="2"/>
        </w:numPr>
        <w:spacing w:after="100" w:before="80"/>
        <w:jc w:val="both"/>
      </w:pPr>
      <w:r>
        <w:rPr>
          <w:rFonts w:ascii="Arial" w:cs="Arial" w:eastAsia="Arial" w:hAnsi="Arial"/>
          <w:color w:val="1A1A2E"/>
          <w:sz w:val="20"/>
          <w:szCs w:val="20"/>
        </w:rPr>
        <w:t xml:space="preserve">The Startup shall not be entitled to set off, withhold, counterclaim against, deduct from, or reduce any Success Fee by reference to any alleged breach of these Terms by Foresight Value, any dispute as to the quality of the Services, or any other claim or right howsoever arising.</w:t>
      </w:r>
    </w:p>
    <w:p>
      <w:pPr>
        <w:pStyle w:val="ListParagraph"/>
        <w:numPr>
          <w:ilvl w:val="0"/>
          <w:numId w:val="2"/>
        </w:numPr>
        <w:spacing w:after="100" w:before="80"/>
        <w:jc w:val="both"/>
      </w:pPr>
      <w:r>
        <w:rPr>
          <w:rFonts w:ascii="Arial" w:cs="Arial" w:eastAsia="Arial" w:hAnsi="Arial"/>
          <w:color w:val="1A1A2E"/>
          <w:sz w:val="20"/>
          <w:szCs w:val="20"/>
        </w:rPr>
        <w:t xml:space="preserve">The obligation to pay the Success Fee is independent and unconditional. Any claim the Startup may have against Foresight Value shall be pursued separately and shall not entitle the Startup to withhold or delay payment of any Success Fee.</w:t>
      </w:r>
    </w:p>
    <w:p>
      <w:pPr>
        <w:spacing w:after="80" w:before="0"/>
      </w:pPr>
    </w:p>
    <w:p>
      <w:pPr>
        <w:spacing w:after="120" w:before="320"/>
      </w:pPr>
      <w:r>
        <w:rPr>
          <w:rFonts w:ascii="Arial" w:cs="Arial" w:eastAsia="Arial" w:hAnsi="Arial"/>
          <w:b/>
          <w:bCs/>
          <w:color w:val="0F3460"/>
          <w:sz w:val="23"/>
          <w:szCs w:val="23"/>
        </w:rPr>
        <w:t xml:space="preserve">32. AUDIT RIGHTS</w:t>
      </w:r>
    </w:p>
    <w:p>
      <w:pPr>
        <w:pStyle w:val="ListParagraph"/>
        <w:numPr>
          <w:ilvl w:val="0"/>
          <w:numId w:val="2"/>
        </w:numPr>
        <w:spacing w:after="100" w:before="80"/>
        <w:jc w:val="both"/>
      </w:pPr>
      <w:r>
        <w:rPr>
          <w:rFonts w:ascii="Arial" w:cs="Arial" w:eastAsia="Arial" w:hAnsi="Arial"/>
          <w:color w:val="1A1A2E"/>
          <w:sz w:val="20"/>
          <w:szCs w:val="20"/>
        </w:rPr>
        <w:t xml:space="preserve">Foresight Value shall have the right, on not less than five (5) Business Days' written notice, to request from the Startup all information, documents, and records reasonably necessary to: (a) verify the existence, terms, and value of any Transaction; (b) verify the calculation of the Success Fee; and (c) assess compliance with the non-circumvention obligations in Clause 27.</w:t>
      </w:r>
    </w:p>
    <w:p>
      <w:pPr>
        <w:pStyle w:val="ListParagraph"/>
        <w:numPr>
          <w:ilvl w:val="0"/>
          <w:numId w:val="2"/>
        </w:numPr>
        <w:spacing w:after="100" w:before="80"/>
        <w:jc w:val="both"/>
      </w:pPr>
      <w:r>
        <w:rPr>
          <w:rFonts w:ascii="Arial" w:cs="Arial" w:eastAsia="Arial" w:hAnsi="Arial"/>
          <w:color w:val="1A1A2E"/>
          <w:sz w:val="20"/>
          <w:szCs w:val="20"/>
        </w:rPr>
        <w:t xml:space="preserve">The Startup shall provide all requested information promptly, completely, and in good faith. Failure to provide requested information within ten (10) Business Days shall entitle Foresight Value to apply a reasonable valuation to the Transaction and demand payment accordingly.</w:t>
      </w:r>
    </w:p>
    <w:p>
      <w:pPr>
        <w:pStyle w:val="ListParagraph"/>
        <w:numPr>
          <w:ilvl w:val="0"/>
          <w:numId w:val="2"/>
        </w:numPr>
        <w:spacing w:after="100" w:before="80"/>
        <w:jc w:val="both"/>
      </w:pPr>
      <w:r>
        <w:rPr>
          <w:rFonts w:ascii="Arial" w:cs="Arial" w:eastAsia="Arial" w:hAnsi="Arial"/>
          <w:color w:val="1A1A2E"/>
          <w:sz w:val="20"/>
          <w:szCs w:val="20"/>
        </w:rPr>
        <w:t xml:space="preserve">Foresight Value may appoint an independent chartered accountant to conduct an audit of the relevant Transaction at Foresight Value's cost, save where the audit reveals an underpayment of the Success Fee of more than ten percent (10%), in which case the costs of the audit shall be borne by the Startup.</w:t>
      </w:r>
    </w:p>
    <w:p>
      <w:pPr>
        <w:spacing w:after="80" w:before="0"/>
      </w:pPr>
    </w:p>
    <w:p>
      <w:pPr>
        <w:spacing w:after="120" w:before="320"/>
      </w:pPr>
      <w:r>
        <w:rPr>
          <w:rFonts w:ascii="Arial" w:cs="Arial" w:eastAsia="Arial" w:hAnsi="Arial"/>
          <w:b/>
          <w:bCs/>
          <w:color w:val="0F3460"/>
          <w:sz w:val="23"/>
          <w:szCs w:val="23"/>
        </w:rPr>
        <w:t xml:space="preserve">33. SURVIVAL OF SUCCESS FEE PROVISIONS</w:t>
      </w:r>
    </w:p>
    <w:p>
      <w:pPr>
        <w:pStyle w:val="ListParagraph"/>
        <w:numPr>
          <w:ilvl w:val="0"/>
          <w:numId w:val="2"/>
        </w:numPr>
        <w:spacing w:after="100" w:before="80"/>
        <w:jc w:val="both"/>
      </w:pPr>
      <w:r>
        <w:rPr>
          <w:rFonts w:ascii="Arial" w:cs="Arial" w:eastAsia="Arial" w:hAnsi="Arial"/>
          <w:color w:val="1A1A2E"/>
          <w:sz w:val="20"/>
          <w:szCs w:val="20"/>
        </w:rPr>
        <w:t xml:space="preserve">The provisions of this Part B and Schedule 1 shall survive: (a) the termination or expiry of these Terms; (b) withdrawal of the Startup from the Platform; (c) suspension or removal of the Startup's access; and (d) the completion of any Transaction, for the full duration of the Tail Period and in relation to any obligations that have accrued prior to the end of the Tail Period.</w:t>
      </w:r>
    </w:p>
    <w:p>
      <w:pPr>
        <w:pStyle w:val="ListParagraph"/>
        <w:numPr>
          <w:ilvl w:val="0"/>
          <w:numId w:val="2"/>
        </w:numPr>
        <w:spacing w:after="100" w:before="80"/>
        <w:jc w:val="both"/>
      </w:pPr>
      <w:r>
        <w:rPr>
          <w:rFonts w:ascii="Arial" w:cs="Arial" w:eastAsia="Arial" w:hAnsi="Arial"/>
          <w:color w:val="1A1A2E"/>
          <w:sz w:val="20"/>
          <w:szCs w:val="20"/>
        </w:rPr>
        <w:t xml:space="preserve">The Success Fee obligations set out in these Terms shall be enforceable by Foresight Value as a debt due and payable by the Startup.</w:t>
      </w:r>
    </w:p>
    <w:p>
      <w:pPr>
        <w:spacing w:after="320" w:before="0"/>
      </w:pPr>
    </w:p>
    <w:p>
      <w:pPr>
        <w:spacing w:after="0" w:before="480"/>
      </w:pPr>
      <w:r>
        <w:rPr>
          <w:rFonts w:ascii="Arial" w:cs="Arial" w:eastAsia="Arial" w:hAnsi="Arial"/>
          <w:b/>
          <w:bCs/>
          <w:color w:val="1A1A2E"/>
          <w:sz w:val="28"/>
          <w:szCs w:val="28"/>
        </w:rPr>
        <w:t xml:space="preserve">SCHEDULE 1 — SUCCESS FEE SUMMARY TABLE</w:t>
      </w:r>
    </w:p>
    <w:p>
      <w:pPr>
        <w:pBdr>
          <w:bottom w:val="single" w:color="0F3460" w:sz="6" w:space="2"/>
        </w:pBdr>
        <w:spacing w:after="24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5426"/>
      </w:tblGrid>
      <w:tr>
        <w:tc>
          <w:tcPr>
            <w:tcW w:type="dxa" w:w="3600"/>
            <w:tcBorders>
              <w:top w:val="single" w:color="CCCCCC" w:sz="1"/>
              <w:left w:val="single" w:color="CCCCCC" w:sz="1"/>
              <w:bottom w:val="single" w:color="CCCCCC" w:sz="1"/>
              <w:right w:val="single" w:color="CCCCCC" w:sz="1"/>
            </w:tcBorders>
            <w:shd w:fill="1A1A2E" w:val="clear"/>
            <w:tcMar>
              <w:top w:type="dxa" w:w="120"/>
              <w:left w:type="dxa" w:w="160"/>
              <w:bottom w:type="dxa" w:w="120"/>
              <w:right w:type="dxa" w:w="160"/>
            </w:tcMar>
          </w:tcPr>
          <w:p>
            <w:r>
              <w:rPr>
                <w:rFonts w:ascii="Arial" w:cs="Arial" w:eastAsia="Arial" w:hAnsi="Arial"/>
                <w:b/>
                <w:bCs/>
                <w:i w:val="false"/>
                <w:iCs w:val="false"/>
                <w:color w:val="FFFFFF"/>
                <w:sz w:val="20"/>
                <w:szCs w:val="20"/>
              </w:rPr>
              <w:t xml:space="preserve">Item</w:t>
            </w:r>
          </w:p>
        </w:tc>
        <w:tc>
          <w:tcPr>
            <w:tcW w:type="dxa" w:w="5426"/>
            <w:tcBorders>
              <w:top w:val="single" w:color="CCCCCC" w:sz="1"/>
              <w:left w:val="single" w:color="CCCCCC" w:sz="1"/>
              <w:bottom w:val="single" w:color="CCCCCC" w:sz="1"/>
              <w:right w:val="single" w:color="CCCCCC" w:sz="1"/>
            </w:tcBorders>
            <w:shd w:fill="1A1A2E" w:val="clear"/>
            <w:tcMar>
              <w:top w:type="dxa" w:w="120"/>
              <w:left w:type="dxa" w:w="160"/>
              <w:bottom w:type="dxa" w:w="120"/>
              <w:right w:type="dxa" w:w="160"/>
            </w:tcMar>
          </w:tcPr>
          <w:p>
            <w:r>
              <w:rPr>
                <w:rFonts w:ascii="Arial" w:cs="Arial" w:eastAsia="Arial" w:hAnsi="Arial"/>
                <w:b/>
                <w:bCs/>
                <w:i w:val="false"/>
                <w:iCs w:val="false"/>
                <w:color w:val="FFFFFF"/>
                <w:sz w:val="20"/>
                <w:szCs w:val="20"/>
              </w:rPr>
              <w:t xml:space="preserve">Terms</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Standard Success Fee</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[5]% of Total Consideration attributable to Platform members who have made Expressed Interest</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Minimum Fee</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£[75,000] per Facilitated Transaction</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Fee Trigger</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Expressed Interest by a Platform member Investor, through the Platform, prior to Completion</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Tail Period</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24 months from last recorded Platform interaction between the Startup and the relevant Investor</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Declared Exclusions</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Investors named in the Onboarding Disclosure Form as being subject to Substantial Engagement, confirmed in the Onboarding Confirmation only</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Deemed Introduction</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Applies where both parties are Platform members in overlapping sectors / geographies</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Burden of Proof</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Startup bears burden of demonstrating Transaction is not a Facilitated Transaction</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Late Payment Interest</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8% per annum above Bank of England base rate from due date</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Payment Timing</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Immediately upon Completion; proportionate for tranched consideration</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No Set-Off</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Success Fee payable unconditionally; no right of set-off or counterclaim</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Currency</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GBP; other currencies converted at Bank of England spot rate on Completion date</w:t>
            </w:r>
          </w:p>
        </w:tc>
      </w:tr>
      <w:tr>
        <w:tc>
          <w:tcPr>
            <w:tcW w:type="dxa" w:w="26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color w:val="1A1A2E"/>
                <w:sz w:val="19"/>
                <w:szCs w:val="19"/>
              </w:rPr>
              <w:t xml:space="preserve">VAT</w:t>
            </w:r>
          </w:p>
        </w:tc>
        <w:tc>
          <w:tcPr>
            <w:tcW w:type="dxa" w:w="6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color w:val="1A1A2E"/>
                <w:sz w:val="19"/>
                <w:szCs w:val="19"/>
              </w:rPr>
              <w:t xml:space="preserve">All fees exclusive of VAT at prevailing rate</w:t>
            </w:r>
          </w:p>
        </w:tc>
      </w:tr>
    </w:tbl>
    <w:p>
      <w:pPr>
        <w:spacing w:after="320" w:before="0"/>
      </w:pPr>
    </w:p>
    <w:p>
      <w:pPr>
        <w:spacing w:after="0" w:before="480"/>
      </w:pPr>
      <w:r>
        <w:rPr>
          <w:rFonts w:ascii="Arial" w:cs="Arial" w:eastAsia="Arial" w:hAnsi="Arial"/>
          <w:b/>
          <w:bCs/>
          <w:color w:val="1A1A2E"/>
          <w:sz w:val="28"/>
          <w:szCs w:val="28"/>
        </w:rPr>
        <w:t xml:space="preserve">SCHEDULE 2 — STARTUP ONBOARDING ACKNOWLEDGEMENT</w:t>
      </w:r>
    </w:p>
    <w:p>
      <w:pPr>
        <w:pBdr>
          <w:bottom w:val="single" w:color="0F3460" w:sz="6" w:space="2"/>
        </w:pBdr>
        <w:spacing w:after="240" w:before="60"/>
      </w:pPr>
    </w:p>
    <w:p>
      <w:pPr>
        <w:spacing w:after="120" w:before="80"/>
        <w:jc w:val="both"/>
      </w:pPr>
      <w:r>
        <w:rPr>
          <w:rFonts w:ascii="Arial" w:cs="Arial" w:eastAsia="Arial" w:hAnsi="Arial"/>
          <w:b w:val="false"/>
          <w:bCs w:val="false"/>
          <w:i w:val="false"/>
          <w:iCs w:val="false"/>
          <w:color w:val="1A1A2E"/>
          <w:sz w:val="20"/>
          <w:szCs w:val="20"/>
        </w:rPr>
        <w:t xml:space="preserve">This Onboarding Acknowledgement (Acknowledgement) is issued by Foresight Value Ltd and must be countersigned by the Startup as a condition of Platform access.</w:t>
      </w:r>
    </w:p>
    <w:p>
      <w:pPr>
        <w:spacing w:after="12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0F3460" w:sz="8"/>
              <w:left w:val="single" w:color="0F3460" w:sz="24"/>
              <w:bottom w:val="single" w:color="0F3460" w:sz="8"/>
              <w:right w:val="single" w:color="0F3460" w:sz="8"/>
            </w:tcBorders>
            <w:shd w:fill="EEF1F8" w:val="clear"/>
            <w:tcMar>
              <w:top w:type="dxa" w:w="160"/>
              <w:left w:type="dxa" w:w="240"/>
              <w:bottom w:type="dxa" w:w="160"/>
              <w:right w:type="dxa" w:w="240"/>
            </w:tcMar>
          </w:tcPr>
          <w:p>
            <w:pPr>
              <w:jc w:val="both"/>
            </w:pPr>
            <w:r>
              <w:rPr>
                <w:rFonts w:ascii="Arial" w:cs="Arial" w:eastAsia="Arial" w:hAnsi="Arial"/>
                <w:b w:val="false"/>
                <w:bCs w:val="false"/>
                <w:color w:val="1A1A2E"/>
                <w:sz w:val="19"/>
                <w:szCs w:val="19"/>
              </w:rPr>
              <w:t xml:space="preserve">PLEASE READ THIS ACKNOWLEDGEMENT CAREFULLY. BY COUNTERSIGNING BELOW, YOU CONFIRM THAT YOU HAVE READ AND UNDERSTOOD THE PLATFORM TERMS AND CONDITIONS IN THEIR ENTIRETY, INCLUDING THE SUCCESS FEE PROVISIONS IN PART B AND SCHEDULE 1, AND AGREE TO BE LEGALLY BOUND BY THEM. IF YOU DO NOT AGREE, DO NOT SIGN AND DO NOT ACCESS THE PLATFORM.</w:t>
            </w:r>
          </w:p>
        </w:tc>
      </w:tr>
    </w:tbl>
    <w:p>
      <w:pPr>
        <w:spacing w:after="160" w:before="0"/>
      </w:pPr>
    </w:p>
    <w:p>
      <w:pPr>
        <w:spacing w:after="80" w:before="200"/>
      </w:pPr>
      <w:r>
        <w:rPr>
          <w:rFonts w:ascii="Arial" w:cs="Arial" w:eastAsia="Arial" w:hAnsi="Arial"/>
          <w:b/>
          <w:bCs/>
          <w:color w:val="1A1A2E"/>
          <w:sz w:val="20"/>
          <w:szCs w:val="20"/>
        </w:rPr>
        <w:t xml:space="preserve">A.  STARTUP DETAILS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i w:val="false"/>
                <w:iCs w:val="false"/>
                <w:color w:val="1A1A2E"/>
                <w:sz w:val="19"/>
                <w:szCs w:val="19"/>
              </w:rPr>
              <w:t xml:space="preserve">Legal Entity Name</w:t>
            </w:r>
          </w:p>
        </w:tc>
        <w:tc>
          <w:tcPr>
            <w:tcW w:type="dxa" w:w="58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r>
      <w:tr>
        <w:tc>
          <w:tcPr>
            <w:tcW w:type="dxa" w:w="32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i w:val="false"/>
                <w:iCs w:val="false"/>
                <w:color w:val="1A1A2E"/>
                <w:sz w:val="19"/>
                <w:szCs w:val="19"/>
              </w:rPr>
              <w:t xml:space="preserve">Registered Number &amp; Jurisdiction</w:t>
            </w:r>
          </w:p>
        </w:tc>
        <w:tc>
          <w:tcPr>
            <w:tcW w:type="dxa" w:w="58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r>
      <w:tr>
        <w:tc>
          <w:tcPr>
            <w:tcW w:type="dxa" w:w="32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i w:val="false"/>
                <w:iCs w:val="false"/>
                <w:color w:val="1A1A2E"/>
                <w:sz w:val="19"/>
                <w:szCs w:val="19"/>
              </w:rPr>
              <w:t xml:space="preserve">Authorised Signatory Name</w:t>
            </w:r>
          </w:p>
        </w:tc>
        <w:tc>
          <w:tcPr>
            <w:tcW w:type="dxa" w:w="58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r>
      <w:tr>
        <w:tc>
          <w:tcPr>
            <w:tcW w:type="dxa" w:w="32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i w:val="false"/>
                <w:iCs w:val="false"/>
                <w:color w:val="1A1A2E"/>
                <w:sz w:val="19"/>
                <w:szCs w:val="19"/>
              </w:rPr>
              <w:t xml:space="preserve">Title / Position</w:t>
            </w:r>
          </w:p>
        </w:tc>
        <w:tc>
          <w:tcPr>
            <w:tcW w:type="dxa" w:w="58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r>
      <w:tr>
        <w:tc>
          <w:tcPr>
            <w:tcW w:type="dxa" w:w="32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i w:val="false"/>
                <w:iCs w:val="false"/>
                <w:color w:val="1A1A2E"/>
                <w:sz w:val="19"/>
                <w:szCs w:val="19"/>
              </w:rPr>
              <w:t xml:space="preserve">Email Address</w:t>
            </w:r>
          </w:p>
        </w:tc>
        <w:tc>
          <w:tcPr>
            <w:tcW w:type="dxa" w:w="58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r>
      <w:tr>
        <w:tc>
          <w:tcPr>
            <w:tcW w:type="dxa" w:w="32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i w:val="false"/>
                <w:iCs w:val="false"/>
                <w:color w:val="1A1A2E"/>
                <w:sz w:val="19"/>
                <w:szCs w:val="19"/>
              </w:rPr>
              <w:t xml:space="preserve">Listing Date</w:t>
            </w:r>
          </w:p>
        </w:tc>
        <w:tc>
          <w:tcPr>
            <w:tcW w:type="dxa" w:w="58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r>
    </w:tbl>
    <w:p>
      <w:pPr>
        <w:spacing w:after="200" w:before="0"/>
      </w:pPr>
    </w:p>
    <w:p>
      <w:pPr>
        <w:spacing w:after="80" w:before="200"/>
      </w:pPr>
      <w:r>
        <w:rPr>
          <w:rFonts w:ascii="Arial" w:cs="Arial" w:eastAsia="Arial" w:hAnsi="Arial"/>
          <w:b/>
          <w:bCs/>
          <w:color w:val="1A1A2E"/>
          <w:sz w:val="20"/>
          <w:szCs w:val="20"/>
        </w:rPr>
        <w:t xml:space="preserve">B.  CONFIRMED SUCCESS FEE TERMS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i w:val="false"/>
                <w:iCs w:val="false"/>
                <w:color w:val="1A1A2E"/>
                <w:sz w:val="19"/>
                <w:szCs w:val="19"/>
              </w:rPr>
              <w:t xml:space="preserve">Standard Success Fee Rate</w:t>
            </w:r>
          </w:p>
        </w:tc>
        <w:tc>
          <w:tcPr>
            <w:tcW w:type="dxa" w:w="5826"/>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val="false"/>
                <w:bCs w:val="false"/>
                <w:i w:val="false"/>
                <w:iCs w:val="false"/>
                <w:color w:val="1A1A2E"/>
                <w:sz w:val="19"/>
                <w:szCs w:val="19"/>
              </w:rPr>
              <w:t xml:space="preserve">[5]% of Total Consideration attributable to Platform members who have made Expressed Interest</w:t>
            </w:r>
          </w:p>
        </w:tc>
      </w:tr>
      <w:tr>
        <w:tc>
          <w:tcPr>
            <w:tcW w:type="dxa" w:w="32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i w:val="false"/>
                <w:iCs w:val="false"/>
                <w:color w:val="1A1A2E"/>
                <w:sz w:val="19"/>
                <w:szCs w:val="19"/>
              </w:rPr>
              <w:t xml:space="preserve">Minimum Fee</w:t>
            </w:r>
          </w:p>
        </w:tc>
        <w:tc>
          <w:tcPr>
            <w:tcW w:type="dxa" w:w="5826"/>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val="false"/>
                <w:bCs w:val="false"/>
                <w:i w:val="false"/>
                <w:iCs w:val="false"/>
                <w:color w:val="1A1A2E"/>
                <w:sz w:val="19"/>
                <w:szCs w:val="19"/>
              </w:rPr>
              <w:t xml:space="preserve">£[75,000]</w:t>
            </w:r>
          </w:p>
        </w:tc>
      </w:tr>
      <w:tr>
        <w:tc>
          <w:tcPr>
            <w:tcW w:type="dxa" w:w="32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i w:val="false"/>
                <w:iCs w:val="false"/>
                <w:color w:val="1A1A2E"/>
                <w:sz w:val="19"/>
                <w:szCs w:val="19"/>
              </w:rPr>
              <w:t xml:space="preserve">Tail Period</w:t>
            </w:r>
          </w:p>
        </w:tc>
        <w:tc>
          <w:tcPr>
            <w:tcW w:type="dxa" w:w="5826"/>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val="false"/>
                <w:bCs w:val="false"/>
                <w:i w:val="false"/>
                <w:iCs w:val="false"/>
                <w:color w:val="1A1A2E"/>
                <w:sz w:val="19"/>
                <w:szCs w:val="19"/>
              </w:rPr>
              <w:t xml:space="preserve">24 months from last recorded Platform interaction with the relevant Investor</w:t>
            </w:r>
          </w:p>
        </w:tc>
      </w:tr>
      <w:tr>
        <w:tc>
          <w:tcPr>
            <w:tcW w:type="dxa" w:w="3200"/>
            <w:tcBorders>
              <w:top w:val="single" w:color="CCCCCC" w:sz="1"/>
              <w:left w:val="single" w:color="CCCCCC" w:sz="1"/>
              <w:bottom w:val="single" w:color="CCCCCC" w:sz="1"/>
              <w:right w:val="single" w:color="CCCCCC" w:sz="1"/>
            </w:tcBorders>
            <w:shd w:fill="EEF1F8" w:val="clear"/>
            <w:tcMar>
              <w:top w:type="dxa" w:w="100"/>
              <w:left w:type="dxa" w:w="140"/>
              <w:bottom w:type="dxa" w:w="100"/>
              <w:right w:type="dxa" w:w="140"/>
            </w:tcMar>
          </w:tcPr>
          <w:p>
            <w:r>
              <w:rPr>
                <w:rFonts w:ascii="Arial" w:cs="Arial" w:eastAsia="Arial" w:hAnsi="Arial"/>
                <w:b/>
                <w:bCs/>
                <w:i w:val="false"/>
                <w:iCs w:val="false"/>
                <w:color w:val="1A1A2E"/>
                <w:sz w:val="19"/>
                <w:szCs w:val="19"/>
              </w:rPr>
              <w:t xml:space="preserve">Declared Exclusions</w:t>
            </w:r>
          </w:p>
        </w:tc>
        <w:tc>
          <w:tcPr>
            <w:tcW w:type="dxa" w:w="5826"/>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val="false"/>
                <w:bCs w:val="false"/>
                <w:i/>
                <w:iCs/>
                <w:color w:val="1A1A2E"/>
                <w:sz w:val="19"/>
                <w:szCs w:val="19"/>
              </w:rPr>
              <w:t xml:space="preserve">[None] / [See Annex A — Declared Exclusion List]</w:t>
            </w:r>
          </w:p>
        </w:tc>
      </w:tr>
    </w:tbl>
    <w:p>
      <w:pPr>
        <w:spacing w:after="200" w:before="0"/>
      </w:pPr>
    </w:p>
    <w:p>
      <w:pPr>
        <w:spacing w:after="80" w:before="200"/>
      </w:pPr>
      <w:r>
        <w:rPr>
          <w:rFonts w:ascii="Arial" w:cs="Arial" w:eastAsia="Arial" w:hAnsi="Arial"/>
          <w:b/>
          <w:bCs/>
          <w:color w:val="1A1A2E"/>
          <w:sz w:val="20"/>
          <w:szCs w:val="20"/>
        </w:rPr>
        <w:t xml:space="preserve">C.  STARTUP REPRESENTATIONS AND CONFIRMATIONS</w:t>
      </w:r>
    </w:p>
    <w:p>
      <w:pPr>
        <w:spacing w:after="120" w:before="80"/>
        <w:jc w:val="both"/>
      </w:pPr>
      <w:r>
        <w:rPr>
          <w:rFonts w:ascii="Arial" w:cs="Arial" w:eastAsia="Arial" w:hAnsi="Arial"/>
          <w:b w:val="false"/>
          <w:bCs w:val="false"/>
          <w:i w:val="false"/>
          <w:iCs w:val="false"/>
          <w:color w:val="1A1A2E"/>
          <w:sz w:val="20"/>
          <w:szCs w:val="20"/>
        </w:rPr>
        <w:t xml:space="preserve">By countersigning this Acknowledgement, the authorised signatory on behalf of the Startup confirms and represents that:</w:t>
      </w:r>
    </w:p>
    <w:p>
      <w:pPr>
        <w:spacing w:after="80" w:before="0"/>
      </w:pPr>
    </w:p>
    <w:p>
      <w:pPr>
        <w:pStyle w:val="ListParagraph"/>
        <w:numPr>
          <w:ilvl w:val="0"/>
          <w:numId w:val="2"/>
        </w:numPr>
        <w:spacing w:after="100" w:before="80"/>
        <w:jc w:val="both"/>
      </w:pPr>
      <w:r>
        <w:rPr>
          <w:rFonts w:ascii="Arial" w:cs="Arial" w:eastAsia="Arial" w:hAnsi="Arial"/>
          <w:color w:val="1A1A2E"/>
          <w:sz w:val="20"/>
          <w:szCs w:val="20"/>
        </w:rPr>
        <w:t xml:space="preserve">it has read, understood, and agrees to be legally bound by the Platform Terms and Conditions in their entirety, including Part A, Part B, Schedule 1, and this Schedule 2;</w:t>
      </w:r>
    </w:p>
    <w:p>
      <w:pPr>
        <w:pStyle w:val="ListParagraph"/>
        <w:numPr>
          <w:ilvl w:val="0"/>
          <w:numId w:val="2"/>
        </w:numPr>
        <w:spacing w:after="100" w:before="80"/>
        <w:jc w:val="both"/>
      </w:pPr>
      <w:r>
        <w:rPr>
          <w:rFonts w:ascii="Arial" w:cs="Arial" w:eastAsia="Arial" w:hAnsi="Arial"/>
          <w:color w:val="1A1A2E"/>
          <w:sz w:val="20"/>
          <w:szCs w:val="20"/>
        </w:rPr>
        <w:t xml:space="preserve">it has full authority to execute this Acknowledgement on behalf of the Startup and to bind the Startup to the Terms;</w:t>
      </w:r>
    </w:p>
    <w:p>
      <w:pPr>
        <w:pStyle w:val="ListParagraph"/>
        <w:numPr>
          <w:ilvl w:val="0"/>
          <w:numId w:val="2"/>
        </w:numPr>
        <w:spacing w:after="100" w:before="80"/>
        <w:jc w:val="both"/>
      </w:pPr>
      <w:r>
        <w:rPr>
          <w:rFonts w:ascii="Arial" w:cs="Arial" w:eastAsia="Arial" w:hAnsi="Arial"/>
          <w:color w:val="1A1A2E"/>
          <w:sz w:val="20"/>
          <w:szCs w:val="20"/>
        </w:rPr>
        <w:t xml:space="preserve">all information provided in the Onboarding Disclosure Form is accurate, complete, and not misleading in any material respect;</w:t>
      </w:r>
    </w:p>
    <w:p>
      <w:pPr>
        <w:pStyle w:val="ListParagraph"/>
        <w:numPr>
          <w:ilvl w:val="0"/>
          <w:numId w:val="2"/>
        </w:numPr>
        <w:spacing w:after="100" w:before="80"/>
        <w:jc w:val="both"/>
      </w:pPr>
      <w:r>
        <w:rPr>
          <w:rFonts w:ascii="Arial" w:cs="Arial" w:eastAsia="Arial" w:hAnsi="Arial"/>
          <w:color w:val="1A1A2E"/>
          <w:sz w:val="20"/>
          <w:szCs w:val="20"/>
        </w:rPr>
        <w:t xml:space="preserve">it has disclosed in the Onboarding Disclosure Form all Investors with whom the Startup is in Substantial Engagement as at the Listing Date, and acknowledges that any Investor not so disclosed is subject to the standard Success Fee terms in full;</w:t>
      </w:r>
    </w:p>
    <w:p>
      <w:pPr>
        <w:pStyle w:val="ListParagraph"/>
        <w:numPr>
          <w:ilvl w:val="0"/>
          <w:numId w:val="2"/>
        </w:numPr>
        <w:spacing w:after="100" w:before="80"/>
        <w:jc w:val="both"/>
      </w:pPr>
      <w:r>
        <w:rPr>
          <w:rFonts w:ascii="Arial" w:cs="Arial" w:eastAsia="Arial" w:hAnsi="Arial"/>
          <w:color w:val="1A1A2E"/>
          <w:sz w:val="20"/>
          <w:szCs w:val="20"/>
        </w:rPr>
        <w:t xml:space="preserve">it understands that Declared Exclusions are fixed at the date of this Acknowledgement and cannot be amended after the Listing Date;</w:t>
      </w:r>
    </w:p>
    <w:p>
      <w:pPr>
        <w:pStyle w:val="ListParagraph"/>
        <w:numPr>
          <w:ilvl w:val="0"/>
          <w:numId w:val="2"/>
        </w:numPr>
        <w:spacing w:after="100" w:before="80"/>
        <w:jc w:val="both"/>
      </w:pPr>
      <w:r>
        <w:rPr>
          <w:rFonts w:ascii="Arial" w:cs="Arial" w:eastAsia="Arial" w:hAnsi="Arial"/>
          <w:color w:val="1A1A2E"/>
          <w:sz w:val="20"/>
          <w:szCs w:val="20"/>
        </w:rPr>
        <w:t xml:space="preserve">it understands that the Success Fee is payable in respect of all Facilitated Transactions completed within the Tail Period, regardless of where or how those Transactions are concluded;</w:t>
      </w:r>
    </w:p>
    <w:p>
      <w:pPr>
        <w:pStyle w:val="ListParagraph"/>
        <w:numPr>
          <w:ilvl w:val="0"/>
          <w:numId w:val="2"/>
        </w:numPr>
        <w:spacing w:after="100" w:before="80"/>
        <w:jc w:val="both"/>
      </w:pPr>
      <w:r>
        <w:rPr>
          <w:rFonts w:ascii="Arial" w:cs="Arial" w:eastAsia="Arial" w:hAnsi="Arial"/>
          <w:color w:val="1A1A2E"/>
          <w:sz w:val="20"/>
          <w:szCs w:val="20"/>
        </w:rPr>
        <w:t xml:space="preserve">it understands that in the event of a dispute as to whether a Transaction constitutes a Facilitated Transaction, the burden of proof lies with the Startup;</w:t>
      </w:r>
    </w:p>
    <w:p>
      <w:pPr>
        <w:pStyle w:val="ListParagraph"/>
        <w:numPr>
          <w:ilvl w:val="0"/>
          <w:numId w:val="2"/>
        </w:numPr>
        <w:spacing w:after="100" w:before="80"/>
        <w:jc w:val="both"/>
      </w:pPr>
      <w:r>
        <w:rPr>
          <w:rFonts w:ascii="Arial" w:cs="Arial" w:eastAsia="Arial" w:hAnsi="Arial"/>
          <w:color w:val="1A1A2E"/>
          <w:sz w:val="20"/>
          <w:szCs w:val="20"/>
        </w:rPr>
        <w:t xml:space="preserve">it understands that the Platform does not constitute investment advice, regulated financial services, or any form of professional advisory service;</w:t>
      </w:r>
    </w:p>
    <w:p>
      <w:pPr>
        <w:pStyle w:val="ListParagraph"/>
        <w:numPr>
          <w:ilvl w:val="0"/>
          <w:numId w:val="2"/>
        </w:numPr>
        <w:spacing w:after="100" w:before="80"/>
        <w:jc w:val="both"/>
      </w:pPr>
      <w:r>
        <w:rPr>
          <w:rFonts w:ascii="Arial" w:cs="Arial" w:eastAsia="Arial" w:hAnsi="Arial"/>
          <w:color w:val="1A1A2E"/>
          <w:sz w:val="20"/>
          <w:szCs w:val="20"/>
        </w:rPr>
        <w:t xml:space="preserve">it meets the eligibility criteria set out in Clause 3 of the Terms; and</w:t>
      </w:r>
    </w:p>
    <w:p>
      <w:pPr>
        <w:pStyle w:val="ListParagraph"/>
        <w:numPr>
          <w:ilvl w:val="0"/>
          <w:numId w:val="2"/>
        </w:numPr>
        <w:spacing w:after="100" w:before="80"/>
        <w:jc w:val="both"/>
      </w:pPr>
      <w:r>
        <w:rPr>
          <w:rFonts w:ascii="Arial" w:cs="Arial" w:eastAsia="Arial" w:hAnsi="Arial"/>
          <w:color w:val="1A1A2E"/>
          <w:sz w:val="20"/>
          <w:szCs w:val="20"/>
        </w:rPr>
        <w:t xml:space="preserve">it will comply with its ongoing notification obligations under Clause 26 of the Terms.</w:t>
      </w:r>
    </w:p>
    <w:p>
      <w:pPr>
        <w:spacing w:after="200" w:before="0"/>
      </w:pPr>
    </w:p>
    <w:p>
      <w:pPr>
        <w:spacing w:after="80" w:before="200"/>
      </w:pPr>
      <w:r>
        <w:rPr>
          <w:rFonts w:ascii="Arial" w:cs="Arial" w:eastAsia="Arial" w:hAnsi="Arial"/>
          <w:b/>
          <w:bCs/>
          <w:color w:val="1A1A2E"/>
          <w:sz w:val="20"/>
          <w:szCs w:val="20"/>
        </w:rPr>
        <w:t xml:space="preserve">D.  ACCEPTANCE OR REJECTION</w:t>
      </w:r>
    </w:p>
    <w:p>
      <w:pPr>
        <w:spacing w:after="120" w:before="80"/>
        <w:jc w:val="both"/>
      </w:pPr>
      <w:r>
        <w:rPr>
          <w:rFonts w:ascii="Arial" w:cs="Arial" w:eastAsia="Arial" w:hAnsi="Arial"/>
          <w:b w:val="false"/>
          <w:bCs w:val="false"/>
          <w:i w:val="false"/>
          <w:iCs w:val="false"/>
          <w:color w:val="1A1A2E"/>
          <w:sz w:val="20"/>
          <w:szCs w:val="20"/>
        </w:rPr>
        <w:t xml:space="preserve">To activate your Platform listing, please countersign below and return this Acknowledgement to Foresight Value at [email address] within 48 hours of issue.</w:t>
      </w:r>
    </w:p>
    <w:p>
      <w:pPr>
        <w:spacing w:after="80" w:before="0"/>
      </w:pPr>
    </w:p>
    <w:p>
      <w:pPr>
        <w:spacing w:after="120" w:before="80"/>
        <w:jc w:val="both"/>
      </w:pPr>
      <w:r>
        <w:rPr>
          <w:rFonts w:ascii="Arial" w:cs="Arial" w:eastAsia="Arial" w:hAnsi="Arial"/>
          <w:b w:val="false"/>
          <w:bCs w:val="false"/>
          <w:i w:val="false"/>
          <w:iCs w:val="false"/>
          <w:color w:val="1A1A2E"/>
          <w:sz w:val="20"/>
          <w:szCs w:val="20"/>
        </w:rPr>
        <w:t xml:space="preserve">If you do not wish to proceed on the confirmed terms, please notify Foresight Value in writing within 48 hours. Your application will be closed and no further obligations will arise on either side. Foresight Value incurs no liability in such circumstances.</w:t>
      </w:r>
    </w:p>
    <w:p>
      <w:pPr>
        <w:spacing w:after="80" w:before="0"/>
      </w:pPr>
    </w:p>
    <w:p>
      <w:pPr>
        <w:spacing w:after="120" w:before="80"/>
        <w:jc w:val="both"/>
      </w:pPr>
      <w:r>
        <w:rPr>
          <w:rFonts w:ascii="Arial" w:cs="Arial" w:eastAsia="Arial" w:hAnsi="Arial"/>
          <w:b w:val="false"/>
          <w:bCs w:val="false"/>
          <w:i w:val="false"/>
          <w:iCs w:val="false"/>
          <w:color w:val="1A1A2E"/>
          <w:sz w:val="20"/>
          <w:szCs w:val="20"/>
        </w:rPr>
        <w:t xml:space="preserve">Failure to respond within 48 hours will be treated as withdrawal of your application.</w:t>
      </w:r>
    </w:p>
    <w:p>
      <w:pPr>
        <w:spacing w:after="24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13"/>
        <w:gridCol w:w="200"/>
        <w:gridCol w:w="4413"/>
      </w:tblGrid>
      <w:tr>
        <w:tc>
          <w:tcPr>
            <w:tcW w:type="dxa" w:w="4413"/>
            <w:tcBorders>
              <w:top w:val="none" w:color="FFFFFF" w:sz="0"/>
              <w:left w:val="none" w:color="FFFFFF" w:sz="0"/>
              <w:bottom w:val="none" w:color="FFFFFF" w:sz="0"/>
              <w:right w:val="none" w:color="FFFFFF" w:sz="0"/>
            </w:tcBorders>
            <w:tcMar>
              <w:top w:type="dxa" w:w="80"/>
              <w:left w:type="dxa" w:w="0"/>
              <w:bottom w:type="dxa" w:w="80"/>
              <w:right w:type="dxa" w:w="80"/>
            </w:tcMar>
          </w:tcPr>
          <w:p>
            <w:pPr>
              <w:pBdr>
                <w:bottom w:val="single" w:color="1A1A2E" w:sz="4"/>
              </w:pBdr>
              <w:spacing w:after="200" w:before="0"/>
            </w:pPr>
            <w:r>
              <w:rPr>
                <w:rFonts w:ascii="Arial" w:cs="Arial" w:eastAsia="Arial" w:hAnsi="Arial"/>
                <w:b/>
                <w:bCs/>
                <w:i w:val="false"/>
                <w:iCs w:val="false"/>
                <w:color w:val="1A1A2E"/>
                <w:sz w:val="19"/>
                <w:szCs w:val="19"/>
              </w:rPr>
              <w:t xml:space="preserve">SIGNED for and on behalf of the Startup</w:t>
            </w:r>
          </w:p>
          <w:p>
            <w:pPr>
              <w:spacing w:after="120" w:before="400"/>
            </w:pPr>
            <w:r>
              <w:rPr>
                <w:rFonts w:ascii="Arial" w:cs="Arial" w:eastAsia="Arial" w:hAnsi="Arial"/>
                <w:b w:val="false"/>
                <w:bCs w:val="false"/>
                <w:i w:val="false"/>
                <w:iCs w:val="false"/>
                <w:color w:val="1A1A2E"/>
                <w:sz w:val="19"/>
                <w:szCs w:val="19"/>
              </w:rPr>
              <w:t xml:space="preserve">Signature: ___________________________</w:t>
            </w:r>
          </w:p>
          <w:p>
            <w:pPr>
              <w:spacing w:after="80" w:before="80"/>
            </w:pPr>
            <w:r>
              <w:rPr>
                <w:rFonts w:ascii="Arial" w:cs="Arial" w:eastAsia="Arial" w:hAnsi="Arial"/>
                <w:b w:val="false"/>
                <w:bCs w:val="false"/>
                <w:i w:val="false"/>
                <w:iCs w:val="false"/>
                <w:color w:val="1A1A2E"/>
                <w:sz w:val="19"/>
                <w:szCs w:val="19"/>
              </w:rPr>
              <w:t xml:space="preserve">Name: ________________________________</w:t>
            </w:r>
          </w:p>
          <w:p>
            <w:pPr>
              <w:spacing w:after="80" w:before="80"/>
            </w:pPr>
            <w:r>
              <w:rPr>
                <w:rFonts w:ascii="Arial" w:cs="Arial" w:eastAsia="Arial" w:hAnsi="Arial"/>
                <w:b w:val="false"/>
                <w:bCs w:val="false"/>
                <w:i w:val="false"/>
                <w:iCs w:val="false"/>
                <w:color w:val="1A1A2E"/>
                <w:sz w:val="19"/>
                <w:szCs w:val="19"/>
              </w:rPr>
              <w:t xml:space="preserve">Title: _________________________________</w:t>
            </w:r>
          </w:p>
          <w:p>
            <w:pPr>
              <w:spacing w:after="80" w:before="80"/>
            </w:pPr>
            <w:r>
              <w:rPr>
                <w:rFonts w:ascii="Arial" w:cs="Arial" w:eastAsia="Arial" w:hAnsi="Arial"/>
                <w:b w:val="false"/>
                <w:bCs w:val="false"/>
                <w:i w:val="false"/>
                <w:iCs w:val="false"/>
                <w:color w:val="1A1A2E"/>
                <w:sz w:val="19"/>
                <w:szCs w:val="19"/>
              </w:rPr>
              <w:t xml:space="preserve">Date: _________________________________</w:t>
            </w:r>
          </w:p>
        </w:tc>
        <w:tc>
          <w:tcPr>
            <w:tcW w:type="dxa" w:w="200"/>
            <w:tcBorders>
              <w:top w:val="none" w:color="FFFFFF" w:sz="0"/>
              <w:left w:val="none" w:color="FFFFFF" w:sz="0"/>
              <w:bottom w:val="none" w:color="FFFFFF" w:sz="0"/>
              <w:right w:val="none" w:color="FFFFFF" w:sz="0"/>
            </w:tcBorders>
          </w:tcPr>
          <w:p>
            <w:pPr>
              <w:spacing w:after="120" w:before="80"/>
              <w:jc w:val="both"/>
            </w:pPr>
            <w:r>
              <w:rPr>
                <w:rFonts w:ascii="Arial" w:cs="Arial" w:eastAsia="Arial" w:hAnsi="Arial"/>
                <w:b w:val="false"/>
                <w:bCs w:val="false"/>
                <w:i w:val="false"/>
                <w:iCs w:val="false"/>
                <w:color w:val="1A1A2E"/>
                <w:sz w:val="20"/>
                <w:szCs w:val="20"/>
              </w:rPr>
              <w:t xml:space="preserve"/>
            </w:r>
          </w:p>
        </w:tc>
        <w:tc>
          <w:tcPr>
            <w:tcW w:type="dxa" w:w="4413"/>
            <w:tcBorders>
              <w:top w:val="none" w:color="FFFFFF" w:sz="0"/>
              <w:left w:val="none" w:color="FFFFFF" w:sz="0"/>
              <w:bottom w:val="none" w:color="FFFFFF" w:sz="0"/>
              <w:right w:val="none" w:color="FFFFFF" w:sz="0"/>
            </w:tcBorders>
            <w:tcMar>
              <w:top w:type="dxa" w:w="80"/>
              <w:left w:type="dxa" w:w="80"/>
              <w:bottom w:type="dxa" w:w="80"/>
              <w:right w:type="dxa" w:w="0"/>
            </w:tcMar>
          </w:tcPr>
          <w:p>
            <w:pPr>
              <w:pBdr>
                <w:bottom w:val="single" w:color="1A1A2E" w:sz="4"/>
              </w:pBdr>
              <w:spacing w:after="200" w:before="0"/>
            </w:pPr>
            <w:r>
              <w:rPr>
                <w:rFonts w:ascii="Arial" w:cs="Arial" w:eastAsia="Arial" w:hAnsi="Arial"/>
                <w:b/>
                <w:bCs/>
                <w:i w:val="false"/>
                <w:iCs w:val="false"/>
                <w:color w:val="1A1A2E"/>
                <w:sz w:val="19"/>
                <w:szCs w:val="19"/>
              </w:rPr>
              <w:t xml:space="preserve">ACKNOWLEDGED by Foresight Value Ltd</w:t>
            </w:r>
          </w:p>
          <w:p>
            <w:pPr>
              <w:spacing w:after="120" w:before="400"/>
            </w:pPr>
            <w:r>
              <w:rPr>
                <w:rFonts w:ascii="Arial" w:cs="Arial" w:eastAsia="Arial" w:hAnsi="Arial"/>
                <w:b w:val="false"/>
                <w:bCs w:val="false"/>
                <w:i w:val="false"/>
                <w:iCs w:val="false"/>
                <w:color w:val="1A1A2E"/>
                <w:sz w:val="19"/>
                <w:szCs w:val="19"/>
              </w:rPr>
              <w:t xml:space="preserve">Signature: ___________________________</w:t>
            </w:r>
          </w:p>
          <w:p>
            <w:pPr>
              <w:spacing w:after="80" w:before="80"/>
            </w:pPr>
            <w:r>
              <w:rPr>
                <w:rFonts w:ascii="Arial" w:cs="Arial" w:eastAsia="Arial" w:hAnsi="Arial"/>
                <w:b w:val="false"/>
                <w:bCs w:val="false"/>
                <w:i w:val="false"/>
                <w:iCs w:val="false"/>
                <w:color w:val="1A1A2E"/>
                <w:sz w:val="19"/>
                <w:szCs w:val="19"/>
              </w:rPr>
              <w:t xml:space="preserve">Name: ________________________________</w:t>
            </w:r>
          </w:p>
          <w:p>
            <w:pPr>
              <w:spacing w:after="80" w:before="80"/>
            </w:pPr>
            <w:r>
              <w:rPr>
                <w:rFonts w:ascii="Arial" w:cs="Arial" w:eastAsia="Arial" w:hAnsi="Arial"/>
                <w:b w:val="false"/>
                <w:bCs w:val="false"/>
                <w:i w:val="false"/>
                <w:iCs w:val="false"/>
                <w:color w:val="1A1A2E"/>
                <w:sz w:val="19"/>
                <w:szCs w:val="19"/>
              </w:rPr>
              <w:t xml:space="preserve">Title: _________________________________</w:t>
            </w:r>
          </w:p>
          <w:p>
            <w:pPr>
              <w:spacing w:after="80" w:before="80"/>
            </w:pPr>
            <w:r>
              <w:rPr>
                <w:rFonts w:ascii="Arial" w:cs="Arial" w:eastAsia="Arial" w:hAnsi="Arial"/>
                <w:b w:val="false"/>
                <w:bCs w:val="false"/>
                <w:i w:val="false"/>
                <w:iCs w:val="false"/>
                <w:color w:val="1A1A2E"/>
                <w:sz w:val="19"/>
                <w:szCs w:val="19"/>
              </w:rPr>
              <w:t xml:space="preserve">Date: _________________________________</w:t>
            </w:r>
          </w:p>
        </w:tc>
      </w:tr>
    </w:tbl>
    <w:p>
      <w:pPr>
        <w:spacing w:after="320" w:before="0"/>
      </w:pPr>
    </w:p>
    <w:p>
      <w:pPr>
        <w:spacing w:after="0" w:before="480"/>
      </w:pPr>
      <w:r>
        <w:rPr>
          <w:rFonts w:ascii="Arial" w:cs="Arial" w:eastAsia="Arial" w:hAnsi="Arial"/>
          <w:b/>
          <w:bCs/>
          <w:color w:val="1A1A2E"/>
          <w:sz w:val="28"/>
          <w:szCs w:val="28"/>
        </w:rPr>
        <w:t xml:space="preserve">ANNEX A — DECLARED EXCLUSION LIST</w:t>
      </w:r>
    </w:p>
    <w:p>
      <w:pPr>
        <w:pBdr>
          <w:bottom w:val="single" w:color="0F3460" w:sz="6" w:space="2"/>
        </w:pBdr>
        <w:spacing w:after="240" w:before="60"/>
      </w:pPr>
    </w:p>
    <w:p>
      <w:pPr>
        <w:spacing w:after="120" w:before="80"/>
        <w:jc w:val="both"/>
      </w:pPr>
      <w:r>
        <w:rPr>
          <w:rFonts w:ascii="Arial" w:cs="Arial" w:eastAsia="Arial" w:hAnsi="Arial"/>
          <w:b w:val="false"/>
          <w:bCs w:val="false"/>
          <w:i w:val="false"/>
          <w:iCs w:val="false"/>
          <w:color w:val="1A1A2E"/>
          <w:sz w:val="20"/>
          <w:szCs w:val="20"/>
        </w:rPr>
        <w:t xml:space="preserve">To be completed only where Declared Exclusions have been granted by Foresight Value in the Onboarding Confirmation. This Annex forms part of, and is incorporated into, the Onboarding Acknowledgement.</w:t>
      </w:r>
    </w:p>
    <w:p>
      <w:pPr>
        <w:spacing w:after="120" w:before="0"/>
      </w:pPr>
    </w:p>
    <w:p>
      <w:pPr>
        <w:spacing w:after="120" w:before="80"/>
        <w:jc w:val="both"/>
      </w:pPr>
      <w:r>
        <w:rPr>
          <w:rFonts w:ascii="Arial" w:cs="Arial" w:eastAsia="Arial" w:hAnsi="Arial"/>
          <w:b w:val="false"/>
          <w:bCs w:val="false"/>
          <w:i/>
          <w:iCs/>
          <w:color w:val="1A1A2E"/>
          <w:sz w:val="20"/>
          <w:szCs w:val="20"/>
        </w:rPr>
        <w:t xml:space="preserve">The following Investors have been confirmed as Declared Exclusions on the basis of Substantial Engagement declared by the Startup and evaluated by Foresight Value. No Success Fee is payable in respect of a Transaction completed with a Declared Exclusion Investor, provided that the Transaction relates to the same financing round declared at the time of listing.</w:t>
      </w:r>
    </w:p>
    <w:p>
      <w:pPr>
        <w:spacing w:after="12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0"/>
        <w:gridCol w:w="2400"/>
        <w:gridCol w:w="2200"/>
        <w:gridCol w:w="2226"/>
        <w:gridCol w:w="1800"/>
      </w:tblGrid>
      <w:tr>
        <w:tc>
          <w:tcPr>
            <w:tcW w:type="dxa" w:w="400"/>
            <w:tcBorders>
              <w:top w:val="single" w:color="CCCCCC" w:sz="1"/>
              <w:left w:val="single" w:color="CCCCCC" w:sz="1"/>
              <w:bottom w:val="single" w:color="CCCCCC" w:sz="1"/>
              <w:right w:val="single" w:color="CCCCCC" w:sz="1"/>
            </w:tcBorders>
            <w:shd w:fill="1A1A2E" w:val="clear"/>
            <w:tcMar>
              <w:top w:type="dxa" w:w="100"/>
              <w:left w:type="dxa" w:w="100"/>
              <w:bottom w:type="dxa" w:w="100"/>
              <w:right w:type="dxa" w:w="100"/>
            </w:tcMar>
          </w:tcPr>
          <w:p>
            <w:r>
              <w:rPr>
                <w:rFonts w:ascii="Arial" w:cs="Arial" w:eastAsia="Arial" w:hAnsi="Arial"/>
                <w:b/>
                <w:bCs/>
                <w:i w:val="false"/>
                <w:iCs w:val="false"/>
                <w:color w:val="FFFFFF"/>
                <w:sz w:val="18"/>
                <w:szCs w:val="18"/>
              </w:rPr>
              <w:t xml:space="preserve">#</w:t>
            </w:r>
          </w:p>
        </w:tc>
        <w:tc>
          <w:tcPr>
            <w:tcW w:type="dxa" w:w="2400"/>
            <w:tcBorders>
              <w:top w:val="single" w:color="CCCCCC" w:sz="1"/>
              <w:left w:val="single" w:color="CCCCCC" w:sz="1"/>
              <w:bottom w:val="single" w:color="CCCCCC" w:sz="1"/>
              <w:right w:val="single" w:color="CCCCCC" w:sz="1"/>
            </w:tcBorders>
            <w:shd w:fill="1A1A2E" w:val="clear"/>
            <w:tcMar>
              <w:top w:type="dxa" w:w="100"/>
              <w:left w:type="dxa" w:w="140"/>
              <w:bottom w:type="dxa" w:w="100"/>
              <w:right w:type="dxa" w:w="140"/>
            </w:tcMar>
          </w:tcPr>
          <w:p>
            <w:r>
              <w:rPr>
                <w:rFonts w:ascii="Arial" w:cs="Arial" w:eastAsia="Arial" w:hAnsi="Arial"/>
                <w:b/>
                <w:bCs/>
                <w:i w:val="false"/>
                <w:iCs w:val="false"/>
                <w:color w:val="FFFFFF"/>
                <w:sz w:val="18"/>
                <w:szCs w:val="18"/>
              </w:rPr>
              <w:t xml:space="preserve">Investor Name / Fund</w:t>
            </w:r>
          </w:p>
        </w:tc>
        <w:tc>
          <w:tcPr>
            <w:tcW w:type="dxa" w:w="2200"/>
            <w:tcBorders>
              <w:top w:val="single" w:color="CCCCCC" w:sz="1"/>
              <w:left w:val="single" w:color="CCCCCC" w:sz="1"/>
              <w:bottom w:val="single" w:color="CCCCCC" w:sz="1"/>
              <w:right w:val="single" w:color="CCCCCC" w:sz="1"/>
            </w:tcBorders>
            <w:shd w:fill="1A1A2E" w:val="clear"/>
            <w:tcMar>
              <w:top w:type="dxa" w:w="100"/>
              <w:left w:type="dxa" w:w="140"/>
              <w:bottom w:type="dxa" w:w="100"/>
              <w:right w:type="dxa" w:w="140"/>
            </w:tcMar>
          </w:tcPr>
          <w:p>
            <w:r>
              <w:rPr>
                <w:rFonts w:ascii="Arial" w:cs="Arial" w:eastAsia="Arial" w:hAnsi="Arial"/>
                <w:b/>
                <w:bCs/>
                <w:i w:val="false"/>
                <w:iCs w:val="false"/>
                <w:color w:val="FFFFFF"/>
                <w:sz w:val="18"/>
                <w:szCs w:val="18"/>
              </w:rPr>
              <w:t xml:space="preserve">Nature of Engagement</w:t>
            </w:r>
          </w:p>
        </w:tc>
        <w:tc>
          <w:tcPr>
            <w:tcW w:type="dxa" w:w="2226"/>
            <w:tcBorders>
              <w:top w:val="single" w:color="CCCCCC" w:sz="1"/>
              <w:left w:val="single" w:color="CCCCCC" w:sz="1"/>
              <w:bottom w:val="single" w:color="CCCCCC" w:sz="1"/>
              <w:right w:val="single" w:color="CCCCCC" w:sz="1"/>
            </w:tcBorders>
            <w:shd w:fill="1A1A2E" w:val="clear"/>
            <w:tcMar>
              <w:top w:type="dxa" w:w="100"/>
              <w:left w:type="dxa" w:w="140"/>
              <w:bottom w:type="dxa" w:w="100"/>
              <w:right w:type="dxa" w:w="140"/>
            </w:tcMar>
          </w:tcPr>
          <w:p>
            <w:r>
              <w:rPr>
                <w:rFonts w:ascii="Arial" w:cs="Arial" w:eastAsia="Arial" w:hAnsi="Arial"/>
                <w:b/>
                <w:bCs/>
                <w:i w:val="false"/>
                <w:iCs w:val="false"/>
                <w:color w:val="FFFFFF"/>
                <w:sz w:val="18"/>
                <w:szCs w:val="18"/>
              </w:rPr>
              <w:t xml:space="preserve">Date of First Contact</w:t>
            </w:r>
          </w:p>
        </w:tc>
        <w:tc>
          <w:tcPr>
            <w:tcW w:type="dxa" w:w="1800"/>
            <w:tcBorders>
              <w:top w:val="single" w:color="CCCCCC" w:sz="1"/>
              <w:left w:val="single" w:color="CCCCCC" w:sz="1"/>
              <w:bottom w:val="single" w:color="CCCCCC" w:sz="1"/>
              <w:right w:val="single" w:color="CCCCCC" w:sz="1"/>
            </w:tcBorders>
            <w:shd w:fill="1A1A2E" w:val="clear"/>
            <w:tcMar>
              <w:top w:type="dxa" w:w="100"/>
              <w:left w:type="dxa" w:w="140"/>
              <w:bottom w:type="dxa" w:w="100"/>
              <w:right w:type="dxa" w:w="140"/>
            </w:tcMar>
          </w:tcPr>
          <w:p>
            <w:r>
              <w:rPr>
                <w:rFonts w:ascii="Arial" w:cs="Arial" w:eastAsia="Arial" w:hAnsi="Arial"/>
                <w:b/>
                <w:bCs/>
                <w:i w:val="false"/>
                <w:iCs w:val="false"/>
                <w:color w:val="FFFFFF"/>
                <w:sz w:val="18"/>
                <w:szCs w:val="18"/>
              </w:rPr>
              <w:t xml:space="preserve">Exclusion Confirmed By FV</w:t>
            </w:r>
          </w:p>
        </w:tc>
      </w:tr>
      <w:tr>
        <w:tc>
          <w:tcPr>
            <w:tcW w:type="dxa" w:w="400"/>
            <w:tcBorders>
              <w:top w:val="single" w:color="CCCCCC" w:sz="1"/>
              <w:left w:val="single" w:color="CCCCCC" w:sz="1"/>
              <w:bottom w:val="single" w:color="CCCCCC" w:sz="1"/>
              <w:right w:val="single" w:color="CCCCCC" w:sz="1"/>
            </w:tcBorders>
            <w:tcMar>
              <w:top w:type="dxa" w:w="100"/>
              <w:left w:type="dxa" w:w="100"/>
              <w:bottom w:type="dxa" w:w="100"/>
              <w:right w:type="dxa" w:w="100"/>
            </w:tcMar>
          </w:tcPr>
          <w:p>
            <w:r>
              <w:rPr>
                <w:rFonts w:ascii="Arial" w:cs="Arial" w:eastAsia="Arial" w:hAnsi="Arial"/>
                <w:b w:val="false"/>
                <w:bCs w:val="false"/>
                <w:i w:val="false"/>
                <w:iCs w:val="false"/>
                <w:color w:val="1A1A2E"/>
                <w:sz w:val="19"/>
                <w:szCs w:val="19"/>
              </w:rPr>
              <w:t xml:space="preserve">1</w:t>
            </w:r>
          </w:p>
        </w:tc>
        <w:tc>
          <w:tcPr>
            <w:tcW w:type="dxa" w:w="2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c>
          <w:tcPr>
            <w:tcW w:type="dxa" w:w="22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c>
          <w:tcPr>
            <w:tcW w:type="dxa" w:w="2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c>
          <w:tcPr>
            <w:tcW w:type="dxa" w:w="1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r>
      <w:tr>
        <w:tc>
          <w:tcPr>
            <w:tcW w:type="dxa" w:w="400"/>
            <w:tcBorders>
              <w:top w:val="single" w:color="CCCCCC" w:sz="1"/>
              <w:left w:val="single" w:color="CCCCCC" w:sz="1"/>
              <w:bottom w:val="single" w:color="CCCCCC" w:sz="1"/>
              <w:right w:val="single" w:color="CCCCCC" w:sz="1"/>
            </w:tcBorders>
            <w:tcMar>
              <w:top w:type="dxa" w:w="100"/>
              <w:left w:type="dxa" w:w="100"/>
              <w:bottom w:type="dxa" w:w="100"/>
              <w:right w:type="dxa" w:w="100"/>
            </w:tcMar>
          </w:tcPr>
          <w:p>
            <w:r>
              <w:rPr>
                <w:rFonts w:ascii="Arial" w:cs="Arial" w:eastAsia="Arial" w:hAnsi="Arial"/>
                <w:b w:val="false"/>
                <w:bCs w:val="false"/>
                <w:i w:val="false"/>
                <w:iCs w:val="false"/>
                <w:color w:val="1A1A2E"/>
                <w:sz w:val="19"/>
                <w:szCs w:val="19"/>
              </w:rPr>
              <w:t xml:space="preserve">2</w:t>
            </w:r>
          </w:p>
        </w:tc>
        <w:tc>
          <w:tcPr>
            <w:tcW w:type="dxa" w:w="2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c>
          <w:tcPr>
            <w:tcW w:type="dxa" w:w="22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c>
          <w:tcPr>
            <w:tcW w:type="dxa" w:w="2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c>
          <w:tcPr>
            <w:tcW w:type="dxa" w:w="1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r>
      <w:tr>
        <w:tc>
          <w:tcPr>
            <w:tcW w:type="dxa" w:w="400"/>
            <w:tcBorders>
              <w:top w:val="single" w:color="CCCCCC" w:sz="1"/>
              <w:left w:val="single" w:color="CCCCCC" w:sz="1"/>
              <w:bottom w:val="single" w:color="CCCCCC" w:sz="1"/>
              <w:right w:val="single" w:color="CCCCCC" w:sz="1"/>
            </w:tcBorders>
            <w:tcMar>
              <w:top w:type="dxa" w:w="100"/>
              <w:left w:type="dxa" w:w="100"/>
              <w:bottom w:type="dxa" w:w="100"/>
              <w:right w:type="dxa" w:w="100"/>
            </w:tcMar>
          </w:tcPr>
          <w:p>
            <w:r>
              <w:rPr>
                <w:rFonts w:ascii="Arial" w:cs="Arial" w:eastAsia="Arial" w:hAnsi="Arial"/>
                <w:b w:val="false"/>
                <w:bCs w:val="false"/>
                <w:i w:val="false"/>
                <w:iCs w:val="false"/>
                <w:color w:val="1A1A2E"/>
                <w:sz w:val="19"/>
                <w:szCs w:val="19"/>
              </w:rPr>
              <w:t xml:space="preserve">3</w:t>
            </w:r>
          </w:p>
        </w:tc>
        <w:tc>
          <w:tcPr>
            <w:tcW w:type="dxa" w:w="2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c>
          <w:tcPr>
            <w:tcW w:type="dxa" w:w="22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c>
          <w:tcPr>
            <w:tcW w:type="dxa" w:w="2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c>
          <w:tcPr>
            <w:tcW w:type="dxa" w:w="1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r>
      <w:tr>
        <w:tc>
          <w:tcPr>
            <w:tcW w:type="dxa" w:w="400"/>
            <w:tcBorders>
              <w:top w:val="single" w:color="CCCCCC" w:sz="1"/>
              <w:left w:val="single" w:color="CCCCCC" w:sz="1"/>
              <w:bottom w:val="single" w:color="CCCCCC" w:sz="1"/>
              <w:right w:val="single" w:color="CCCCCC" w:sz="1"/>
            </w:tcBorders>
            <w:tcMar>
              <w:top w:type="dxa" w:w="100"/>
              <w:left w:type="dxa" w:w="100"/>
              <w:bottom w:type="dxa" w:w="100"/>
              <w:right w:type="dxa" w:w="100"/>
            </w:tcMar>
          </w:tcPr>
          <w:p>
            <w:r>
              <w:rPr>
                <w:rFonts w:ascii="Arial" w:cs="Arial" w:eastAsia="Arial" w:hAnsi="Arial"/>
                <w:b w:val="false"/>
                <w:bCs w:val="false"/>
                <w:i w:val="false"/>
                <w:iCs w:val="false"/>
                <w:color w:val="1A1A2E"/>
                <w:sz w:val="19"/>
                <w:szCs w:val="19"/>
              </w:rPr>
              <w:t xml:space="preserve">4</w:t>
            </w:r>
          </w:p>
        </w:tc>
        <w:tc>
          <w:tcPr>
            <w:tcW w:type="dxa" w:w="2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c>
          <w:tcPr>
            <w:tcW w:type="dxa" w:w="22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c>
          <w:tcPr>
            <w:tcW w:type="dxa" w:w="2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c>
          <w:tcPr>
            <w:tcW w:type="dxa" w:w="1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r>
      <w:tr>
        <w:tc>
          <w:tcPr>
            <w:tcW w:type="dxa" w:w="400"/>
            <w:tcBorders>
              <w:top w:val="single" w:color="CCCCCC" w:sz="1"/>
              <w:left w:val="single" w:color="CCCCCC" w:sz="1"/>
              <w:bottom w:val="single" w:color="CCCCCC" w:sz="1"/>
              <w:right w:val="single" w:color="CCCCCC" w:sz="1"/>
            </w:tcBorders>
            <w:tcMar>
              <w:top w:type="dxa" w:w="100"/>
              <w:left w:type="dxa" w:w="100"/>
              <w:bottom w:type="dxa" w:w="100"/>
              <w:right w:type="dxa" w:w="100"/>
            </w:tcMar>
          </w:tcPr>
          <w:p>
            <w:r>
              <w:rPr>
                <w:rFonts w:ascii="Arial" w:cs="Arial" w:eastAsia="Arial" w:hAnsi="Arial"/>
                <w:b w:val="false"/>
                <w:bCs w:val="false"/>
                <w:i w:val="false"/>
                <w:iCs w:val="false"/>
                <w:color w:val="1A1A2E"/>
                <w:sz w:val="19"/>
                <w:szCs w:val="19"/>
              </w:rPr>
              <w:t xml:space="preserve">5</w:t>
            </w:r>
          </w:p>
        </w:tc>
        <w:tc>
          <w:tcPr>
            <w:tcW w:type="dxa" w:w="24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c>
          <w:tcPr>
            <w:tcW w:type="dxa" w:w="22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c>
          <w:tcPr>
            <w:tcW w:type="dxa" w:w="2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c>
          <w:tcPr>
            <w:tcW w:type="dxa" w:w="1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120" w:before="80"/>
              <w:jc w:val="both"/>
            </w:pPr>
            <w:r>
              <w:rPr>
                <w:rFonts w:ascii="Arial" w:cs="Arial" w:eastAsia="Arial" w:hAnsi="Arial"/>
                <w:b w:val="false"/>
                <w:bCs w:val="false"/>
                <w:i w:val="false"/>
                <w:iCs w:val="false"/>
                <w:color w:val="1A1A2E"/>
                <w:sz w:val="20"/>
                <w:szCs w:val="20"/>
              </w:rPr>
              <w:t xml:space="preserve"> </w:t>
            </w:r>
          </w:p>
        </w:tc>
      </w:tr>
    </w:tbl>
    <w:p>
      <w:pPr>
        <w:spacing w:after="200" w:before="0"/>
      </w:pPr>
    </w:p>
    <w:p>
      <w:pPr>
        <w:spacing w:after="120" w:before="80"/>
        <w:jc w:val="both"/>
      </w:pPr>
      <w:r>
        <w:rPr>
          <w:rFonts w:ascii="Arial" w:cs="Arial" w:eastAsia="Arial" w:hAnsi="Arial"/>
          <w:b w:val="false"/>
          <w:bCs w:val="false"/>
          <w:i/>
          <w:iCs/>
          <w:color w:val="1A1A2E"/>
          <w:sz w:val="20"/>
          <w:szCs w:val="20"/>
        </w:rPr>
        <w:t xml:space="preserve">Where no Declared Exclusions apply, this Annex shall be marked 'NOT APPLICABLE' and shall be disregarded for all purposes.</w:t>
      </w:r>
    </w:p>
    <w:p>
      <w:pPr>
        <w:spacing w:after="400" w:before="0"/>
      </w:pPr>
    </w:p>
    <w:p>
      <w:pPr>
        <w:spacing w:after="120" w:before="80"/>
        <w:jc w:val="both"/>
      </w:pPr>
      <w:r>
        <w:rPr>
          <w:rFonts w:ascii="Arial" w:cs="Arial" w:eastAsia="Arial" w:hAnsi="Arial"/>
          <w:b w:val="false"/>
          <w:bCs w:val="false"/>
          <w:i/>
          <w:iCs/>
          <w:color w:val="666666"/>
          <w:sz w:val="17"/>
          <w:szCs w:val="17"/>
        </w:rPr>
        <w:t xml:space="preserve">© Foresight Value Ltd. All rights reserved. These Terms are proprietary to Foresight Value Ltd and may not be reproduced, distributed, or disclosed without prior written consent.</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F3460" w:sz="4" w:space="4"/>
      </w:pBdr>
      <w:tabs>
        <w:tab w:val="right" w:pos="9026"/>
      </w:tabs>
      <w:spacing w:after="0" w:before="160"/>
    </w:pPr>
    <w:r>
      <w:rPr>
        <w:rFonts w:ascii="Arial" w:cs="Arial" w:eastAsia="Arial" w:hAnsi="Arial"/>
        <w:b w:val="false"/>
        <w:bCs w:val="false"/>
        <w:i w:val="false"/>
        <w:iCs w:val="false"/>
        <w:color w:val="666666"/>
        <w:sz w:val="15"/>
        <w:szCs w:val="15"/>
      </w:rPr>
      <w:t xml:space="preserve">Version 1.0  |  Foresight Value Ltd  |  Registered in England &amp; Wales  |  These Terms are governed by English law</w:t>
    </w:r>
    <w:r>
      <w:rPr>
        <w:rFonts w:ascii="Arial" w:cs="Arial" w:eastAsia="Arial" w:hAnsi="Arial"/>
        <w:b w:val="false"/>
        <w:bCs w:val="false"/>
        <w:i w:val="false"/>
        <w:iCs w:val="false"/>
        <w:color w:val="666666"/>
        <w:sz w:val="15"/>
        <w:szCs w:val="15"/>
      </w:rPr>
      <w:t xml:space="preserve">	Page </w:t>
    </w:r>
    <w:r>
      <w:rPr>
        <w:rFonts w:ascii="Arial" w:cs="Arial" w:eastAsia="Arial" w:hAnsi="Arial"/>
        <w:b w:val="false"/>
        <w:bCs w:val="false"/>
        <w:i w:val="false"/>
        <w:iCs w:val="false"/>
        <w:color w:val="666666"/>
        <w:sz w:val="15"/>
        <w:szCs w:val="15"/>
      </w:rPr>
      <w:t xml:space="preserve">[p]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F3460" w:sz="4" w:space="4"/>
      </w:pBdr>
      <w:tabs>
        <w:tab w:val="right" w:pos="9026"/>
      </w:tabs>
      <w:spacing w:after="160" w:before="0"/>
    </w:pPr>
    <w:r>
      <w:rPr>
        <w:rFonts w:ascii="Arial" w:cs="Arial" w:eastAsia="Arial" w:hAnsi="Arial"/>
        <w:b/>
        <w:bCs/>
        <w:i w:val="false"/>
        <w:iCs w:val="false"/>
        <w:color w:val="1A1A2E"/>
        <w:sz w:val="17"/>
        <w:szCs w:val="17"/>
      </w:rPr>
      <w:t xml:space="preserve">FORESIGHT VALUE LTD</w:t>
    </w:r>
    <w:r>
      <w:rPr>
        <w:rFonts w:ascii="Arial" w:cs="Arial" w:eastAsia="Arial" w:hAnsi="Arial"/>
        <w:b w:val="false"/>
        <w:bCs w:val="false"/>
        <w:i w:val="false"/>
        <w:iCs w:val="false"/>
        <w:color w:val="666666"/>
        <w:sz w:val="17"/>
        <w:szCs w:val="17"/>
      </w:rPr>
      <w:t xml:space="preserve">    |    DSR Intelligence &amp; Dealflow Platform — Platform Terms and Conditions</w:t>
    </w:r>
    <w:r>
      <w:rPr>
        <w:rFonts w:ascii="Arial" w:cs="Arial" w:eastAsia="Arial" w:hAnsi="Arial"/>
        <w:b w:val="false"/>
        <w:bCs w:val="false"/>
        <w:i w:val="false"/>
        <w:iCs w:val="false"/>
        <w:color w:val="1A1A2E"/>
        <w:sz w:val="17"/>
        <w:szCs w:val="17"/>
      </w:rPr>
      <w:t xml:space="preserve">	</w:t>
    </w:r>
    <w:r>
      <w:rPr>
        <w:rFonts w:ascii="Arial" w:cs="Arial" w:eastAsia="Arial" w:hAnsi="Arial"/>
        <w:b w:val="false"/>
        <w:bCs w:val="false"/>
        <w:i/>
        <w:iCs/>
        <w:color w:val="666666"/>
        <w:sz w:val="15"/>
        <w:szCs w:val="15"/>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60" w:hanging="380"/>
      </w:pPr>
    </w:lvl>
    <w:lvl w:ilvl="1" w15:tentative="1">
      <w:start w:val="1"/>
      <w:numFmt w:val="decimal"/>
      <w:lvlText w:val="%1.%2"/>
      <w:lvlJc w:val="left"/>
      <w:pPr>
        <w:ind w:left="1000" w:hanging="420"/>
      </w:pPr>
    </w:lvl>
    <w:lvl w:ilvl="2" w15:tentative="1">
      <w:start w:val="1"/>
      <w:numFmt w:val="lowerLetter"/>
      <w:lvlText w:val="(%3)"/>
      <w:lvlJc w:val="left"/>
      <w:pPr>
        <w:ind w:left="1440" w:hanging="400"/>
      </w:pPr>
    </w:lvl>
    <w:lvl w:ilvl="3" w15:tentative="1">
      <w:start w:val="1"/>
      <w:numFmt w:val="lowerRoman"/>
      <w:lvlText w:val="%4."/>
      <w:lvlJc w:val="left"/>
      <w:pPr>
        <w:ind w:left="1800" w:hanging="38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2026-03-29T22:40:29.459Z</dcterms:created>
  <dcterms:modified xsi:type="dcterms:W3CDTF">2026-03-29T22:40:29.459Z</dcterms:modified>
</cp:coreProperties>
</file>

<file path=docProps/custom.xml><?xml version="1.0" encoding="utf-8"?>
<Properties xmlns="http://schemas.openxmlformats.org/officeDocument/2006/custom-properties" xmlns:vt="http://schemas.openxmlformats.org/officeDocument/2006/docPropsVTypes"/>
</file>