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0C4AA8"/>
          <w:sz w:val="40"/>
          <w:szCs w:val="40"/>
        </w:rPr>
        <w:t xml:space="preserve">MICROSOFT PURVIEW READINESS CHECKLIST</w:t>
      </w:r>
    </w:p>
    <w:p>
      <w:pPr>
        <w:spacing w:after="60"/>
        <w:jc w:val="center"/>
      </w:pPr>
      <w:r>
        <w:rPr>
          <w:i/>
          <w:iCs/>
          <w:color w:val="595959"/>
          <w:sz w:val="24"/>
          <w:szCs w:val="24"/>
        </w:rPr>
        <w:t xml:space="preserve">People, Process &amp; Technology — Before You Configure a Single Label</w:t>
      </w:r>
    </w:p>
    <w:p>
      <w:pPr>
        <w:spacing w:after="360"/>
        <w:jc w:val="center"/>
      </w:pPr>
      <w:r>
        <w:rPr>
          <w:color w:val="595959"/>
          <w:sz w:val="20"/>
          <w:szCs w:val="20"/>
        </w:rPr>
        <w:t xml:space="preserve">By René Vlieger  |  Microsoft MVP – Purview  |  Microsoft Certified Trainer  |  ms365news.com</w:t>
      </w:r>
    </w:p>
    <w:p>
      <w:pPr>
        <w:spacing w:after="120"/>
      </w:pPr>
      <w:r>
        <w:rPr>
          <w:i w:val="false"/>
          <w:iCs w:val="false"/>
          <w:color w:val="000000"/>
          <w:sz w:val="22"/>
          <w:szCs w:val="22"/>
        </w:rPr>
        <w:t xml:space="preserve">Most Purview rollouts don't fail because of the technology. They fail because teams jump straight into sensitivity labels and DLP policies before the foundation is in place — and then spend months unwinding mislabeled content, frustrated end users, and policies nobody agreed on.</w:t>
      </w:r>
    </w:p>
    <w:p>
      <w:pPr>
        <w:spacing w:after="120"/>
      </w:pPr>
      <w:r>
        <w:rPr>
          <w:i w:val="false"/>
          <w:iCs w:val="false"/>
          <w:color w:val="000000"/>
          <w:sz w:val="22"/>
          <w:szCs w:val="22"/>
        </w:rPr>
        <w:t xml:space="preserve">This checklist walks through the same three-pillar approach I use with clients before touching a single Purview setting: People, Process, and Technology. Work through it in order — each section builds on the one before it.</w:t>
      </w:r>
    </w:p>
    <w:p>
      <w:pPr>
        <w:pBdr>
          <w:bottom w:val="single" w:color="0C4AA8" w:sz="8" w:space="1"/>
        </w:pBdr>
        <w:spacing w:after="200" w:before="100"/>
      </w:pPr>
      <w:r>
        <w:t xml:space="preserve"/>
      </w:r>
    </w:p>
    <w:p>
      <w:pPr>
        <w:pStyle w:val="Heading1"/>
        <w:spacing w:after="160" w:before="320"/>
      </w:pPr>
      <w:r>
        <w:rPr>
          <w:b/>
          <w:bCs/>
          <w:color w:val="0C4AA8"/>
          <w:sz w:val="30"/>
          <w:szCs w:val="30"/>
        </w:rPr>
        <w:t xml:space="preserve">1. People</w:t>
      </w:r>
    </w:p>
    <w:p>
      <w:pPr>
        <w:spacing w:after="120"/>
      </w:pPr>
      <w:r>
        <w:rPr>
          <w:i w:val="false"/>
          <w:iCs w:val="false"/>
          <w:color w:val="000000"/>
          <w:sz w:val="22"/>
          <w:szCs w:val="22"/>
        </w:rPr>
        <w:t xml:space="preserve">Purview succeeds or fails based on who owns it and who's affected by it. Get this wrong and no policy will stick.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sz w:val="22"/>
          <w:szCs w:val="22"/>
        </w:rPr>
        <w:t xml:space="preserve">Identify a named data governance owner (not “IT” as a whole — one accountable person or small group).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sz w:val="22"/>
          <w:szCs w:val="22"/>
        </w:rPr>
        <w:t xml:space="preserve">Map out which business units handle the most sensitive data (finance, HR, legal, R&amp;D) and involve a representative from each.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sz w:val="22"/>
          <w:szCs w:val="22"/>
        </w:rPr>
        <w:t xml:space="preserve">Identify your “loudest” stakeholders — the teams most likely to push back on new restrictions — and bring them in early, not after rollout.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sz w:val="22"/>
          <w:szCs w:val="22"/>
        </w:rPr>
        <w:t xml:space="preserve">Confirm executive sponsorship. Compliance initiatives without visible leadership backing get deprioritized the moment they cause friction.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sz w:val="22"/>
          <w:szCs w:val="22"/>
        </w:rPr>
        <w:t xml:space="preserve">Plan a basic communication and training approach for end users — people need to know why labels exist before they'll use them correctly.</w:t>
      </w:r>
    </w:p>
    <w:p>
      <w:pPr>
        <w:spacing w:after="140"/>
        <w:ind w:left="720"/>
      </w:pPr>
      <w:r>
        <w:rPr>
          <w:i/>
          <w:iCs/>
          <w:color w:val="595959"/>
          <w:sz w:val="20"/>
          <w:szCs w:val="20"/>
        </w:rPr>
        <w:t xml:space="preserve">If you can't answer “who owns this decision” in one sentence, you're not ready for step 2.</w:t>
      </w:r>
    </w:p>
    <w:p>
      <w:pPr>
        <w:pStyle w:val="Heading1"/>
        <w:spacing w:after="160" w:before="320"/>
      </w:pPr>
      <w:r>
        <w:rPr>
          <w:b/>
          <w:bCs/>
          <w:color w:val="0C4AA8"/>
          <w:sz w:val="30"/>
          <w:szCs w:val="30"/>
        </w:rPr>
        <w:t xml:space="preserve">2. Process</w:t>
      </w:r>
    </w:p>
    <w:p>
      <w:pPr>
        <w:spacing w:after="120"/>
      </w:pPr>
      <w:r>
        <w:rPr>
          <w:i w:val="false"/>
          <w:iCs w:val="false"/>
          <w:color w:val="000000"/>
          <w:sz w:val="22"/>
          <w:szCs w:val="22"/>
        </w:rPr>
        <w:t xml:space="preserve">Before any label or policy is created, the rules of the game need to be defined and agreed — on paper, not in someone's head.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sz w:val="22"/>
          <w:szCs w:val="22"/>
        </w:rPr>
        <w:t xml:space="preserve">Define a data classification standard: what counts as Public, Internal, Confidential, and Highly Confidential in your organization specifically.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sz w:val="22"/>
          <w:szCs w:val="22"/>
        </w:rPr>
        <w:t xml:space="preserve">Document current data handling practices — where sensitive data actually lives today (SharePoint, Teams, email, endpoints, shadow IT).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sz w:val="22"/>
          <w:szCs w:val="22"/>
        </w:rPr>
        <w:t xml:space="preserve">Agree on an exception and override process: who can downgrade a label, and what justification is required.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sz w:val="22"/>
          <w:szCs w:val="22"/>
        </w:rPr>
        <w:t xml:space="preserve">Set a review cadence for policies (e.g. quarterly) so classification rules evolve as the business changes.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sz w:val="22"/>
          <w:szCs w:val="22"/>
        </w:rPr>
        <w:t xml:space="preserve">Define what “success” looks like — fewer oversharing incidents? Audit readiness? Copilot governance? Pick metrics before you configure anything.</w:t>
      </w:r>
    </w:p>
    <w:p>
      <w:pPr>
        <w:spacing w:after="140"/>
        <w:ind w:left="720"/>
      </w:pPr>
      <w:r>
        <w:rPr>
          <w:i/>
          <w:iCs/>
          <w:color w:val="595959"/>
          <w:sz w:val="20"/>
          <w:szCs w:val="20"/>
        </w:rPr>
        <w:t xml:space="preserve">This is the step most practitioners skip — and the one that causes the most rework later.</w:t>
      </w:r>
    </w:p>
    <w:p>
      <w:pPr>
        <w:pStyle w:val="Heading1"/>
        <w:spacing w:after="160" w:before="320"/>
      </w:pPr>
      <w:r>
        <w:rPr>
          <w:b/>
          <w:bCs/>
          <w:color w:val="0C4AA8"/>
          <w:sz w:val="30"/>
          <w:szCs w:val="30"/>
        </w:rPr>
        <w:t xml:space="preserve">3. Technology</w:t>
      </w:r>
    </w:p>
    <w:p>
      <w:pPr>
        <w:spacing w:after="120"/>
      </w:pPr>
      <w:r>
        <w:rPr>
          <w:i w:val="false"/>
          <w:iCs w:val="false"/>
          <w:color w:val="000000"/>
          <w:sz w:val="22"/>
          <w:szCs w:val="22"/>
        </w:rPr>
        <w:t xml:space="preserve">Only now does configuration enter the picture — and even here, sequencing matters.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sz w:val="22"/>
          <w:szCs w:val="22"/>
        </w:rPr>
        <w:t xml:space="preserve">Run a data discovery / content scan first to understand what sensitive information types (SITs) actually exist in your tenant.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sz w:val="22"/>
          <w:szCs w:val="22"/>
        </w:rPr>
        <w:t xml:space="preserve">Design your label taxonomy on paper before creating labels in Purview — keep it to 4–6 labels maximum; more causes user confusion.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sz w:val="22"/>
          <w:szCs w:val="22"/>
        </w:rPr>
        <w:t xml:space="preserve">Pilot auto-labeling policies on a small, low-risk scope before tenant-wide rollout.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sz w:val="22"/>
          <w:szCs w:val="22"/>
        </w:rPr>
        <w:t xml:space="preserve">Align DLP policies to the label taxonomy rather than building them independently — avoid the two systems contradicting each other.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sz w:val="22"/>
          <w:szCs w:val="22"/>
        </w:rPr>
        <w:t xml:space="preserve">If Copilot is in use or planned, review DLP for Microsoft 365 Copilot separately — labeled content needs explicit rules for what Copilot can and can't reference.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sz w:val="22"/>
          <w:szCs w:val="22"/>
        </w:rPr>
        <w:t xml:space="preserve">Set policies to simulation/audit mode first, review impact, then enforce.</w:t>
      </w:r>
    </w:p>
    <w:p>
      <w:pPr>
        <w:pBdr>
          <w:bottom w:val="single" w:color="0C4AA8" w:sz="8" w:space="1"/>
        </w:pBdr>
        <w:spacing w:after="200" w:before="100"/>
      </w:pPr>
      <w:r>
        <w:t xml:space="preserve"/>
      </w:r>
    </w:p>
    <w:p>
      <w:pPr>
        <w:pStyle w:val="Heading2"/>
        <w:spacing w:after="120" w:before="280"/>
      </w:pPr>
      <w:r>
        <w:rPr>
          <w:b/>
          <w:bCs/>
          <w:color w:val="0C4AA8"/>
          <w:sz w:val="24"/>
          <w:szCs w:val="24"/>
        </w:rPr>
        <w:t xml:space="preserve">What's next</w:t>
      </w:r>
    </w:p>
    <w:p>
      <w:pPr>
        <w:spacing w:after="120"/>
      </w:pPr>
      <w:r>
        <w:rPr>
          <w:i w:val="false"/>
          <w:iCs w:val="false"/>
          <w:color w:val="000000"/>
          <w:sz w:val="22"/>
          <w:szCs w:val="22"/>
        </w:rPr>
        <w:t xml:space="preserve">If you've worked through People and Process honestly, the Technology step becomes far faster and far less political — which is the whole point.</w:t>
      </w:r>
    </w:p>
    <w:p>
      <w:pPr>
        <w:spacing w:after="120"/>
      </w:pPr>
      <w:r>
        <w:rPr>
          <w:i/>
          <w:iCs/>
          <w:color w:val="0C4AA8"/>
          <w:sz w:val="22"/>
          <w:szCs w:val="22"/>
        </w:rPr>
        <w:t xml:space="preserve">Want the templates that go with each step above — the label taxonomy worksheet, the stakeholder map, and a video walkthrough of a real rollout? That's exactly what the Purview Practitioner Toolkit covers.</w:t>
      </w:r>
    </w:p>
    <w:sectPr>
      <w:pgSz w:w="12240" w:h="15840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none"/>
      <w:lvlText w:val="☐"/>
      <w:lvlJc w:val="left"/>
      <w:pPr>
        <w:ind w:left="504" w:hanging="504"/>
      </w:pPr>
      <w:rPr>
        <w:color w:val="0C4AA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2026-07-26T13:06:11.819Z</dcterms:created>
  <dcterms:modified xsi:type="dcterms:W3CDTF">2026-07-26T13:06:11.835Z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