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6268" w14:textId="57B6C181" w:rsidR="00477186" w:rsidRPr="00F21872" w:rsidRDefault="00885D7B">
      <w:pPr>
        <w:rPr>
          <w:rFonts w:ascii="Arial" w:hAnsi="Arial" w:cs="Arial"/>
          <w:color w:val="767171" w:themeColor="background2" w:themeShade="80"/>
          <w:sz w:val="28"/>
          <w:szCs w:val="28"/>
        </w:rPr>
      </w:pPr>
      <w:r w:rsidRPr="00F21872">
        <w:rPr>
          <w:rFonts w:ascii="Arial" w:hAnsi="Arial" w:cs="Arial"/>
          <w:b/>
          <w:bCs/>
          <w:color w:val="000000" w:themeColor="text1"/>
          <w:sz w:val="28"/>
          <w:szCs w:val="28"/>
        </w:rPr>
        <w:t>Gas Mixer</w:t>
      </w:r>
      <w:r w:rsidRPr="00F21872">
        <w:rPr>
          <w:rFonts w:ascii="Arial" w:hAnsi="Arial" w:cs="Arial"/>
          <w:color w:val="000000" w:themeColor="text1"/>
          <w:sz w:val="28"/>
          <w:szCs w:val="28"/>
        </w:rPr>
        <w:t xml:space="preserve">: </w:t>
      </w:r>
      <w:proofErr w:type="spellStart"/>
      <w:r w:rsidRPr="00F21872">
        <w:rPr>
          <w:rFonts w:ascii="Arial" w:hAnsi="Arial" w:cs="Arial"/>
          <w:b/>
          <w:bCs/>
          <w:color w:val="767171" w:themeColor="background2" w:themeShade="80"/>
          <w:sz w:val="28"/>
          <w:szCs w:val="28"/>
        </w:rPr>
        <w:t>iMix</w:t>
      </w:r>
      <w:r w:rsidRPr="00F21872">
        <w:rPr>
          <w:rFonts w:ascii="Arial" w:hAnsi="Arial" w:cs="Arial"/>
          <w:color w:val="767171" w:themeColor="background2" w:themeShade="80"/>
          <w:sz w:val="28"/>
          <w:szCs w:val="28"/>
        </w:rPr>
        <w:t>compact</w:t>
      </w:r>
      <w:proofErr w:type="spellEnd"/>
    </w:p>
    <w:p w14:paraId="192A439D" w14:textId="05709809" w:rsidR="00885D7B" w:rsidRPr="00F21872" w:rsidRDefault="00885D7B">
      <w:pPr>
        <w:rPr>
          <w:rFonts w:ascii="Arial" w:hAnsi="Arial" w:cs="Arial"/>
          <w:color w:val="000000" w:themeColor="text1"/>
        </w:rPr>
      </w:pPr>
    </w:p>
    <w:p w14:paraId="4B853503" w14:textId="797E903B" w:rsidR="00885D7B" w:rsidRPr="00F21872" w:rsidRDefault="00885D7B">
      <w:pPr>
        <w:rPr>
          <w:rFonts w:ascii="Arial" w:hAnsi="Arial" w:cs="Arial"/>
          <w:b/>
          <w:bCs/>
          <w:color w:val="000000" w:themeColor="text1"/>
        </w:rPr>
      </w:pPr>
      <w:r w:rsidRPr="00F21872">
        <w:rPr>
          <w:rFonts w:ascii="Arial" w:hAnsi="Arial" w:cs="Arial"/>
          <w:b/>
          <w:bCs/>
          <w:color w:val="000000" w:themeColor="text1"/>
        </w:rPr>
        <w:t xml:space="preserve">Compact gas mixer with integrated constant pressure regulators and diffusion mixing system. </w:t>
      </w:r>
    </w:p>
    <w:p w14:paraId="32C2FE09" w14:textId="7641D5F0" w:rsidR="00885D7B" w:rsidRPr="00F21872" w:rsidRDefault="00885D7B" w:rsidP="00F21872">
      <w:pPr>
        <w:pStyle w:val="IHaupttext210"/>
        <w:rPr>
          <w:rFonts w:cs="Arial"/>
          <w:lang w:val="en-US"/>
        </w:rPr>
      </w:pPr>
      <w:r w:rsidRPr="00F21872">
        <w:rPr>
          <w:rFonts w:cs="Arial"/>
          <w:lang w:val="en-US"/>
        </w:rPr>
        <w:t xml:space="preserve">Gas mixer </w:t>
      </w:r>
      <w:proofErr w:type="spellStart"/>
      <w:r w:rsidRPr="00F21872">
        <w:rPr>
          <w:rFonts w:cs="Arial"/>
          <w:lang w:val="en-US"/>
        </w:rPr>
        <w:t>iMix</w:t>
      </w:r>
      <w:r w:rsidRPr="00F21872">
        <w:rPr>
          <w:rFonts w:cs="Arial"/>
          <w:i/>
          <w:lang w:val="en-US"/>
        </w:rPr>
        <w:t>compact</w:t>
      </w:r>
      <w:proofErr w:type="spellEnd"/>
      <w:r w:rsidRPr="00F21872">
        <w:rPr>
          <w:rFonts w:cs="Arial"/>
          <w:lang w:val="en-US"/>
        </w:rPr>
        <w:t xml:space="preserve"> for the production of mixtures of two gases</w:t>
      </w:r>
    </w:p>
    <w:p w14:paraId="7D98700A" w14:textId="56B94090" w:rsidR="00885D7B" w:rsidRPr="00F21872" w:rsidRDefault="001E472A" w:rsidP="00885D7B">
      <w:pPr>
        <w:pStyle w:val="IDatenberschrift10"/>
        <w:rPr>
          <w:rFonts w:cs="Arial"/>
          <w:lang w:val="en-US"/>
        </w:rPr>
      </w:pPr>
      <w:r>
        <w:rPr>
          <w:noProof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30AB8101" wp14:editId="67DB0966">
            <wp:simplePos x="0" y="0"/>
            <wp:positionH relativeFrom="column">
              <wp:posOffset>3518587</wp:posOffset>
            </wp:positionH>
            <wp:positionV relativeFrom="paragraph">
              <wp:posOffset>46521</wp:posOffset>
            </wp:positionV>
            <wp:extent cx="2849245" cy="30683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ixcompac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D7B" w:rsidRPr="00F21872">
        <w:rPr>
          <w:rFonts w:cs="Arial"/>
          <w:lang w:val="en-US"/>
        </w:rPr>
        <w:t>Highlights</w:t>
      </w:r>
    </w:p>
    <w:p w14:paraId="5C0F287E" w14:textId="3F53FFDC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Pr="00F21872">
        <w:rPr>
          <w:sz w:val="20"/>
          <w:szCs w:val="28"/>
          <w:lang w:val="en-GB"/>
        </w:rPr>
        <w:t xml:space="preserve">Gas mixer </w:t>
      </w:r>
      <w:proofErr w:type="spellStart"/>
      <w:r w:rsidRPr="00F21872">
        <w:rPr>
          <w:sz w:val="20"/>
          <w:szCs w:val="28"/>
          <w:lang w:val="en-GB"/>
        </w:rPr>
        <w:t>i</w:t>
      </w:r>
      <w:r w:rsidRPr="00F21872">
        <w:rPr>
          <w:b/>
          <w:sz w:val="20"/>
          <w:szCs w:val="28"/>
          <w:lang w:val="en-GB"/>
        </w:rPr>
        <w:t>Mix</w:t>
      </w:r>
      <w:r w:rsidRPr="00F21872">
        <w:rPr>
          <w:i/>
          <w:sz w:val="20"/>
          <w:szCs w:val="28"/>
          <w:lang w:val="en-GB"/>
        </w:rPr>
        <w:t>compact</w:t>
      </w:r>
      <w:proofErr w:type="spellEnd"/>
      <w:r w:rsidRPr="00F21872">
        <w:rPr>
          <w:i/>
          <w:sz w:val="20"/>
          <w:szCs w:val="28"/>
          <w:lang w:val="en-GB"/>
        </w:rPr>
        <w:t xml:space="preserve"> </w:t>
      </w:r>
      <w:r w:rsidRPr="00F21872">
        <w:rPr>
          <w:sz w:val="20"/>
          <w:szCs w:val="28"/>
          <w:lang w:val="en-GB"/>
        </w:rPr>
        <w:t xml:space="preserve">for the production of up to two predefined and </w:t>
      </w:r>
      <w:r w:rsidRPr="00F21872">
        <w:rPr>
          <w:sz w:val="20"/>
          <w:szCs w:val="28"/>
          <w:lang w:val="en-GB"/>
        </w:rPr>
        <w:br/>
        <w:t>pre-adjusted gas mixtures of two gases</w:t>
      </w:r>
    </w:p>
    <w:p w14:paraId="4C91432A" w14:textId="4C1F6DCC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  <w:t xml:space="preserve">Optimal factory calibration according to </w:t>
      </w:r>
      <w:proofErr w:type="gramStart"/>
      <w:r w:rsidRPr="00F21872">
        <w:rPr>
          <w:sz w:val="20"/>
          <w:szCs w:val="28"/>
          <w:lang w:val="en-US"/>
        </w:rPr>
        <w:t>customer‘</w:t>
      </w:r>
      <w:proofErr w:type="gramEnd"/>
      <w:r w:rsidRPr="00F21872">
        <w:rPr>
          <w:sz w:val="20"/>
          <w:szCs w:val="28"/>
          <w:lang w:val="en-US"/>
        </w:rPr>
        <w:t>s requirement</w:t>
      </w:r>
      <w:r w:rsidRPr="00F21872">
        <w:rPr>
          <w:b/>
          <w:bCs/>
          <w:sz w:val="20"/>
          <w:szCs w:val="28"/>
          <w:lang w:val="en-US"/>
        </w:rPr>
        <w:t xml:space="preserve"> </w:t>
      </w:r>
      <w:r w:rsidRPr="00F21872">
        <w:rPr>
          <w:b/>
          <w:bCs/>
          <w:sz w:val="20"/>
          <w:szCs w:val="28"/>
          <w:lang w:val="en-US"/>
        </w:rPr>
        <w:br/>
      </w:r>
      <w:r w:rsidRPr="00F21872">
        <w:rPr>
          <w:sz w:val="20"/>
          <w:szCs w:val="28"/>
          <w:lang w:val="en-US"/>
        </w:rPr>
        <w:t>(within the permissible range)</w:t>
      </w:r>
    </w:p>
    <w:p w14:paraId="7BCA707B" w14:textId="4EB26C5D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Pr="00F21872">
        <w:rPr>
          <w:bCs/>
          <w:sz w:val="20"/>
          <w:szCs w:val="28"/>
          <w:lang w:val="en-US"/>
        </w:rPr>
        <w:t>Infinitely variable up to 200 l/min (related to Nitrogen)</w:t>
      </w:r>
      <w:r w:rsidRPr="00F21872">
        <w:rPr>
          <w:sz w:val="20"/>
          <w:szCs w:val="28"/>
          <w:lang w:val="en-US"/>
        </w:rPr>
        <w:t xml:space="preserve"> </w:t>
      </w:r>
    </w:p>
    <w:p w14:paraId="204A10CD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Pr="00F21872">
        <w:rPr>
          <w:rFonts w:cs="Times New Roman"/>
          <w:b/>
          <w:sz w:val="20"/>
          <w:szCs w:val="21"/>
          <w:lang w:val="en-US"/>
        </w:rPr>
        <w:t>High accuracy, according to ISO 14175</w:t>
      </w:r>
    </w:p>
    <w:p w14:paraId="54735486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  <w:t>No accidental mixture changes</w:t>
      </w:r>
    </w:p>
    <w:p w14:paraId="677E8087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  <w:t xml:space="preserve">Mixture production stops automatically when gas supply is interrupted </w:t>
      </w:r>
    </w:p>
    <w:p w14:paraId="7B15B1CD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Pr="00F21872">
        <w:rPr>
          <w:rFonts w:cs="Times New Roman"/>
          <w:b/>
          <w:sz w:val="20"/>
          <w:szCs w:val="21"/>
          <w:lang w:val="en-US"/>
        </w:rPr>
        <w:t>Does not depend on gas withdrawal variations</w:t>
      </w:r>
    </w:p>
    <w:p w14:paraId="0A5301DB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Pr="00F21872">
        <w:rPr>
          <w:sz w:val="20"/>
          <w:szCs w:val="28"/>
          <w:lang w:val="en-GB"/>
        </w:rPr>
        <w:t>No additional buffer vessel needed for discontinuous withdrawal of g</w:t>
      </w:r>
      <w:bookmarkStart w:id="0" w:name="_GoBack"/>
      <w:bookmarkEnd w:id="0"/>
      <w:r w:rsidRPr="00F21872">
        <w:rPr>
          <w:sz w:val="20"/>
          <w:szCs w:val="28"/>
          <w:lang w:val="en-GB"/>
        </w:rPr>
        <w:t>as</w:t>
      </w:r>
    </w:p>
    <w:p w14:paraId="2D7AF61E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</w:r>
      <w:r w:rsidRPr="00F21872">
        <w:rPr>
          <w:rFonts w:cs="Times New Roman"/>
          <w:b/>
          <w:sz w:val="20"/>
          <w:szCs w:val="21"/>
          <w:lang w:val="en-US"/>
        </w:rPr>
        <w:t xml:space="preserve">Does not depend on input pressure differences due to integrated constant pressure regulation </w:t>
      </w:r>
    </w:p>
    <w:p w14:paraId="6140A248" w14:textId="77777777" w:rsidR="00885D7B" w:rsidRPr="00F21872" w:rsidRDefault="00885D7B" w:rsidP="00885D7B">
      <w:pPr>
        <w:pStyle w:val="IAufzaehlungDB"/>
        <w:rPr>
          <w:bCs/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  <w:t>Sturdy and compact design, low maintenance</w:t>
      </w:r>
    </w:p>
    <w:p w14:paraId="079E85A4" w14:textId="77777777" w:rsidR="00885D7B" w:rsidRPr="00F21872" w:rsidRDefault="00885D7B" w:rsidP="00885D7B">
      <w:pPr>
        <w:pStyle w:val="IAufzaehlungDB"/>
        <w:rPr>
          <w:sz w:val="20"/>
          <w:szCs w:val="28"/>
          <w:lang w:val="en-US"/>
        </w:rPr>
      </w:pPr>
      <w:r w:rsidRPr="00F21872">
        <w:rPr>
          <w:sz w:val="20"/>
          <w:szCs w:val="28"/>
          <w:lang w:val="en-US"/>
        </w:rPr>
        <w:t>•</w:t>
      </w:r>
      <w:r w:rsidRPr="00F21872">
        <w:rPr>
          <w:sz w:val="20"/>
          <w:szCs w:val="28"/>
          <w:lang w:val="en-US"/>
        </w:rPr>
        <w:tab/>
        <w:t>No power supply required</w:t>
      </w:r>
    </w:p>
    <w:p w14:paraId="6779A41E" w14:textId="77777777" w:rsidR="00885D7B" w:rsidRPr="00A518AA" w:rsidRDefault="00885D7B" w:rsidP="00885D7B">
      <w:pPr>
        <w:pStyle w:val="IDatenberschrift10"/>
        <w:rPr>
          <w:rFonts w:eastAsia="SimSun"/>
          <w:lang w:val="en-US" w:eastAsia="zh-CN"/>
        </w:rPr>
      </w:pPr>
      <w:r w:rsidRPr="00A518AA">
        <w:rPr>
          <w:rFonts w:eastAsia="SimSun"/>
          <w:lang w:val="en-US" w:eastAsia="zh-CN"/>
        </w:rPr>
        <w:t>Maintenance:</w:t>
      </w:r>
    </w:p>
    <w:p w14:paraId="4099EDF0" w14:textId="77777777" w:rsidR="00885D7B" w:rsidRPr="00E53903" w:rsidRDefault="00885D7B" w:rsidP="00F21872">
      <w:pPr>
        <w:pStyle w:val="IHaupttext210"/>
        <w:rPr>
          <w:lang w:val="en-US"/>
        </w:rPr>
      </w:pPr>
      <w:r w:rsidRPr="00E53903">
        <w:rPr>
          <w:lang w:val="en-US"/>
        </w:rPr>
        <w:t xml:space="preserve">Gas mixers are to be tested for leaks at least once a month. </w:t>
      </w:r>
    </w:p>
    <w:p w14:paraId="009D99C6" w14:textId="3DB22975" w:rsidR="00F21872" w:rsidRDefault="00885D7B" w:rsidP="00885D7B">
      <w:pPr>
        <w:rPr>
          <w:lang w:val="en-US"/>
        </w:rPr>
      </w:pPr>
      <w:r w:rsidRPr="00E53903">
        <w:rPr>
          <w:lang w:val="en-US"/>
        </w:rPr>
        <w:t>Gas mixers are only to be opened and repaired by the manufacturer.</w:t>
      </w:r>
    </w:p>
    <w:p w14:paraId="76ED4F5B" w14:textId="77777777" w:rsidR="00F21872" w:rsidRDefault="00F21872" w:rsidP="00885D7B">
      <w:pPr>
        <w:rPr>
          <w:lang w:val="en-US"/>
        </w:rPr>
      </w:pP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213"/>
        <w:gridCol w:w="1738"/>
        <w:gridCol w:w="1739"/>
        <w:gridCol w:w="1739"/>
        <w:gridCol w:w="1739"/>
        <w:gridCol w:w="18"/>
      </w:tblGrid>
      <w:tr w:rsidR="009C5D91" w14:paraId="2C9B9A8F" w14:textId="09DE4311" w:rsidTr="00F21872">
        <w:tc>
          <w:tcPr>
            <w:tcW w:w="9186" w:type="dxa"/>
            <w:gridSpan w:val="6"/>
          </w:tcPr>
          <w:p w14:paraId="2EBF9E98" w14:textId="4B199398" w:rsidR="009C5D91" w:rsidRPr="00F21872" w:rsidRDefault="009C5D91" w:rsidP="00F218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Technical Data:</w:t>
            </w:r>
          </w:p>
        </w:tc>
      </w:tr>
      <w:tr w:rsidR="009C5D91" w14:paraId="4D091E5C" w14:textId="083408A3" w:rsidTr="00F21872">
        <w:trPr>
          <w:gridAfter w:val="1"/>
          <w:wAfter w:w="18" w:type="dxa"/>
        </w:trPr>
        <w:tc>
          <w:tcPr>
            <w:tcW w:w="2213" w:type="dxa"/>
          </w:tcPr>
          <w:p w14:paraId="6885190B" w14:textId="4340ABF6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Carrier Gas:</w:t>
            </w:r>
          </w:p>
        </w:tc>
        <w:tc>
          <w:tcPr>
            <w:tcW w:w="3477" w:type="dxa"/>
            <w:gridSpan w:val="2"/>
          </w:tcPr>
          <w:p w14:paraId="139C4C42" w14:textId="16E0851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Argon (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Ar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78" w:type="dxa"/>
            <w:gridSpan w:val="2"/>
          </w:tcPr>
          <w:p w14:paraId="4F3BF968" w14:textId="17624908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Nitrogen(N2)</w:t>
            </w:r>
          </w:p>
        </w:tc>
      </w:tr>
      <w:tr w:rsidR="009C5D91" w14:paraId="5243F313" w14:textId="4ADBDA5B" w:rsidTr="00F21872">
        <w:trPr>
          <w:gridAfter w:val="1"/>
          <w:wAfter w:w="18" w:type="dxa"/>
        </w:trPr>
        <w:tc>
          <w:tcPr>
            <w:tcW w:w="2213" w:type="dxa"/>
          </w:tcPr>
          <w:p w14:paraId="71DE970C" w14:textId="784C4616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Additive Gas:</w:t>
            </w:r>
          </w:p>
        </w:tc>
        <w:tc>
          <w:tcPr>
            <w:tcW w:w="3477" w:type="dxa"/>
            <w:gridSpan w:val="2"/>
          </w:tcPr>
          <w:p w14:paraId="2BB19B95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(CO2)</w:t>
            </w:r>
          </w:p>
          <w:p w14:paraId="22D875A0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  <w:p w14:paraId="037DE584" w14:textId="7234AB60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Nitrogen (N2)</w:t>
            </w:r>
          </w:p>
        </w:tc>
        <w:tc>
          <w:tcPr>
            <w:tcW w:w="3478" w:type="dxa"/>
            <w:gridSpan w:val="2"/>
          </w:tcPr>
          <w:p w14:paraId="6109D5A9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Carbon Dioxide (CO2)</w:t>
            </w:r>
          </w:p>
          <w:p w14:paraId="6F54AB26" w14:textId="1FC371DE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Helium (He)</w:t>
            </w:r>
          </w:p>
        </w:tc>
      </w:tr>
      <w:tr w:rsidR="009C5D91" w14:paraId="088273B7" w14:textId="1E36C5B2" w:rsidTr="00F21872">
        <w:trPr>
          <w:gridAfter w:val="1"/>
          <w:wAfter w:w="18" w:type="dxa"/>
        </w:trPr>
        <w:tc>
          <w:tcPr>
            <w:tcW w:w="2213" w:type="dxa"/>
          </w:tcPr>
          <w:p w14:paraId="13D0F33A" w14:textId="3D5127B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Range:</w:t>
            </w:r>
          </w:p>
        </w:tc>
        <w:tc>
          <w:tcPr>
            <w:tcW w:w="6955" w:type="dxa"/>
            <w:gridSpan w:val="4"/>
          </w:tcPr>
          <w:p w14:paraId="364AFEED" w14:textId="53A919B5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5 – 95 Vol%</w:t>
            </w:r>
          </w:p>
        </w:tc>
      </w:tr>
      <w:tr w:rsidR="009C5D91" w14:paraId="17689917" w14:textId="7622ABF3" w:rsidTr="00F21872">
        <w:trPr>
          <w:gridAfter w:val="1"/>
          <w:wAfter w:w="18" w:type="dxa"/>
        </w:trPr>
        <w:tc>
          <w:tcPr>
            <w:tcW w:w="2213" w:type="dxa"/>
          </w:tcPr>
          <w:p w14:paraId="0F9DF50C" w14:textId="7613950C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 Pressure:</w:t>
            </w:r>
          </w:p>
        </w:tc>
        <w:tc>
          <w:tcPr>
            <w:tcW w:w="6955" w:type="dxa"/>
            <w:gridSpan w:val="4"/>
          </w:tcPr>
          <w:p w14:paraId="4EB63972" w14:textId="7777777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Min 0.5 MPa (5bar)</w:t>
            </w:r>
          </w:p>
          <w:p w14:paraId="2B2B9206" w14:textId="4ADEC80A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Max 1 MPa (10 bar)</w:t>
            </w:r>
          </w:p>
        </w:tc>
      </w:tr>
      <w:tr w:rsidR="009C5D91" w14:paraId="160ABBAF" w14:textId="418DB6B0" w:rsidTr="00F21872">
        <w:trPr>
          <w:gridAfter w:val="1"/>
          <w:wAfter w:w="18" w:type="dxa"/>
        </w:trPr>
        <w:tc>
          <w:tcPr>
            <w:tcW w:w="2213" w:type="dxa"/>
          </w:tcPr>
          <w:p w14:paraId="22C5D43C" w14:textId="4DAE1A4A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 Pressure:</w:t>
            </w:r>
          </w:p>
        </w:tc>
        <w:tc>
          <w:tcPr>
            <w:tcW w:w="6955" w:type="dxa"/>
            <w:gridSpan w:val="4"/>
          </w:tcPr>
          <w:p w14:paraId="74A654DA" w14:textId="4FE2653F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0.4 – 0.8 MPa (4-8 bar) depending on the inlet pressure</w:t>
            </w:r>
          </w:p>
        </w:tc>
      </w:tr>
      <w:tr w:rsidR="009C5D91" w14:paraId="1F8FE2D9" w14:textId="2C122403" w:rsidTr="00F21872">
        <w:trPr>
          <w:gridAfter w:val="1"/>
          <w:wAfter w:w="18" w:type="dxa"/>
        </w:trPr>
        <w:tc>
          <w:tcPr>
            <w:tcW w:w="2213" w:type="dxa"/>
          </w:tcPr>
          <w:p w14:paraId="34CEF17B" w14:textId="6A2D300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Mixed Gas Capacity:</w:t>
            </w:r>
          </w:p>
        </w:tc>
        <w:tc>
          <w:tcPr>
            <w:tcW w:w="6955" w:type="dxa"/>
            <w:gridSpan w:val="4"/>
          </w:tcPr>
          <w:p w14:paraId="4EFC4175" w14:textId="61C9E601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 – 200 l/min, 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infineitely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variable (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releated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Nitrogen)</w:t>
            </w:r>
          </w:p>
        </w:tc>
      </w:tr>
      <w:tr w:rsidR="009C5D91" w14:paraId="6BD3FF32" w14:textId="3E681273" w:rsidTr="00F21872">
        <w:trPr>
          <w:gridAfter w:val="1"/>
          <w:wAfter w:w="18" w:type="dxa"/>
        </w:trPr>
        <w:tc>
          <w:tcPr>
            <w:tcW w:w="2213" w:type="dxa"/>
          </w:tcPr>
          <w:p w14:paraId="6DFE7094" w14:textId="05730005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Mixing Precision:</w:t>
            </w:r>
          </w:p>
        </w:tc>
        <w:tc>
          <w:tcPr>
            <w:tcW w:w="6955" w:type="dxa"/>
            <w:gridSpan w:val="4"/>
          </w:tcPr>
          <w:p w14:paraId="3998A3AA" w14:textId="506360D7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± 0,5 % abs: 1-5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10 % of nominal value: &gt;5-20 Vol. % additive gas</w:t>
            </w: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± 2 % abs: &gt; 20 Vol. % additive gas</w:t>
            </w:r>
          </w:p>
        </w:tc>
      </w:tr>
      <w:tr w:rsidR="009C5D91" w14:paraId="7903E44D" w14:textId="2FCB7B17" w:rsidTr="00F21872">
        <w:trPr>
          <w:gridAfter w:val="1"/>
          <w:wAfter w:w="18" w:type="dxa"/>
        </w:trPr>
        <w:tc>
          <w:tcPr>
            <w:tcW w:w="2213" w:type="dxa"/>
          </w:tcPr>
          <w:p w14:paraId="7A62099B" w14:textId="31C8510E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Temperature:</w:t>
            </w:r>
          </w:p>
        </w:tc>
        <w:tc>
          <w:tcPr>
            <w:tcW w:w="6955" w:type="dxa"/>
            <w:gridSpan w:val="4"/>
          </w:tcPr>
          <w:p w14:paraId="2C3DDC07" w14:textId="184D9D2B" w:rsidR="009C5D91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-10 to + 50°C</w:t>
            </w:r>
          </w:p>
        </w:tc>
      </w:tr>
      <w:tr w:rsidR="009C5D91" w14:paraId="6A4DE491" w14:textId="5C2EB4A2" w:rsidTr="00F21872">
        <w:trPr>
          <w:gridAfter w:val="1"/>
          <w:wAfter w:w="18" w:type="dxa"/>
        </w:trPr>
        <w:tc>
          <w:tcPr>
            <w:tcW w:w="2213" w:type="dxa"/>
          </w:tcPr>
          <w:p w14:paraId="3A58304F" w14:textId="77777777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Connection</w:t>
            </w:r>
          </w:p>
          <w:p w14:paraId="5E42331F" w14:textId="77777777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Inlet</w:t>
            </w:r>
          </w:p>
          <w:p w14:paraId="554DBD06" w14:textId="2ED5B1BB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Outlet</w:t>
            </w:r>
          </w:p>
        </w:tc>
        <w:tc>
          <w:tcPr>
            <w:tcW w:w="6955" w:type="dxa"/>
            <w:gridSpan w:val="4"/>
          </w:tcPr>
          <w:p w14:paraId="40532E33" w14:textId="72047BCB" w:rsidR="00F21872" w:rsidRPr="00F21872" w:rsidRDefault="009C5D91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G1/4-F</w:t>
            </w:r>
          </w:p>
          <w:p w14:paraId="06D49E9F" w14:textId="310DFC4E" w:rsidR="009C5D91" w:rsidRPr="00F21872" w:rsidRDefault="009C5D91" w:rsidP="00F2187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Optional: G1/4-M-EN560 quick</w:t>
            </w:r>
            <w:r w:rsidR="00F21872"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plug-in connection for 8mm hose</w:t>
            </w:r>
          </w:p>
        </w:tc>
      </w:tr>
      <w:tr w:rsidR="009C5D91" w14:paraId="2F7BB5F8" w14:textId="25D5DF3A" w:rsidTr="00F21872">
        <w:trPr>
          <w:gridAfter w:val="1"/>
          <w:wAfter w:w="18" w:type="dxa"/>
        </w:trPr>
        <w:tc>
          <w:tcPr>
            <w:tcW w:w="2213" w:type="dxa"/>
          </w:tcPr>
          <w:p w14:paraId="772F4C47" w14:textId="48794281" w:rsidR="009C5D91" w:rsidRPr="00F21872" w:rsidRDefault="009C5D91" w:rsidP="00885D7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Material:</w:t>
            </w:r>
          </w:p>
        </w:tc>
        <w:tc>
          <w:tcPr>
            <w:tcW w:w="6955" w:type="dxa"/>
            <w:gridSpan w:val="4"/>
          </w:tcPr>
          <w:p w14:paraId="18E18705" w14:textId="13FD286C" w:rsidR="009C5D91" w:rsidRPr="00F21872" w:rsidRDefault="00F21872" w:rsidP="00F218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Housing: aluminium, </w:t>
            </w:r>
            <w:proofErr w:type="spell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anodisd</w:t>
            </w:r>
            <w:proofErr w:type="spell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in built parts: </w:t>
            </w:r>
            <w:proofErr w:type="gramStart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>Brass ,</w:t>
            </w:r>
            <w:proofErr w:type="gramEnd"/>
            <w:r w:rsidRPr="00F218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stainless steel, elastomer</w:t>
            </w:r>
          </w:p>
        </w:tc>
      </w:tr>
      <w:tr w:rsidR="009C5D91" w14:paraId="168716CC" w14:textId="1F058137" w:rsidTr="00F21872">
        <w:trPr>
          <w:gridAfter w:val="1"/>
          <w:wAfter w:w="18" w:type="dxa"/>
        </w:trPr>
        <w:tc>
          <w:tcPr>
            <w:tcW w:w="2213" w:type="dxa"/>
          </w:tcPr>
          <w:p w14:paraId="436E6614" w14:textId="77777777" w:rsidR="009C5D91" w:rsidRPr="00F21872" w:rsidRDefault="009C5D91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Measure &amp; Weight</w:t>
            </w:r>
          </w:p>
          <w:p w14:paraId="0C4D21E3" w14:textId="0E04D171" w:rsidR="009C5D91" w:rsidRPr="00F21872" w:rsidRDefault="009C5D91" w:rsidP="00885D7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21872">
              <w:rPr>
                <w:b/>
                <w:bCs/>
                <w:color w:val="000000" w:themeColor="text1"/>
                <w:sz w:val="20"/>
                <w:szCs w:val="20"/>
              </w:rPr>
              <w:t>Without connection:</w:t>
            </w:r>
          </w:p>
        </w:tc>
        <w:tc>
          <w:tcPr>
            <w:tcW w:w="1738" w:type="dxa"/>
          </w:tcPr>
          <w:p w14:paraId="336A052B" w14:textId="2A23CFB8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Height</w:t>
            </w:r>
          </w:p>
          <w:p w14:paraId="0619A715" w14:textId="2F9ADFC5" w:rsidR="00F21872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88mm</w:t>
            </w:r>
          </w:p>
        </w:tc>
        <w:tc>
          <w:tcPr>
            <w:tcW w:w="1739" w:type="dxa"/>
          </w:tcPr>
          <w:p w14:paraId="10846B0C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Width</w:t>
            </w:r>
          </w:p>
          <w:p w14:paraId="212B8B26" w14:textId="0CF352C3" w:rsidR="00F21872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80mm</w:t>
            </w:r>
          </w:p>
        </w:tc>
        <w:tc>
          <w:tcPr>
            <w:tcW w:w="1739" w:type="dxa"/>
          </w:tcPr>
          <w:p w14:paraId="4A7A41BE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Depth</w:t>
            </w:r>
          </w:p>
          <w:p w14:paraId="1E860553" w14:textId="32AAA054" w:rsidR="00F21872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68mm</w:t>
            </w:r>
          </w:p>
        </w:tc>
        <w:tc>
          <w:tcPr>
            <w:tcW w:w="1739" w:type="dxa"/>
          </w:tcPr>
          <w:p w14:paraId="0EEBAABA" w14:textId="77777777" w:rsidR="009C5D91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Weight</w:t>
            </w:r>
          </w:p>
          <w:p w14:paraId="313AEFE0" w14:textId="50577207" w:rsidR="00F21872" w:rsidRPr="00F21872" w:rsidRDefault="00F21872" w:rsidP="00F2187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21872">
              <w:rPr>
                <w:color w:val="000000" w:themeColor="text1"/>
                <w:sz w:val="20"/>
                <w:szCs w:val="20"/>
              </w:rPr>
              <w:t>Approx. 1.05kg</w:t>
            </w:r>
          </w:p>
        </w:tc>
      </w:tr>
    </w:tbl>
    <w:p w14:paraId="6DE3CB57" w14:textId="77777777" w:rsidR="00F21872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AAE869D" w14:textId="77777777" w:rsidR="00885D7B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  <w:r w:rsidRPr="00F21872">
        <w:rPr>
          <w:rFonts w:ascii="Arial" w:hAnsi="Arial" w:cs="Arial"/>
          <w:color w:val="000000" w:themeColor="text1"/>
          <w:sz w:val="20"/>
          <w:szCs w:val="20"/>
        </w:rPr>
        <w:t>Further gas mixer versions for the production of gas mixtures of two gases are available on request</w:t>
      </w:r>
    </w:p>
    <w:p w14:paraId="0AD0BF37" w14:textId="77777777" w:rsidR="003B2C80" w:rsidRDefault="003B2C80" w:rsidP="00F21872">
      <w:pPr>
        <w:spacing w:before="120" w:after="120"/>
        <w:rPr>
          <w:rStyle w:val="IDatenberschrift16ptkursivZchn"/>
          <w:rFonts w:eastAsiaTheme="minorHAnsi" w:cs="Arial"/>
        </w:rPr>
      </w:pPr>
    </w:p>
    <w:p w14:paraId="2B12A6E9" w14:textId="772CC00E" w:rsidR="00F21872" w:rsidRPr="00F21872" w:rsidRDefault="00F21872" w:rsidP="00F21872">
      <w:pPr>
        <w:spacing w:before="120" w:after="120"/>
        <w:rPr>
          <w:rFonts w:ascii="Arial" w:hAnsi="Arial" w:cs="Arial"/>
          <w:b/>
          <w:sz w:val="32"/>
        </w:rPr>
      </w:pPr>
      <w:r w:rsidRPr="00F21872">
        <w:rPr>
          <w:rStyle w:val="IDatenberschrift16ptkursivZchn"/>
          <w:rFonts w:eastAsiaTheme="minorHAnsi" w:cs="Arial"/>
        </w:rPr>
        <w:lastRenderedPageBreak/>
        <w:t xml:space="preserve">Type: </w:t>
      </w:r>
      <w:proofErr w:type="spellStart"/>
      <w:r w:rsidRPr="00F21872">
        <w:rPr>
          <w:rFonts w:ascii="Arial" w:hAnsi="Arial" w:cs="Arial"/>
          <w:b/>
          <w:sz w:val="32"/>
          <w:szCs w:val="32"/>
        </w:rPr>
        <w:t>iMix</w:t>
      </w:r>
      <w:r w:rsidRPr="00F21872">
        <w:rPr>
          <w:rFonts w:ascii="Arial" w:hAnsi="Arial" w:cs="Arial"/>
          <w:i/>
          <w:sz w:val="32"/>
          <w:szCs w:val="32"/>
        </w:rPr>
        <w:t>compact</w:t>
      </w:r>
      <w:proofErr w:type="spellEnd"/>
    </w:p>
    <w:p w14:paraId="059A0766" w14:textId="418009D9" w:rsidR="00F21872" w:rsidRPr="00F21872" w:rsidRDefault="00F21872" w:rsidP="00F21872">
      <w:pPr>
        <w:pStyle w:val="IHaupttext210"/>
        <w:rPr>
          <w:rFonts w:cs="Arial"/>
        </w:rPr>
      </w:pPr>
      <w:r w:rsidRPr="00F21872">
        <w:rPr>
          <w:rFonts w:cs="Arial"/>
        </w:rPr>
        <w:t>Flow capacity in l/min related to Nitrogen:</w:t>
      </w:r>
    </w:p>
    <w:p w14:paraId="3A4063EA" w14:textId="1DF6D8DF" w:rsidR="00F21872" w:rsidRDefault="00F2187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6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E05252" w:rsidRPr="00E47C2E" w14:paraId="5B4982B5" w14:textId="77777777" w:rsidTr="00F00648">
        <w:trPr>
          <w:trHeight w:hRule="exact" w:val="42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060F47" w14:textId="77777777" w:rsidR="00E05252" w:rsidRPr="00E47C2E" w:rsidRDefault="00E05252" w:rsidP="00F00648">
            <w:pPr>
              <w:pStyle w:val="ITabellentextklein8pt"/>
              <w:jc w:val="center"/>
              <w:rPr>
                <w:lang w:val="en-GB"/>
              </w:rPr>
            </w:pPr>
            <w:r w:rsidRPr="00E47C2E">
              <w:rPr>
                <w:lang w:val="en-GB"/>
              </w:rPr>
              <w:t>Outlet pressure</w:t>
            </w:r>
            <w:r w:rsidRPr="00E47C2E">
              <w:rPr>
                <w:lang w:val="en-GB"/>
              </w:rPr>
              <w:br/>
              <w:t xml:space="preserve">  [bar] →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84EC82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0,5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722FA2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9A5629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E8238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A8F56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DC0D38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F40725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vAlign w:val="center"/>
            <w:hideMark/>
          </w:tcPr>
          <w:p w14:paraId="1DC2DC34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66E7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8</w:t>
            </w:r>
          </w:p>
        </w:tc>
      </w:tr>
      <w:tr w:rsidR="00E05252" w:rsidRPr="00E47C2E" w14:paraId="73D96752" w14:textId="77777777" w:rsidTr="00F00648">
        <w:trPr>
          <w:trHeight w:hRule="exact" w:val="421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2836AB" w14:textId="77777777" w:rsidR="00E05252" w:rsidRPr="00E47C2E" w:rsidRDefault="00E05252" w:rsidP="00F00648">
            <w:pPr>
              <w:pStyle w:val="ITabellentextklein8pt"/>
              <w:jc w:val="center"/>
              <w:rPr>
                <w:lang w:val="en-GB"/>
              </w:rPr>
            </w:pPr>
            <w:r w:rsidRPr="00E47C2E">
              <w:rPr>
                <w:lang w:val="en-GB"/>
              </w:rPr>
              <w:t>Inlet pressure</w:t>
            </w:r>
            <w:r w:rsidRPr="00E47C2E">
              <w:rPr>
                <w:lang w:val="en-GB"/>
              </w:rPr>
              <w:br/>
              <w:t>[bar] ↓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5FA96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B3CBC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5D5E2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B13ED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280FE3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6586B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B02B9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F9444CE" w14:textId="77777777" w:rsidR="00E05252" w:rsidRPr="00E47C2E" w:rsidRDefault="00E05252" w:rsidP="00F0064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206543" w14:textId="77777777" w:rsidR="00E05252" w:rsidRPr="00E47C2E" w:rsidRDefault="00E05252" w:rsidP="00F00648">
            <w:pPr>
              <w:jc w:val="center"/>
            </w:pPr>
          </w:p>
        </w:tc>
      </w:tr>
      <w:tr w:rsidR="00E05252" w:rsidRPr="00E47C2E" w14:paraId="50F074FF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DA68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A7F0F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75,0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91939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68,8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97115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50,0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5B040726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4931273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93790D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3BCFB8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40B0978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767711BD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</w:tr>
      <w:tr w:rsidR="00E05252" w:rsidRPr="00E47C2E" w14:paraId="181CCAD3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45D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5DFFD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114,6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EC94D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106,3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D4106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89,6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469E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62,5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5F0FC43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7AE86C24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1899751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67ECA2D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591F12B0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</w:tr>
      <w:tr w:rsidR="00E05252" w:rsidRPr="00E47C2E" w14:paraId="72680126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AECF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810D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139,6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F98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135,4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49FF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125,0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7A92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104,2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38F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77,1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0D90C4F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05E1BC2F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FFD193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6BBDFB8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</w:tr>
      <w:tr w:rsidR="00E05252" w:rsidRPr="00E47C2E" w14:paraId="1AA64DEB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1002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06B15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175,0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8C8F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166,7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27863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158,3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11A7A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141,7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169C0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118,8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C3C4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87,5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249D07F4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746D5A3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337E9852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</w:tr>
      <w:tr w:rsidR="00E05252" w:rsidRPr="00E47C2E" w14:paraId="45EBD94D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7F8D3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1A94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208,3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78C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200,0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EAF5A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193,8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A04F4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181,3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D0F2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160,4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C525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135,4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0C73F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100,0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7F7F7F" w:themeColor="text1" w:themeTint="80"/>
            </w:tcBorders>
            <w:hideMark/>
          </w:tcPr>
          <w:p w14:paraId="3F08B9B1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000000"/>
            </w:tcBorders>
            <w:hideMark/>
          </w:tcPr>
          <w:p w14:paraId="4CC8943D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</w:tr>
      <w:tr w:rsidR="00E05252" w:rsidRPr="00E47C2E" w14:paraId="5E0F1405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C4375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482D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237,5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D74A9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231,3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1548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225,0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4B6C8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216,7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4D42C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197,9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C7AB3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177,1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BC8E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143,8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7B96E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110,4</w:t>
            </w:r>
          </w:p>
        </w:tc>
        <w:tc>
          <w:tcPr>
            <w:tcW w:w="565" w:type="dxa"/>
            <w:tcBorders>
              <w:top w:val="single" w:sz="4" w:space="0" w:color="7F7F7F" w:themeColor="text1" w:themeTint="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1BDE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-</w:t>
            </w:r>
          </w:p>
        </w:tc>
      </w:tr>
      <w:tr w:rsidR="00E05252" w:rsidRPr="00E47C2E" w14:paraId="336F2CD3" w14:textId="77777777" w:rsidTr="00F00648">
        <w:trPr>
          <w:trHeight w:hRule="exact" w:val="255"/>
        </w:trPr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FDA23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02DC8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262,5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92CEB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258,3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D165A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250,0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5282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245,8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40F0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237,5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0E677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208,3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654AD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195,8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B2479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158,3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1590" w14:textId="77777777" w:rsidR="00E05252" w:rsidRPr="00E47C2E" w:rsidRDefault="00E05252" w:rsidP="00F00648">
            <w:pPr>
              <w:pStyle w:val="ITabellemittig"/>
              <w:rPr>
                <w:lang w:val="en-GB"/>
              </w:rPr>
            </w:pPr>
            <w:r w:rsidRPr="00E47C2E">
              <w:rPr>
                <w:lang w:val="en-GB"/>
              </w:rPr>
              <w:t>118,8</w:t>
            </w:r>
          </w:p>
        </w:tc>
      </w:tr>
    </w:tbl>
    <w:p w14:paraId="21EAA699" w14:textId="3BFF1F10" w:rsidR="00E05252" w:rsidRDefault="00E0525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8EEABE5" w14:textId="145E0656" w:rsidR="00E05252" w:rsidRDefault="00E05252" w:rsidP="00E05252">
      <w:pPr>
        <w:pStyle w:val="IHaupttext210"/>
        <w:rPr>
          <w:rFonts w:cs="Arial"/>
        </w:rPr>
      </w:pPr>
      <w:r>
        <w:rPr>
          <w:rFonts w:cs="Arial"/>
        </w:rPr>
        <w:t xml:space="preserve">The following table shows the correction factors as an example for different gas mixtures. </w:t>
      </w:r>
    </w:p>
    <w:p w14:paraId="0700950D" w14:textId="2217E437" w:rsidR="00E05252" w:rsidRDefault="00E05252" w:rsidP="00E05252">
      <w:pPr>
        <w:pStyle w:val="IHaupttext210"/>
        <w:rPr>
          <w:rFonts w:cs="Arial"/>
        </w:rPr>
      </w:pPr>
      <w:r>
        <w:rPr>
          <w:rFonts w:cs="Arial"/>
        </w:rPr>
        <w:t xml:space="preserve">When selecting another gas mixture, the flow capacity will be different and can be calculated by a correction factor. </w:t>
      </w:r>
    </w:p>
    <w:tbl>
      <w:tblPr>
        <w:tblStyle w:val="TableGrid"/>
        <w:tblW w:w="7515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567"/>
        <w:gridCol w:w="709"/>
        <w:gridCol w:w="709"/>
        <w:gridCol w:w="1986"/>
      </w:tblGrid>
      <w:tr w:rsidR="00E05252" w:rsidRPr="00E47C2E" w14:paraId="7467AF7A" w14:textId="77777777" w:rsidTr="00F00648">
        <w:trPr>
          <w:trHeight w:val="26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02FCDCD" w14:textId="77777777" w:rsidR="00E05252" w:rsidRPr="00E47C2E" w:rsidRDefault="00E05252" w:rsidP="00F00648">
            <w:pPr>
              <w:rPr>
                <w:rFonts w:eastAsia="SimSun"/>
                <w:b/>
                <w:sz w:val="18"/>
              </w:rPr>
            </w:pPr>
            <w:r w:rsidRPr="00E47C2E">
              <w:rPr>
                <w:rFonts w:eastAsia="SimSun"/>
                <w:b/>
                <w:sz w:val="18"/>
              </w:rPr>
              <w:t>Application table: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72371" w14:textId="77777777" w:rsidR="00E05252" w:rsidRPr="00E47C2E" w:rsidRDefault="00E05252" w:rsidP="00F00648">
            <w:pPr>
              <w:rPr>
                <w:rFonts w:cs="Arial"/>
                <w:sz w:val="18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8176418" w14:textId="77777777" w:rsidR="00E05252" w:rsidRPr="00E47C2E" w:rsidRDefault="00E05252" w:rsidP="00F00648">
            <w:pPr>
              <w:rPr>
                <w:rFonts w:eastAsia="SimSun"/>
                <w:b/>
                <w:sz w:val="18"/>
              </w:rPr>
            </w:pPr>
            <w:r w:rsidRPr="00E47C2E">
              <w:rPr>
                <w:rFonts w:eastAsia="SimSun"/>
                <w:b/>
                <w:sz w:val="18"/>
              </w:rPr>
              <w:t>Application table:</w:t>
            </w:r>
          </w:p>
        </w:tc>
      </w:tr>
      <w:tr w:rsidR="00E05252" w:rsidRPr="00E47C2E" w14:paraId="4E5AA893" w14:textId="77777777" w:rsidTr="00F00648">
        <w:trPr>
          <w:trHeight w:val="132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C3D574" w14:textId="77777777" w:rsidR="00E05252" w:rsidRPr="00E47C2E" w:rsidRDefault="00E05252" w:rsidP="00F00648">
            <w:pPr>
              <w:rPr>
                <w:rFonts w:eastAsia="SimSun"/>
                <w:b/>
                <w:sz w:val="18"/>
              </w:rPr>
            </w:pPr>
            <w:r w:rsidRPr="00E47C2E">
              <w:rPr>
                <w:rFonts w:eastAsia="SimSun"/>
                <w:b/>
                <w:sz w:val="18"/>
              </w:rPr>
              <w:t>Gas mixture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09FFB" w14:textId="77777777" w:rsidR="00E05252" w:rsidRPr="00E47C2E" w:rsidRDefault="00E05252" w:rsidP="00F00648">
            <w:pPr>
              <w:rPr>
                <w:rFonts w:cs="Arial"/>
                <w:sz w:val="18"/>
              </w:rPr>
            </w:pPr>
          </w:p>
        </w:tc>
        <w:tc>
          <w:tcPr>
            <w:tcW w:w="340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6615AF" w14:textId="77777777" w:rsidR="00E05252" w:rsidRPr="00E47C2E" w:rsidRDefault="00E05252" w:rsidP="00F00648">
            <w:pPr>
              <w:rPr>
                <w:rFonts w:eastAsia="SimSun"/>
                <w:b/>
                <w:sz w:val="18"/>
              </w:rPr>
            </w:pPr>
            <w:r w:rsidRPr="00E47C2E">
              <w:rPr>
                <w:rFonts w:eastAsia="SimSun"/>
                <w:b/>
                <w:sz w:val="18"/>
              </w:rPr>
              <w:t xml:space="preserve">Gas mixture </w:t>
            </w:r>
          </w:p>
        </w:tc>
      </w:tr>
      <w:tr w:rsidR="00E05252" w:rsidRPr="00E47C2E" w14:paraId="501585C5" w14:textId="77777777" w:rsidTr="00F00648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EC9E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 xml:space="preserve">Vol.% </w:t>
            </w:r>
            <w:r w:rsidRPr="00E47C2E">
              <w:rPr>
                <w:rFonts w:eastAsia="SimSun"/>
                <w:sz w:val="18"/>
              </w:rPr>
              <w:br/>
              <w:t>CO</w:t>
            </w:r>
            <w:r w:rsidRPr="00E47C2E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FDF1B5F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>Vol.%</w:t>
            </w:r>
            <w:r w:rsidRPr="00E47C2E">
              <w:rPr>
                <w:rFonts w:eastAsia="SimSun"/>
                <w:sz w:val="18"/>
              </w:rPr>
              <w:br/>
            </w:r>
            <w:proofErr w:type="spellStart"/>
            <w:r w:rsidRPr="00E47C2E">
              <w:rPr>
                <w:rFonts w:eastAsia="SimSun"/>
                <w:sz w:val="18"/>
              </w:rPr>
              <w:t>Ar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D2A11A2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>Correction factor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5316" w14:textId="77777777" w:rsidR="00E05252" w:rsidRPr="00E47C2E" w:rsidRDefault="00E05252" w:rsidP="00F00648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47A9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>Vol.%</w:t>
            </w:r>
            <w:r w:rsidRPr="00E47C2E">
              <w:rPr>
                <w:rFonts w:eastAsia="SimSun"/>
                <w:sz w:val="18"/>
              </w:rPr>
              <w:br/>
              <w:t>O</w:t>
            </w:r>
            <w:r w:rsidRPr="00E47C2E">
              <w:rPr>
                <w:rFonts w:eastAsia="SimSun"/>
                <w:sz w:val="18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01FA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>Vol.%</w:t>
            </w:r>
            <w:r w:rsidRPr="00E47C2E">
              <w:rPr>
                <w:rFonts w:eastAsia="SimSun"/>
                <w:sz w:val="18"/>
              </w:rPr>
              <w:br/>
            </w:r>
            <w:proofErr w:type="spellStart"/>
            <w:r w:rsidRPr="00E47C2E">
              <w:rPr>
                <w:rFonts w:eastAsia="SimSun"/>
                <w:sz w:val="18"/>
              </w:rPr>
              <w:t>Ar</w:t>
            </w:r>
            <w:proofErr w:type="spellEnd"/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6F996A9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>Correction factor</w:t>
            </w:r>
          </w:p>
        </w:tc>
      </w:tr>
      <w:tr w:rsidR="00E05252" w:rsidRPr="00E47C2E" w14:paraId="271E162D" w14:textId="77777777" w:rsidTr="003B2C80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F21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28079A7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7CE63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0,8812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9A2F" w14:textId="77777777" w:rsidR="00E05252" w:rsidRPr="00E47C2E" w:rsidRDefault="00E05252" w:rsidP="00F00648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DE55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3406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96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AF6BF85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0,8224</w:t>
            </w:r>
          </w:p>
        </w:tc>
      </w:tr>
      <w:tr w:rsidR="00E05252" w:rsidRPr="00E47C2E" w14:paraId="6E2B4D9F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936A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03525E5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1FB9A9C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0,8336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71309" w14:textId="77777777" w:rsidR="00E05252" w:rsidRPr="00E47C2E" w:rsidRDefault="00E05252" w:rsidP="00F00648">
            <w:pPr>
              <w:rPr>
                <w:rFonts w:cs="Arial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B3D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AAE9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90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5086584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0,826</w:t>
            </w:r>
          </w:p>
        </w:tc>
      </w:tr>
      <w:tr w:rsidR="00E05252" w:rsidRPr="00E47C2E" w14:paraId="42D31AEE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4DB058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572E2E1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6B372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0,9050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F0DB" w14:textId="77777777" w:rsidR="00E05252" w:rsidRPr="00E47C2E" w:rsidRDefault="00E05252" w:rsidP="00F00648">
            <w:pPr>
              <w:rPr>
                <w:rFonts w:cs="Arial"/>
                <w:sz w:val="18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AF698" w14:textId="77777777" w:rsidR="00E05252" w:rsidRPr="00E47C2E" w:rsidRDefault="00E05252" w:rsidP="00F00648">
            <w:pPr>
              <w:jc w:val="center"/>
              <w:rPr>
                <w:rFonts w:cs="Arial"/>
                <w:sz w:val="16"/>
              </w:rPr>
            </w:pPr>
          </w:p>
        </w:tc>
      </w:tr>
    </w:tbl>
    <w:tbl>
      <w:tblPr>
        <w:tblStyle w:val="TableGrid1"/>
        <w:tblW w:w="751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567"/>
        <w:gridCol w:w="709"/>
        <w:gridCol w:w="709"/>
        <w:gridCol w:w="1984"/>
      </w:tblGrid>
      <w:tr w:rsidR="00E05252" w:rsidRPr="00E47C2E" w14:paraId="2FC47BD9" w14:textId="77777777" w:rsidTr="00F00648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C025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 xml:space="preserve">Vol.%  </w:t>
            </w:r>
            <w:r w:rsidRPr="00E47C2E">
              <w:rPr>
                <w:rFonts w:eastAsia="SimSun"/>
                <w:sz w:val="18"/>
                <w:lang w:val="en-GB"/>
              </w:rPr>
              <w:br/>
              <w:t>CO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F75EE48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N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A432BC0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Correction factor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6D0B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86B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O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8097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N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25EF407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Correction factor</w:t>
            </w:r>
          </w:p>
        </w:tc>
      </w:tr>
      <w:tr w:rsidR="00E05252" w:rsidRPr="00E47C2E" w14:paraId="5460A77B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FC5D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9114F09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811B82D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1,048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3811F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55F4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6DB9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B292441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0,9952</w:t>
            </w:r>
          </w:p>
        </w:tc>
      </w:tr>
      <w:tr w:rsidR="00E05252" w:rsidRPr="00E47C2E" w14:paraId="2B98E52B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F9AB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F47E2BF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3D29A1F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1,008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F5DD9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055A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3E62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E883CFF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0,9700</w:t>
            </w:r>
          </w:p>
        </w:tc>
      </w:tr>
      <w:tr w:rsidR="00E05252" w:rsidRPr="00E47C2E" w14:paraId="29ACC23A" w14:textId="77777777" w:rsidTr="00F00648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39C76FE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48DB5FB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3182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1,128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FB1A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BFB19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</w:p>
        </w:tc>
      </w:tr>
    </w:tbl>
    <w:tbl>
      <w:tblPr>
        <w:tblStyle w:val="TableGrid2"/>
        <w:tblW w:w="751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2126"/>
        <w:gridCol w:w="567"/>
        <w:gridCol w:w="709"/>
        <w:gridCol w:w="709"/>
        <w:gridCol w:w="1984"/>
      </w:tblGrid>
      <w:tr w:rsidR="00E05252" w:rsidRPr="00E47C2E" w14:paraId="5EA2F9AD" w14:textId="77777777" w:rsidTr="00E05252"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85E4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He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5E347F5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</w:r>
            <w:proofErr w:type="spellStart"/>
            <w:r w:rsidRPr="00E47C2E">
              <w:rPr>
                <w:rFonts w:eastAsia="SimSun"/>
                <w:sz w:val="18"/>
                <w:lang w:val="en-GB"/>
              </w:rPr>
              <w:t>Ar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4C4A76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Correction factor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5D25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AD5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O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B17C7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CO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DC046F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Correction factor</w:t>
            </w:r>
          </w:p>
        </w:tc>
      </w:tr>
      <w:tr w:rsidR="00E05252" w:rsidRPr="00E47C2E" w14:paraId="17D73F2A" w14:textId="77777777" w:rsidTr="00E05252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5C82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556A7F7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876862D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0,866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61ED9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5501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EFF7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131A015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1,020</w:t>
            </w:r>
          </w:p>
        </w:tc>
      </w:tr>
      <w:tr w:rsidR="00E05252" w:rsidRPr="00E47C2E" w14:paraId="3F3F9CF6" w14:textId="77777777" w:rsidTr="00E05252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9EF9B6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8DE9195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3F27F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0,958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C529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6A7342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D4A21D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C052F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0,922</w:t>
            </w:r>
          </w:p>
        </w:tc>
      </w:tr>
      <w:tr w:rsidR="00E05252" w:rsidRPr="00E47C2E" w14:paraId="457398D1" w14:textId="77777777" w:rsidTr="00E05252">
        <w:tblPrEx>
          <w:tblCellMar>
            <w:left w:w="108" w:type="dxa"/>
            <w:right w:w="108" w:type="dxa"/>
          </w:tblCellMar>
        </w:tblPrEx>
        <w:tc>
          <w:tcPr>
            <w:tcW w:w="709" w:type="dxa"/>
            <w:hideMark/>
          </w:tcPr>
          <w:p w14:paraId="491FB6CF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He</w:t>
            </w:r>
          </w:p>
        </w:tc>
        <w:tc>
          <w:tcPr>
            <w:tcW w:w="709" w:type="dxa"/>
            <w:hideMark/>
          </w:tcPr>
          <w:p w14:paraId="60B4FA6A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Vol.%</w:t>
            </w:r>
            <w:r w:rsidRPr="00E47C2E">
              <w:rPr>
                <w:rFonts w:eastAsia="SimSun"/>
                <w:sz w:val="18"/>
                <w:lang w:val="en-GB"/>
              </w:rPr>
              <w:br/>
              <w:t>N</w:t>
            </w:r>
            <w:r w:rsidRPr="00E47C2E">
              <w:rPr>
                <w:rFonts w:eastAsia="SimSun"/>
                <w:sz w:val="18"/>
                <w:vertAlign w:val="subscript"/>
                <w:lang w:val="en-GB"/>
              </w:rPr>
              <w:t>2</w:t>
            </w:r>
          </w:p>
        </w:tc>
        <w:tc>
          <w:tcPr>
            <w:tcW w:w="2126" w:type="dxa"/>
            <w:hideMark/>
          </w:tcPr>
          <w:p w14:paraId="19F79ED5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  <w:r w:rsidRPr="00E47C2E">
              <w:rPr>
                <w:rFonts w:eastAsia="SimSun"/>
                <w:sz w:val="18"/>
                <w:lang w:val="en-GB"/>
              </w:rPr>
              <w:t>Correction factor</w:t>
            </w:r>
          </w:p>
        </w:tc>
        <w:tc>
          <w:tcPr>
            <w:tcW w:w="567" w:type="dxa"/>
          </w:tcPr>
          <w:p w14:paraId="4B95218D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333505B3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</w:p>
        </w:tc>
        <w:tc>
          <w:tcPr>
            <w:tcW w:w="709" w:type="dxa"/>
          </w:tcPr>
          <w:p w14:paraId="142877F3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</w:p>
        </w:tc>
        <w:tc>
          <w:tcPr>
            <w:tcW w:w="1984" w:type="dxa"/>
          </w:tcPr>
          <w:p w14:paraId="6F8E6989" w14:textId="77777777" w:rsidR="00E05252" w:rsidRPr="00E47C2E" w:rsidRDefault="00E05252" w:rsidP="00F00648">
            <w:pPr>
              <w:spacing w:before="30" w:after="30"/>
              <w:jc w:val="center"/>
              <w:rPr>
                <w:rFonts w:eastAsia="SimSun"/>
                <w:sz w:val="18"/>
                <w:lang w:val="en-GB"/>
              </w:rPr>
            </w:pPr>
          </w:p>
        </w:tc>
      </w:tr>
      <w:tr w:rsidR="00E05252" w:rsidRPr="00E47C2E" w14:paraId="0C9C0D25" w14:textId="77777777" w:rsidTr="00E05252">
        <w:tblPrEx>
          <w:tblCellMar>
            <w:left w:w="108" w:type="dxa"/>
            <w:right w:w="108" w:type="dxa"/>
          </w:tblCellMar>
        </w:tblPrEx>
        <w:tc>
          <w:tcPr>
            <w:tcW w:w="709" w:type="dxa"/>
            <w:hideMark/>
          </w:tcPr>
          <w:p w14:paraId="7EBA6110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10</w:t>
            </w:r>
          </w:p>
        </w:tc>
        <w:tc>
          <w:tcPr>
            <w:tcW w:w="709" w:type="dxa"/>
            <w:hideMark/>
          </w:tcPr>
          <w:p w14:paraId="4F2AAC88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90</w:t>
            </w:r>
          </w:p>
        </w:tc>
        <w:tc>
          <w:tcPr>
            <w:tcW w:w="2126" w:type="dxa"/>
            <w:hideMark/>
          </w:tcPr>
          <w:p w14:paraId="3329B1DA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  <w:r w:rsidRPr="00E47C2E">
              <w:rPr>
                <w:rFonts w:cs="Arial"/>
                <w:sz w:val="16"/>
                <w:szCs w:val="24"/>
                <w:lang w:val="en-GB"/>
              </w:rPr>
              <w:t>1,005</w:t>
            </w:r>
          </w:p>
        </w:tc>
        <w:tc>
          <w:tcPr>
            <w:tcW w:w="567" w:type="dxa"/>
          </w:tcPr>
          <w:p w14:paraId="6198C6DE" w14:textId="77777777" w:rsidR="00E05252" w:rsidRPr="00E47C2E" w:rsidRDefault="00E05252" w:rsidP="00F00648">
            <w:pPr>
              <w:rPr>
                <w:rFonts w:cs="Arial"/>
                <w:sz w:val="18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3D122836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</w:p>
        </w:tc>
        <w:tc>
          <w:tcPr>
            <w:tcW w:w="709" w:type="dxa"/>
          </w:tcPr>
          <w:p w14:paraId="7C9D793A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040AF90" w14:textId="77777777" w:rsidR="00E05252" w:rsidRPr="00E47C2E" w:rsidRDefault="00E05252" w:rsidP="00F00648">
            <w:pPr>
              <w:jc w:val="center"/>
              <w:rPr>
                <w:rFonts w:cs="Arial"/>
                <w:sz w:val="16"/>
                <w:szCs w:val="24"/>
                <w:lang w:val="en-GB"/>
              </w:rPr>
            </w:pPr>
          </w:p>
        </w:tc>
      </w:tr>
    </w:tbl>
    <w:p w14:paraId="2A907850" w14:textId="03645CFF" w:rsidR="00E05252" w:rsidRDefault="00E05252" w:rsidP="00E05252">
      <w:pPr>
        <w:pStyle w:val="IHaupttext210"/>
        <w:rPr>
          <w:rFonts w:cs="Arial"/>
        </w:rPr>
      </w:pPr>
    </w:p>
    <w:tbl>
      <w:tblPr>
        <w:tblStyle w:val="TableGrid"/>
        <w:tblW w:w="3546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986"/>
      </w:tblGrid>
      <w:tr w:rsidR="00E05252" w:rsidRPr="00E47C2E" w14:paraId="05EDFDA8" w14:textId="77777777" w:rsidTr="00F00648">
        <w:trPr>
          <w:trHeight w:val="260"/>
        </w:trPr>
        <w:tc>
          <w:tcPr>
            <w:tcW w:w="35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32C4F60" w14:textId="77777777" w:rsidR="00E05252" w:rsidRPr="00E47C2E" w:rsidRDefault="00E05252" w:rsidP="00F00648">
            <w:pPr>
              <w:rPr>
                <w:rFonts w:eastAsia="SimSun"/>
                <w:b/>
                <w:sz w:val="18"/>
              </w:rPr>
            </w:pPr>
            <w:r w:rsidRPr="00E47C2E">
              <w:rPr>
                <w:rFonts w:eastAsia="SimSun"/>
                <w:b/>
                <w:sz w:val="18"/>
              </w:rPr>
              <w:t>Application example:</w:t>
            </w:r>
          </w:p>
        </w:tc>
      </w:tr>
      <w:tr w:rsidR="00E05252" w:rsidRPr="00E47C2E" w14:paraId="3354AE18" w14:textId="77777777" w:rsidTr="00F00648">
        <w:trPr>
          <w:trHeight w:val="132"/>
        </w:trPr>
        <w:tc>
          <w:tcPr>
            <w:tcW w:w="35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628B92D" w14:textId="77777777" w:rsidR="00E05252" w:rsidRPr="00E47C2E" w:rsidRDefault="00E05252" w:rsidP="00F00648">
            <w:pPr>
              <w:rPr>
                <w:rFonts w:eastAsia="SimSun"/>
                <w:sz w:val="18"/>
              </w:rPr>
            </w:pPr>
            <w:r w:rsidRPr="00E47C2E">
              <w:rPr>
                <w:rFonts w:eastAsia="SimSun"/>
                <w:sz w:val="18"/>
              </w:rPr>
              <w:t>Gas mixture setting:</w:t>
            </w:r>
          </w:p>
        </w:tc>
      </w:tr>
      <w:tr w:rsidR="00E05252" w:rsidRPr="00E47C2E" w14:paraId="1CFCB964" w14:textId="77777777" w:rsidTr="003B2C80"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91C7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Gas mixture: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906EF1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18 % CO</w:t>
            </w:r>
            <w:r w:rsidRPr="00E47C2E">
              <w:rPr>
                <w:rFonts w:cs="Arial"/>
                <w:sz w:val="16"/>
                <w:vertAlign w:val="subscript"/>
              </w:rPr>
              <w:t>2</w:t>
            </w:r>
            <w:r w:rsidRPr="00E47C2E">
              <w:rPr>
                <w:rFonts w:cs="Arial"/>
                <w:sz w:val="16"/>
              </w:rPr>
              <w:t xml:space="preserve"> in </w:t>
            </w:r>
            <w:proofErr w:type="spellStart"/>
            <w:r w:rsidRPr="00E47C2E">
              <w:rPr>
                <w:rFonts w:cs="Arial"/>
                <w:sz w:val="16"/>
              </w:rPr>
              <w:t>Ar</w:t>
            </w:r>
            <w:proofErr w:type="spellEnd"/>
          </w:p>
        </w:tc>
      </w:tr>
      <w:tr w:rsidR="00E05252" w:rsidRPr="00E47C2E" w14:paraId="6AD7CDFB" w14:textId="77777777" w:rsidTr="003B2C80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00C1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 xml:space="preserve">Correction factor: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6BFC5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0,8812</w:t>
            </w:r>
          </w:p>
        </w:tc>
      </w:tr>
      <w:tr w:rsidR="00E05252" w:rsidRPr="00E47C2E" w14:paraId="0CB1C3DA" w14:textId="77777777" w:rsidTr="00F00648"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7405FD82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>Consumption: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auto"/>
              <w:bottom w:val="double" w:sz="2" w:space="0" w:color="auto"/>
              <w:right w:val="single" w:sz="6" w:space="0" w:color="auto"/>
            </w:tcBorders>
            <w:vAlign w:val="center"/>
            <w:hideMark/>
          </w:tcPr>
          <w:p w14:paraId="24DB50A6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 xml:space="preserve">18 </w:t>
            </w:r>
            <w:proofErr w:type="spellStart"/>
            <w:r w:rsidRPr="00E47C2E">
              <w:rPr>
                <w:rFonts w:cs="Arial"/>
                <w:sz w:val="16"/>
              </w:rPr>
              <w:t>Nl</w:t>
            </w:r>
            <w:proofErr w:type="spellEnd"/>
            <w:r w:rsidRPr="00E47C2E">
              <w:rPr>
                <w:rFonts w:cs="Arial"/>
                <w:sz w:val="16"/>
              </w:rPr>
              <w:t>/min</w:t>
            </w:r>
          </w:p>
        </w:tc>
      </w:tr>
      <w:tr w:rsidR="00E05252" w:rsidRPr="00E47C2E" w14:paraId="3F07C54A" w14:textId="77777777" w:rsidTr="00F00648">
        <w:tc>
          <w:tcPr>
            <w:tcW w:w="1560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B349FB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 xml:space="preserve">Flow regulator: </w:t>
            </w:r>
          </w:p>
        </w:tc>
        <w:tc>
          <w:tcPr>
            <w:tcW w:w="1986" w:type="dxa"/>
            <w:tcBorders>
              <w:top w:val="doub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9D61B" w14:textId="77777777" w:rsidR="00E05252" w:rsidRPr="00E47C2E" w:rsidRDefault="00E05252" w:rsidP="00F00648">
            <w:pPr>
              <w:rPr>
                <w:rFonts w:cs="Arial"/>
                <w:sz w:val="16"/>
              </w:rPr>
            </w:pPr>
            <w:r w:rsidRPr="00E47C2E">
              <w:rPr>
                <w:rFonts w:cs="Arial"/>
                <w:sz w:val="16"/>
              </w:rPr>
              <w:t xml:space="preserve">18 x </w:t>
            </w:r>
            <w:r w:rsidRPr="00E47C2E">
              <w:rPr>
                <w:rFonts w:cs="Arial"/>
                <w:sz w:val="16"/>
                <w:shd w:val="clear" w:color="auto" w:fill="FFE599" w:themeFill="accent4" w:themeFillTint="66"/>
              </w:rPr>
              <w:t>0,8812</w:t>
            </w:r>
            <w:r w:rsidRPr="00E47C2E">
              <w:rPr>
                <w:rFonts w:cs="Arial"/>
                <w:sz w:val="16"/>
              </w:rPr>
              <w:t xml:space="preserve"> = 15,9 </w:t>
            </w:r>
            <w:proofErr w:type="spellStart"/>
            <w:r w:rsidRPr="00E47C2E">
              <w:rPr>
                <w:rFonts w:cs="Arial"/>
                <w:sz w:val="16"/>
              </w:rPr>
              <w:t>Nl</w:t>
            </w:r>
            <w:proofErr w:type="spellEnd"/>
            <w:r w:rsidRPr="00E47C2E">
              <w:rPr>
                <w:rFonts w:cs="Arial"/>
                <w:sz w:val="16"/>
              </w:rPr>
              <w:t>/min</w:t>
            </w:r>
          </w:p>
        </w:tc>
      </w:tr>
    </w:tbl>
    <w:p w14:paraId="3C506480" w14:textId="77777777" w:rsidR="00E05252" w:rsidRPr="00F21872" w:rsidRDefault="00E05252" w:rsidP="00E05252">
      <w:pPr>
        <w:pStyle w:val="IHaupttext210"/>
        <w:rPr>
          <w:rFonts w:cs="Arial"/>
        </w:rPr>
      </w:pPr>
    </w:p>
    <w:p w14:paraId="23B38A02" w14:textId="053E7BDE" w:rsidR="00E05252" w:rsidRPr="00E05252" w:rsidRDefault="00E05252" w:rsidP="00885D7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E05252" w:rsidRPr="00E05252" w:rsidSect="006C2BF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7FFD9" w14:textId="77777777" w:rsidR="003575D6" w:rsidRDefault="003575D6" w:rsidP="00885D7B">
      <w:r>
        <w:separator/>
      </w:r>
    </w:p>
  </w:endnote>
  <w:endnote w:type="continuationSeparator" w:id="0">
    <w:p w14:paraId="45E24D09" w14:textId="77777777" w:rsidR="003575D6" w:rsidRDefault="003575D6" w:rsidP="0088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B48C7" w14:textId="11917607" w:rsidR="00885D7B" w:rsidRPr="00885D7B" w:rsidRDefault="003B2C80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69B819" wp14:editId="5F55BC7C">
              <wp:simplePos x="0" y="0"/>
              <wp:positionH relativeFrom="column">
                <wp:posOffset>-37579</wp:posOffset>
              </wp:positionH>
              <wp:positionV relativeFrom="paragraph">
                <wp:posOffset>-126461</wp:posOffset>
              </wp:positionV>
              <wp:extent cx="5837129" cy="0"/>
              <wp:effectExtent l="0" t="12700" r="1778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71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F5090E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-9.95pt" to="456.65pt,-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" strokecolor="#a5a5a5 [3206]" strokeweight="1.5pt">
              <v:stroke joinstyle="miter"/>
            </v:line>
          </w:pict>
        </mc:Fallback>
      </mc:AlternateContent>
    </w:r>
    <w:r w:rsidR="00885D7B" w:rsidRPr="00885D7B">
      <w:rPr>
        <w:b/>
        <w:bCs/>
      </w:rPr>
      <w:t xml:space="preserve">Hi-Lo UK Limited </w:t>
    </w:r>
    <w:r w:rsidR="00885D7B">
      <w:rPr>
        <w:b/>
        <w:bCs/>
      </w:rPr>
      <w:t xml:space="preserve">: </w:t>
    </w:r>
    <w:r w:rsidR="00885D7B">
      <w:t xml:space="preserve">56 Newhall Road S9 2QL  - 0114 349 4749 – </w:t>
    </w:r>
    <w:hyperlink r:id="rId1" w:history="1">
      <w:r w:rsidR="00885D7B" w:rsidRPr="00564674">
        <w:rPr>
          <w:rStyle w:val="Hyperlink"/>
        </w:rPr>
        <w:t>www.hilouk.co.uk</w:t>
      </w:r>
    </w:hyperlink>
    <w:r w:rsidR="00885D7B">
      <w:t xml:space="preserve"> – </w:t>
    </w:r>
    <w:hyperlink r:id="rId2" w:history="1">
      <w:r w:rsidR="00885D7B" w:rsidRPr="00564674">
        <w:rPr>
          <w:rStyle w:val="Hyperlink"/>
        </w:rPr>
        <w:t>Sales@hilouk.co.uk</w:t>
      </w:r>
    </w:hyperlink>
    <w:r w:rsidR="00885D7B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B16F2" w14:textId="77777777" w:rsidR="003575D6" w:rsidRDefault="003575D6" w:rsidP="00885D7B">
      <w:r>
        <w:separator/>
      </w:r>
    </w:p>
  </w:footnote>
  <w:footnote w:type="continuationSeparator" w:id="0">
    <w:p w14:paraId="00DEED3C" w14:textId="77777777" w:rsidR="003575D6" w:rsidRDefault="003575D6" w:rsidP="0088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7394" w14:textId="4C81BEBD" w:rsidR="00885D7B" w:rsidRDefault="003B2C80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7F3D4A" wp14:editId="7EB31A16">
              <wp:simplePos x="0" y="0"/>
              <wp:positionH relativeFrom="column">
                <wp:posOffset>-313151</wp:posOffset>
              </wp:positionH>
              <wp:positionV relativeFrom="paragraph">
                <wp:posOffset>-98851</wp:posOffset>
              </wp:positionV>
              <wp:extent cx="4609578" cy="0"/>
              <wp:effectExtent l="0" t="1270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09578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04AF8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65pt,-7.8pt" to="338.3pt,-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" strokecolor="#a5a5a5 [3206]" strokeweight="1.5pt">
              <v:stroke joinstyle="miter"/>
            </v:line>
          </w:pict>
        </mc:Fallback>
      </mc:AlternateContent>
    </w:r>
    <w:r w:rsidR="00885D7B">
      <w:rPr>
        <w:noProof/>
      </w:rPr>
      <w:drawing>
        <wp:anchor distT="0" distB="0" distL="114300" distR="114300" simplePos="0" relativeHeight="251658240" behindDoc="0" locked="0" layoutInCell="1" allowOverlap="1" wp14:anchorId="1CF9E28D" wp14:editId="198C868E">
          <wp:simplePos x="0" y="0"/>
          <wp:positionH relativeFrom="column">
            <wp:posOffset>4295775</wp:posOffset>
          </wp:positionH>
          <wp:positionV relativeFrom="paragraph">
            <wp:posOffset>-34412</wp:posOffset>
          </wp:positionV>
          <wp:extent cx="2178050" cy="514985"/>
          <wp:effectExtent l="0" t="0" r="635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-lo 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D7B">
      <w:rPr>
        <w:b/>
        <w:color w:val="7F7F7F" w:themeColor="text1" w:themeTint="80"/>
        <w:sz w:val="22"/>
        <w:szCs w:val="22"/>
      </w:rPr>
      <w:t>Gas Mixer</w:t>
    </w:r>
    <w:r w:rsidR="00885D7B">
      <w:rPr>
        <w:noProof/>
      </w:rPr>
      <w:t xml:space="preserve"> </w:t>
    </w:r>
  </w:p>
  <w:p w14:paraId="7C39B810" w14:textId="4D5747E8" w:rsidR="00885D7B" w:rsidRDefault="00885D7B">
    <w:pPr>
      <w:pStyle w:val="Header"/>
      <w:rPr>
        <w:noProof/>
      </w:rPr>
    </w:pPr>
  </w:p>
  <w:p w14:paraId="286E6021" w14:textId="77777777" w:rsidR="00885D7B" w:rsidRDefault="00885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7B"/>
    <w:rsid w:val="00063F42"/>
    <w:rsid w:val="000874F9"/>
    <w:rsid w:val="001E472A"/>
    <w:rsid w:val="00232A5F"/>
    <w:rsid w:val="003575D6"/>
    <w:rsid w:val="003B2C80"/>
    <w:rsid w:val="00477186"/>
    <w:rsid w:val="006C2BF3"/>
    <w:rsid w:val="007601E0"/>
    <w:rsid w:val="00885D7B"/>
    <w:rsid w:val="009B4CA2"/>
    <w:rsid w:val="009C5D91"/>
    <w:rsid w:val="00D83D7D"/>
    <w:rsid w:val="00E05252"/>
    <w:rsid w:val="00F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5911F"/>
  <w15:chartTrackingRefBased/>
  <w15:docId w15:val="{0657F132-B5F1-7F47-93BF-21CC6371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D7B"/>
  </w:style>
  <w:style w:type="paragraph" w:styleId="Footer">
    <w:name w:val="footer"/>
    <w:basedOn w:val="Normal"/>
    <w:link w:val="FooterChar"/>
    <w:uiPriority w:val="99"/>
    <w:unhideWhenUsed/>
    <w:rsid w:val="0088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D7B"/>
  </w:style>
  <w:style w:type="character" w:styleId="Hyperlink">
    <w:name w:val="Hyperlink"/>
    <w:basedOn w:val="DefaultParagraphFont"/>
    <w:uiPriority w:val="99"/>
    <w:unhideWhenUsed/>
    <w:rsid w:val="00885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D7B"/>
    <w:rPr>
      <w:color w:val="605E5C"/>
      <w:shd w:val="clear" w:color="auto" w:fill="E1DFDD"/>
    </w:rPr>
  </w:style>
  <w:style w:type="paragraph" w:customStyle="1" w:styleId="IAufzaehlungDB">
    <w:name w:val="I_Aufzaehlung_DB"/>
    <w:autoRedefine/>
    <w:rsid w:val="00885D7B"/>
    <w:pPr>
      <w:tabs>
        <w:tab w:val="left" w:pos="312"/>
        <w:tab w:val="left" w:pos="851"/>
        <w:tab w:val="left" w:pos="3686"/>
      </w:tabs>
      <w:spacing w:before="60"/>
      <w:ind w:left="312" w:right="3402" w:hanging="312"/>
    </w:pPr>
    <w:rPr>
      <w:rFonts w:ascii="Arial" w:eastAsia="Times New Roman" w:hAnsi="Arial" w:cs="Arial"/>
      <w:sz w:val="18"/>
      <w:lang w:val="de-DE" w:eastAsia="de-DE"/>
    </w:rPr>
  </w:style>
  <w:style w:type="paragraph" w:customStyle="1" w:styleId="IDatenberschrift10">
    <w:name w:val="I_Datenüberschrift_10"/>
    <w:autoRedefine/>
    <w:rsid w:val="00885D7B"/>
    <w:pPr>
      <w:spacing w:before="120"/>
    </w:pPr>
    <w:rPr>
      <w:rFonts w:ascii="Arial" w:eastAsia="Times New Roman" w:hAnsi="Arial" w:cs="Times New Roman"/>
      <w:b/>
      <w:sz w:val="20"/>
      <w:szCs w:val="20"/>
      <w:lang w:val="de-DE" w:eastAsia="de-DE"/>
    </w:rPr>
  </w:style>
  <w:style w:type="paragraph" w:customStyle="1" w:styleId="IHaupttext210">
    <w:name w:val="I_Haupttext2_10"/>
    <w:autoRedefine/>
    <w:rsid w:val="00F21872"/>
    <w:pPr>
      <w:spacing w:before="60" w:after="60"/>
    </w:pPr>
    <w:rPr>
      <w:rFonts w:ascii="Arial" w:eastAsia="Times New Roman" w:hAnsi="Arial" w:cs="Times New Roman"/>
      <w:sz w:val="20"/>
      <w:szCs w:val="21"/>
      <w:lang w:eastAsia="de-DE"/>
    </w:rPr>
  </w:style>
  <w:style w:type="table" w:styleId="TableGrid">
    <w:name w:val="Table Grid"/>
    <w:basedOn w:val="TableNormal"/>
    <w:rsid w:val="009C5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abellentextklein8pt">
    <w:name w:val="I_Tabellentext_klein_8pt"/>
    <w:basedOn w:val="Normal"/>
    <w:rsid w:val="00F21872"/>
    <w:rPr>
      <w:rFonts w:ascii="Arial" w:eastAsia="Times New Roman" w:hAnsi="Arial" w:cs="Arial"/>
      <w:sz w:val="16"/>
      <w:lang w:val="de-DE" w:eastAsia="de-DE"/>
    </w:rPr>
  </w:style>
  <w:style w:type="paragraph" w:customStyle="1" w:styleId="IHaupttext2fett10">
    <w:name w:val="I_Haupttext2_fett_10"/>
    <w:autoRedefine/>
    <w:rsid w:val="00F21872"/>
    <w:pPr>
      <w:spacing w:before="60" w:after="60"/>
    </w:pPr>
    <w:rPr>
      <w:rFonts w:ascii="Arial" w:eastAsia="Times New Roman" w:hAnsi="Arial" w:cs="Arial"/>
      <w:b/>
      <w:sz w:val="20"/>
      <w:szCs w:val="21"/>
      <w:lang w:val="en-US" w:eastAsia="de-DE"/>
    </w:rPr>
  </w:style>
  <w:style w:type="paragraph" w:customStyle="1" w:styleId="ITabellenabstand">
    <w:name w:val="I_Tabellenabstand"/>
    <w:autoRedefine/>
    <w:rsid w:val="00F21872"/>
    <w:rPr>
      <w:rFonts w:ascii="Arial" w:eastAsia="Times New Roman" w:hAnsi="Arial" w:cs="Times New Roman"/>
      <w:sz w:val="2"/>
      <w:szCs w:val="20"/>
      <w:lang w:val="de-DE" w:eastAsia="de-DE"/>
    </w:rPr>
  </w:style>
  <w:style w:type="paragraph" w:customStyle="1" w:styleId="ITabellemittig">
    <w:name w:val="I_Tabelle_mittig"/>
    <w:autoRedefine/>
    <w:rsid w:val="00F21872"/>
    <w:pPr>
      <w:spacing w:before="30" w:after="30"/>
      <w:jc w:val="center"/>
    </w:pPr>
    <w:rPr>
      <w:rFonts w:ascii="Arial" w:eastAsia="SimSun" w:hAnsi="Arial" w:cs="Times New Roman"/>
      <w:sz w:val="18"/>
      <w:szCs w:val="20"/>
      <w:lang w:val="de-DE" w:eastAsia="de-DE"/>
    </w:rPr>
  </w:style>
  <w:style w:type="paragraph" w:customStyle="1" w:styleId="IDatenberschrift16ptkursiv">
    <w:name w:val="I_Datenüberschrift_16pt_kursiv"/>
    <w:link w:val="IDatenberschrift16ptkursivZchn"/>
    <w:autoRedefine/>
    <w:rsid w:val="00F21872"/>
    <w:pPr>
      <w:spacing w:before="120" w:after="60"/>
    </w:pPr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character" w:customStyle="1" w:styleId="IDatenberschrift16ptkursivZchn">
    <w:name w:val="I_Datenüberschrift_16pt_kursiv Zchn"/>
    <w:basedOn w:val="DefaultParagraphFont"/>
    <w:link w:val="IDatenberschrift16ptkursiv"/>
    <w:rsid w:val="00F21872"/>
    <w:rPr>
      <w:rFonts w:ascii="Arial" w:eastAsia="Times New Roman" w:hAnsi="Arial" w:cs="Times New Roman"/>
      <w:b/>
      <w:i/>
      <w:sz w:val="32"/>
      <w:szCs w:val="20"/>
      <w:lang w:val="de-DE" w:eastAsia="de-DE"/>
    </w:rPr>
  </w:style>
  <w:style w:type="table" w:customStyle="1" w:styleId="TableGrid1">
    <w:name w:val="Table Grid1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05252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hilouk.co.uk" TargetMode="External"/><Relationship Id="rId1" Type="http://schemas.openxmlformats.org/officeDocument/2006/relationships/hyperlink" Target="http://www.hilouk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2020-01-21T14:17:00Z</dcterms:created>
  <dcterms:modified xsi:type="dcterms:W3CDTF">2020-01-21T14:17:00Z</dcterms:modified>
</cp:coreProperties>
</file>