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466"/>
      </w:tblGrid>
      <w:tr w:rsidR="003177EE" w14:paraId="79F399EC" w14:textId="77777777" w:rsidTr="003177EE">
        <w:tc>
          <w:tcPr>
            <w:tcW w:w="26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7185442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624" cy="91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F01401" w:rsidRDefault="00D653A8">
            <w:pPr>
              <w:spacing w:before="20" w:after="50"/>
              <w:rPr>
                <w:b/>
                <w:bCs/>
                <w:color w:val="1A2456"/>
                <w:sz w:val="10"/>
                <w:szCs w:val="10"/>
              </w:rPr>
            </w:pPr>
          </w:p>
          <w:p w14:paraId="59B12472" w14:textId="5AE9CED7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ACCORDO INTERNAZIONALE DI COLLABORAZIONE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Pr="00F01401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4A5568"/>
                <w:sz w:val="28"/>
                <w:szCs w:val="28"/>
              </w:rPr>
              <w:t>CONPEF – Rete Internazionale delle Scienze Forensi</w:t>
            </w:r>
          </w:p>
        </w:tc>
      </w:tr>
    </w:tbl>
    <w:p w14:paraId="699D695D" w14:textId="77777777" w:rsidR="001A2891" w:rsidRPr="00F01401" w:rsidRDefault="001A2891">
      <w:pPr>
        <w:pBdr>
          <w:bottom w:val="single" w:sz="12" w:space="1" w:color="4CAF27"/>
        </w:pBdr>
        <w:rPr>
          <w:sz w:val="10"/>
          <w:szCs w:val="10"/>
        </w:rPr>
      </w:pPr>
    </w:p>
    <w:p w14:paraId="56DFF717" w14:textId="77777777" w:rsidR="001A2891" w:rsidRPr="00074F4D" w:rsidRDefault="001A2891">
      <w:pPr>
        <w:spacing w:before="120"/>
        <w:rPr>
          <w:sz w:val="10"/>
          <w:szCs w:val="10"/>
        </w:rPr>
      </w:pPr>
    </w:p>
    <w:p w14:paraId="6917132E" w14:textId="77777777" w:rsidR="001A2891" w:rsidRDefault="00000000">
      <w:pPr>
        <w:spacing w:after="140"/>
        <w:jc w:val="center"/>
      </w:pPr>
      <w:r>
        <w:rPr>
          <w:i/>
          <w:iCs/>
          <w:color w:val="888888"/>
          <w:sz w:val="21"/>
          <w:szCs w:val="21"/>
        </w:rPr>
        <w:t>Tra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r>
              <w:rPr>
                <w:color w:val="4A5568"/>
                <w:sz w:val="20"/>
                <w:szCs w:val="20"/>
              </w:rPr>
              <w:t>Italia</w:t>
            </w:r>
          </w:p>
          <w:p w14:paraId="03CCE790" w14:textId="77777777" w:rsidR="001A2891" w:rsidRDefault="00000000">
            <w:pPr>
              <w:spacing w:after="30"/>
            </w:pPr>
            <w:r>
              <w:rPr>
                <w:i/>
                <w:iCs/>
                <w:color w:val="888888"/>
                <w:sz w:val="19"/>
                <w:szCs w:val="19"/>
              </w:rPr>
              <w:t>Rappresentato da: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>Dr. Francesco Matranga – Presidente</w:t>
            </w:r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[Nome dell’Istituzione]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[Denominazione Legale Completa]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[Paese]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r>
              <w:rPr>
                <w:i/>
                <w:iCs/>
                <w:color w:val="888888"/>
                <w:sz w:val="19"/>
                <w:szCs w:val="19"/>
              </w:rPr>
              <w:t>Rappresentato da: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[Nome – Qualifica]</w:t>
            </w:r>
          </w:p>
        </w:tc>
      </w:tr>
    </w:tbl>
    <w:p w14:paraId="7815CE78" w14:textId="77777777" w:rsidR="001A2891" w:rsidRPr="00074F4D" w:rsidRDefault="001A2891">
      <w:pPr>
        <w:spacing w:before="60"/>
        <w:rPr>
          <w:sz w:val="10"/>
          <w:szCs w:val="10"/>
        </w:rPr>
      </w:pPr>
    </w:p>
    <w:p w14:paraId="779EBC70" w14:textId="77777777" w:rsidR="001A2891" w:rsidRDefault="00000000">
      <w:pPr>
        <w:spacing w:before="80" w:after="200"/>
        <w:jc w:val="center"/>
      </w:pPr>
      <w:r>
        <w:rPr>
          <w:i/>
          <w:iCs/>
          <w:color w:val="4A5568"/>
          <w:sz w:val="19"/>
          <w:szCs w:val="19"/>
        </w:rPr>
        <w:t>Hereinafter individually referred to as "Party" and collectively as "the Parties."</w:t>
      </w:r>
    </w:p>
    <w:p w14:paraId="1FB015A4" w14:textId="77777777" w:rsidR="001A2891" w:rsidRPr="00074F4D" w:rsidRDefault="001A2891">
      <w:pPr>
        <w:pBdr>
          <w:bottom w:val="single" w:sz="4" w:space="1" w:color="D0EAC0"/>
        </w:pBdr>
        <w:rPr>
          <w:sz w:val="10"/>
          <w:szCs w:val="10"/>
        </w:rPr>
      </w:pPr>
    </w:p>
    <w:p w14:paraId="413AFF48" w14:textId="77777777" w:rsidR="001A2891" w:rsidRPr="00D653A8" w:rsidRDefault="001A2891" w:rsidP="00824A7E">
      <w:pPr>
        <w:spacing w:before="60" w:after="40" w:line="264" w:lineRule="auto"/>
        <w:rPr>
          <w:sz w:val="10"/>
          <w:szCs w:val="10"/>
        </w:rPr>
      </w:pPr>
    </w:p>
    <w:p w14:paraId="0F604AAC" w14:textId="77777777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</w:t>
      </w:r>
      <w:r>
        <w:rPr>
          <w:b/>
          <w:bCs/>
          <w:color w:val="1A2456"/>
        </w:rPr>
        <w:t xml:space="preserve">  –  Purpose of the Agreement</w:t>
      </w:r>
    </w:p>
    <w:p w14:paraId="7C1D4FF8" w14:textId="6B044260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Il presente accordo mira a stabilire un quadro di cooperazione scientifica e professionale internazionale tra le Parti nel campo delle scienze forensi, dell’analisi peritale e della prevenzione degli errori giudiziari.</w:t>
      </w:r>
    </w:p>
    <w:p w14:paraId="53ABCE01" w14:textId="5259B632" w:rsidR="006F4501" w:rsidRDefault="009E5FF8" w:rsidP="00824A7E">
      <w:pPr>
        <w:spacing w:before="60" w:after="40" w:line="264" w:lineRule="auto"/>
        <w:jc w:val="both"/>
      </w:pPr>
      <w:r>
        <w:rPr>
          <w:color w:val="222222"/>
        </w:rPr>
        <w:t>Le Parti intendono promuovere la cooperazione, lo scambio di competenze e lo sviluppo di approcci metodologici condivisi tra professionisti operanti in diversi sistemi giuridici.</w:t>
      </w:r>
    </w:p>
    <w:p w14:paraId="4129E94A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4A2C7341" w14:textId="61BD95D5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2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Collaboration</w:t>
      </w:r>
    </w:p>
    <w:p w14:paraId="76A816F6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Attraverso il presente accordo, [Nome Istituzione] sarà riconosciuta quale:</w:t>
      </w:r>
    </w:p>
    <w:p w14:paraId="7F07F9FC" w14:textId="719BD24D" w:rsidR="00F02232" w:rsidRPr="006F4501" w:rsidRDefault="00F02232" w:rsidP="00824A7E">
      <w:pPr>
        <w:spacing w:before="60" w:after="40" w:line="264" w:lineRule="auto"/>
        <w:jc w:val="center"/>
      </w:pPr>
      <w:r>
        <w:rPr>
          <w:b/>
          <w:bCs/>
          <w:color w:val="1A2456"/>
        </w:rPr>
        <w:t>Istituzione Partecipante alla Rete Internazionale delle Scienze Forensi di CONPEF</w:t>
      </w:r>
    </w:p>
    <w:p w14:paraId="373A2255" w14:textId="77777777" w:rsidR="009E5FF8" w:rsidRPr="006F4501" w:rsidRDefault="00000000" w:rsidP="00824A7E">
      <w:pPr>
        <w:spacing w:before="60" w:after="40" w:line="264" w:lineRule="auto"/>
        <w:jc w:val="both"/>
        <w:rPr>
          <w:color w:val="222222"/>
        </w:rPr>
      </w:pPr>
      <w:r>
        <w:rPr>
          <w:color w:val="222222"/>
        </w:rPr>
        <w:t xml:space="preserve">Questa collaborazione mira a rafforzare il dialogo professionale e la cooperazione tra le istituzioni forensi a livello mondiale. </w:t>
      </w:r>
    </w:p>
    <w:p w14:paraId="2F5E9559" w14:textId="404F1C0E" w:rsidR="009E5FF8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Tale riconoscimento è esclusivamente finalizzato ad identificare la partecipazione a una rete internazionale di collaborazione scientifica e non implica alcuna forma di integrazione istituzionale.</w:t>
      </w:r>
      <w:r>
        <w:rPr>
          <w:b/>
          <w:bCs/>
          <w:color w:val="4CAF27"/>
        </w:rPr>
        <w:t xml:space="preserve"> </w:t>
      </w:r>
    </w:p>
    <w:p w14:paraId="55FA5452" w14:textId="77777777" w:rsidR="002F2F3C" w:rsidRPr="002F2F3C" w:rsidRDefault="002F2F3C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7C2550F0" w14:textId="5C94DD4A" w:rsidR="008D0175" w:rsidRDefault="008D0175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3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Nature of the Collaboration</w:t>
      </w:r>
    </w:p>
    <w:p w14:paraId="387951E8" w14:textId="0C2F72BC" w:rsidR="009E5FF8" w:rsidRPr="006F4501" w:rsidRDefault="009E5FF8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000000"/>
        </w:rPr>
        <w:t>La partecipazione alla Rete Internazionale CONPEF è intesa esclusivamente come forma di collaborazione scientifica e professionale volontaria tra organizzazioni indipendenti.</w:t>
      </w:r>
    </w:p>
    <w:p w14:paraId="2147FF82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Essa non costituisce, né può essere interpretata come, alcuna forma di affiliazione, partnership, rappresentanza o integrazione istituzionale tra l’istituzione partecipante e CONPEF.</w:t>
      </w:r>
    </w:p>
    <w:p w14:paraId="6221E9FA" w14:textId="77777777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 istituzioni partecipanti rimangono pienamente autonome e giuridicamente indipendenti. Il loro status istituzionale, i regolamenti interni, le procedure di accreditamento e la posizione rispetto a qualsiasi albo professionale o autorità di regolamentazione, incluso il MIMIT, rimangono del tutto impregiudicati.</w:t>
      </w:r>
    </w:p>
    <w:p w14:paraId="4A1A0E29" w14:textId="677652C2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membri delle istituzioni partecipanti non acquisiscono, in virtù di tale partecipazione, alcuno status, diritto o riconoscimento all’interno di CONPEF.</w:t>
      </w:r>
    </w:p>
    <w:p w14:paraId="770C7224" w14:textId="77777777" w:rsidR="002F2F3C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singoli professionisti possono, su base strettamente personale e volontaria, presentare domanda di iscrizione a CONPEF qualora svolgano interessi o attività professionali in Italia, in conformità alla Legge italiana n. 4/2013 e al regolamento interno di CONPEF. </w:t>
      </w:r>
    </w:p>
    <w:p w14:paraId="2606BB26" w14:textId="52F4090F" w:rsidR="009E5FF8" w:rsidRPr="006F4501" w:rsidRDefault="009E5FF8" w:rsidP="00824A7E">
      <w:pPr>
        <w:pStyle w:val="NormaleWeb"/>
        <w:spacing w:before="60" w:beforeAutospacing="0" w:after="40" w:afterAutospacing="0" w:line="264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Tale adesione è del tutto separata e indipendente dall’affiliazione con la propria istituzione di appartenenza.</w:t>
      </w:r>
    </w:p>
    <w:p w14:paraId="6F20F8E6" w14:textId="77777777" w:rsidR="008D0175" w:rsidRDefault="008D0175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2D954B51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1B8185BB" w14:textId="77777777" w:rsidR="002F2F3C" w:rsidRDefault="002F2F3C" w:rsidP="00824A7E">
      <w:pPr>
        <w:spacing w:before="60" w:after="40" w:line="264" w:lineRule="auto"/>
        <w:jc w:val="both"/>
        <w:rPr>
          <w:b/>
          <w:bCs/>
          <w:color w:val="4CAF27"/>
        </w:rPr>
      </w:pPr>
    </w:p>
    <w:p w14:paraId="529B2323" w14:textId="2E857EAE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4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Areas of Cooperation</w:t>
      </w:r>
    </w:p>
    <w:p w14:paraId="4DDBDAAF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 Parti potranno collaborare nei seguenti ambiti:</w:t>
      </w:r>
    </w:p>
    <w:p w14:paraId="3B785807" w14:textId="77777777" w:rsidR="00F01401" w:rsidRPr="006F4501" w:rsidRDefault="00F02232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 xml:space="preserve">Scambio di competenze e buone pratiche nelle scienze forensi </w:t>
      </w:r>
    </w:p>
    <w:p w14:paraId="777B85C9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Iniziative congiunte e sviluppo metodologico</w:t>
      </w:r>
    </w:p>
    <w:p w14:paraId="64ADABCA" w14:textId="77777777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Pubblicazioni scientifiche e condivisione delle conoscenze</w:t>
      </w:r>
    </w:p>
    <w:p w14:paraId="3CBEDAEE" w14:textId="213E0E0C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Partecipazione a gruppi di lavoro e formazione professionale</w:t>
      </w:r>
    </w:p>
    <w:p w14:paraId="4DD35A6B" w14:textId="1A1C9239" w:rsidR="00F01401" w:rsidRPr="006F4501" w:rsidRDefault="00F01401" w:rsidP="00824A7E">
      <w:pPr>
        <w:pStyle w:val="Paragrafoelenco"/>
        <w:numPr>
          <w:ilvl w:val="0"/>
          <w:numId w:val="2"/>
        </w:numPr>
        <w:spacing w:after="40" w:line="264" w:lineRule="auto"/>
        <w:rPr>
          <w:rFonts w:eastAsia="Times New Roman"/>
        </w:rPr>
      </w:pPr>
      <w:r>
        <w:rPr>
          <w:rFonts w:eastAsia="Times New Roman"/>
        </w:rPr>
        <w:t>Cooperazione con l’Osservatorio Nazionale sugli Errori Giudiziari</w:t>
      </w:r>
    </w:p>
    <w:p w14:paraId="5A7B72B1" w14:textId="77777777" w:rsidR="00F01401" w:rsidRPr="002F2F3C" w:rsidRDefault="00F01401" w:rsidP="00824A7E">
      <w:pP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A813E1C" w14:textId="5F68314C" w:rsidR="00824A7E" w:rsidRDefault="00824A7E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  <w:sz w:val="24"/>
          <w:szCs w:val="24"/>
        </w:rPr>
        <w:t>Artículo 5</w:t>
      </w:r>
      <w:r>
        <w:rPr>
          <w:b/>
          <w:bCs/>
          <w:color w:val="1A2456"/>
          <w:sz w:val="24"/>
          <w:szCs w:val="24"/>
        </w:rPr>
        <w:t xml:space="preserve">  –  </w:t>
      </w:r>
      <w:r>
        <w:rPr>
          <w:b/>
          <w:bCs/>
          <w:color w:val="1A2456"/>
        </w:rPr>
        <w:t>International Activities</w:t>
      </w:r>
    </w:p>
    <w:p w14:paraId="7146B460" w14:textId="171ED94C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Le Parti potranno collaborare nell’organizzazione e promozione di conferenze internazionali, workshop, seminari e iniziative professionali inerenti alle scienze forensi e alla prevenzione degli errori giudiziari.</w:t>
      </w:r>
    </w:p>
    <w:p w14:paraId="4082A9A1" w14:textId="29476CD7" w:rsidR="001A2891" w:rsidRPr="006F4501" w:rsidRDefault="00F02232" w:rsidP="00824A7E">
      <w:pPr>
        <w:spacing w:before="60" w:after="40" w:line="264" w:lineRule="auto"/>
        <w:jc w:val="both"/>
      </w:pPr>
      <w:r>
        <w:rPr>
          <w:color w:val="222222"/>
        </w:rPr>
        <w:t>L’Istituzione Partecipante potrà essere invitata a partecipare all’International Forensic Science Summit, evento annuale della Rete.</w:t>
      </w:r>
    </w:p>
    <w:p w14:paraId="79B74F14" w14:textId="77777777" w:rsidR="00824A7E" w:rsidRPr="002F2F3C" w:rsidRDefault="00824A7E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9979F4E" w14:textId="5EF98112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6</w:t>
      </w:r>
      <w:r>
        <w:rPr>
          <w:b/>
          <w:bCs/>
          <w:color w:val="1A2456"/>
        </w:rPr>
        <w:t xml:space="preserve">  –  Institutional Visibility</w:t>
      </w:r>
    </w:p>
    <w:p w14:paraId="08C74204" w14:textId="4CF69545" w:rsidR="001A2891" w:rsidRPr="006F4501" w:rsidRDefault="00F01401" w:rsidP="00824A7E">
      <w:pPr>
        <w:spacing w:before="60" w:after="40" w:line="264" w:lineRule="auto"/>
        <w:jc w:val="both"/>
      </w:pPr>
      <w:r>
        <w:rPr>
          <w:color w:val="222222"/>
        </w:rPr>
        <w:t>L’Istituzione Partecipante potrà essere inserita nella Rete Internazionale delle Scienze Forensi di CONPEF e inclusa nelle comunicazioni istituzionali e nelle iniziative scientifiche promosse da CONPEF.</w:t>
      </w:r>
    </w:p>
    <w:p w14:paraId="261B9C8A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5F3C3C4A" w14:textId="44C0737F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7</w:t>
      </w:r>
      <w:r>
        <w:rPr>
          <w:b/>
          <w:bCs/>
          <w:color w:val="1A2456"/>
        </w:rPr>
        <w:t xml:space="preserve">  –  Institutional Independence</w:t>
      </w:r>
    </w:p>
    <w:p w14:paraId="04DFC446" w14:textId="77777777" w:rsidR="00F01401" w:rsidRPr="006F4501" w:rsidRDefault="00000000" w:rsidP="00824A7E">
      <w:pPr>
        <w:spacing w:before="60" w:after="40" w:line="264" w:lineRule="auto"/>
        <w:jc w:val="both"/>
        <w:rPr>
          <w:b/>
          <w:bCs/>
          <w:color w:val="4CAF27"/>
        </w:rPr>
      </w:pPr>
      <w:r>
        <w:rPr>
          <w:color w:val="222222"/>
        </w:rPr>
        <w:t xml:space="preserve">This agreement does not create legal, financial, or hierarchical obligations between the Parties. </w:t>
      </w:r>
      <w:r>
        <w:rPr>
          <w:color w:val="000000"/>
        </w:rPr>
        <w:t>Each Party retains full autonomy in its governance, professional standards, and institutional activities.</w:t>
      </w:r>
      <w:r>
        <w:rPr>
          <w:b/>
          <w:bCs/>
          <w:color w:val="4CAF27"/>
        </w:rPr>
        <w:t xml:space="preserve"> </w:t>
      </w:r>
    </w:p>
    <w:p w14:paraId="26F00C27" w14:textId="77777777" w:rsidR="00F01401" w:rsidRPr="002F2F3C" w:rsidRDefault="00F01401" w:rsidP="00824A7E">
      <w:pPr>
        <w:spacing w:before="60" w:after="40" w:line="264" w:lineRule="auto"/>
        <w:jc w:val="both"/>
        <w:rPr>
          <w:b/>
          <w:bCs/>
          <w:color w:val="4CAF27"/>
          <w:sz w:val="10"/>
          <w:szCs w:val="10"/>
        </w:rPr>
      </w:pPr>
    </w:p>
    <w:p w14:paraId="03093745" w14:textId="620F06E3" w:rsidR="001A2891" w:rsidRPr="006F4501" w:rsidRDefault="00000000" w:rsidP="00824A7E">
      <w:pPr>
        <w:spacing w:before="60" w:after="40" w:line="264" w:lineRule="auto"/>
        <w:jc w:val="both"/>
      </w:pPr>
      <w:r>
        <w:rPr>
          <w:b/>
          <w:bCs/>
          <w:color w:val="4CAF27"/>
        </w:rPr>
        <w:t>Article 8</w:t>
      </w:r>
      <w:r>
        <w:rPr>
          <w:b/>
          <w:bCs/>
          <w:color w:val="1A2456"/>
        </w:rPr>
        <w:t xml:space="preserve">  –  Duration </w:t>
      </w:r>
    </w:p>
    <w:p w14:paraId="139A1175" w14:textId="50C4DAEF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Il presente accordo rimarrà in vigore per un periodo di cinque (5) anni dalla data di sottoscrizione. Potrà essere rinnovato previo consenso scritto reciproco delle Parti.</w:t>
      </w:r>
    </w:p>
    <w:p w14:paraId="5E85305B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189C829C" w14:textId="1DABAFD5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9</w:t>
      </w:r>
      <w:r>
        <w:rPr>
          <w:b/>
          <w:bCs/>
          <w:color w:val="1A2456"/>
        </w:rPr>
        <w:t xml:space="preserve">  –  Termination</w:t>
      </w:r>
    </w:p>
    <w:p w14:paraId="474B61A1" w14:textId="77777777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Ciascuna Parte può recedere dal presente accordo in qualsiasi momento, mediante comunicazione scritta all’altra Parte. Il recesso non pregiudica le iniziative collaborative in corso già formalmente concordate.</w:t>
      </w:r>
    </w:p>
    <w:p w14:paraId="3E1C1B03" w14:textId="77777777" w:rsidR="008D0175" w:rsidRPr="002F2F3C" w:rsidRDefault="008D0175" w:rsidP="00824A7E">
      <w:pPr>
        <w:pBdr>
          <w:bottom w:val="single" w:sz="4" w:space="1" w:color="D0EAC0"/>
        </w:pBdr>
        <w:spacing w:before="60" w:after="40" w:line="264" w:lineRule="auto"/>
        <w:rPr>
          <w:b/>
          <w:bCs/>
          <w:color w:val="4CAF27"/>
          <w:sz w:val="10"/>
          <w:szCs w:val="10"/>
        </w:rPr>
      </w:pPr>
    </w:p>
    <w:p w14:paraId="31ED37DA" w14:textId="369CF2D1" w:rsidR="001A2891" w:rsidRPr="006F4501" w:rsidRDefault="00000000" w:rsidP="00824A7E">
      <w:pPr>
        <w:pBdr>
          <w:bottom w:val="single" w:sz="4" w:space="1" w:color="D0EAC0"/>
        </w:pBdr>
        <w:spacing w:before="60" w:after="40" w:line="264" w:lineRule="auto"/>
      </w:pPr>
      <w:r>
        <w:rPr>
          <w:b/>
          <w:bCs/>
          <w:color w:val="4CAF27"/>
        </w:rPr>
        <w:t>Article 10</w:t>
      </w:r>
      <w:r>
        <w:rPr>
          <w:b/>
          <w:bCs/>
          <w:color w:val="1A2456"/>
        </w:rPr>
        <w:t xml:space="preserve">  –  Entry into Force</w:t>
      </w:r>
    </w:p>
    <w:p w14:paraId="1A86E710" w14:textId="7BCF7ED6" w:rsidR="001A2891" w:rsidRPr="006F4501" w:rsidRDefault="00000000" w:rsidP="00824A7E">
      <w:pPr>
        <w:spacing w:before="60" w:after="40" w:line="264" w:lineRule="auto"/>
        <w:jc w:val="both"/>
      </w:pPr>
      <w:r>
        <w:rPr>
          <w:color w:val="222222"/>
        </w:rPr>
        <w:t>Il presente accordo entra in vigore alla firma dei rappresentanti autorizzati di entrambe le Parti.</w:t>
      </w:r>
    </w:p>
    <w:p w14:paraId="445B21A9" w14:textId="77777777" w:rsidR="001A2891" w:rsidRPr="002F2F3C" w:rsidRDefault="001A2891" w:rsidP="006F4501">
      <w:pPr>
        <w:pBdr>
          <w:bottom w:val="single" w:sz="10" w:space="1" w:color="4CAF27"/>
        </w:pBdr>
        <w:spacing w:line="264" w:lineRule="auto"/>
        <w:rPr>
          <w:sz w:val="10"/>
          <w:szCs w:val="10"/>
        </w:rPr>
      </w:pPr>
    </w:p>
    <w:p w14:paraId="347DB21E" w14:textId="74CA4014" w:rsidR="001A2891" w:rsidRPr="002F2F3C" w:rsidRDefault="001A2891">
      <w:pPr>
        <w:spacing w:after="200"/>
        <w:rPr>
          <w:sz w:val="10"/>
          <w:szCs w:val="1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:rsidRPr="006F4501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Pr="006F450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Per CONPEF</w:t>
            </w:r>
          </w:p>
          <w:p w14:paraId="51E93DA1" w14:textId="77777777" w:rsidR="001A2891" w:rsidRPr="006F450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Pr="006F4501" w:rsidRDefault="00000000" w:rsidP="00AC037B">
            <w:pPr>
              <w:spacing w:after="160"/>
              <w:ind w:right="-39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9B72038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Pr="006F450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41470AB2" w14:textId="77777777" w:rsidR="001A2891" w:rsidRPr="006F450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Pr="006F450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Data / Date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Pr="006F4501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Per …..</w:t>
            </w:r>
          </w:p>
          <w:p w14:paraId="0934A39A" w14:textId="206D9843" w:rsidR="00AC037B" w:rsidRPr="006F4501" w:rsidRDefault="00AC037B" w:rsidP="00AC037B">
            <w:pPr>
              <w:spacing w:after="40"/>
              <w:ind w:left="272"/>
            </w:pPr>
            <w:r>
              <w:rPr>
                <w:b/>
                <w:bCs/>
              </w:rPr>
              <w:t>Dr. .</w:t>
            </w:r>
          </w:p>
          <w:p w14:paraId="4375029E" w14:textId="77777777" w:rsidR="00AC037B" w:rsidRPr="006F4501" w:rsidRDefault="00AC037B" w:rsidP="00AC037B">
            <w:pPr>
              <w:spacing w:after="160"/>
              <w:ind w:left="272"/>
            </w:pPr>
            <w:r>
              <w:rPr>
                <w:i/>
                <w:iCs/>
                <w:color w:val="4A5568"/>
                <w:sz w:val="20"/>
                <w:szCs w:val="20"/>
              </w:rPr>
              <w:t>Presidente</w:t>
            </w:r>
          </w:p>
          <w:p w14:paraId="7AF23FA9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Pr="006F4501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Firma / Signature</w:t>
            </w:r>
          </w:p>
          <w:p w14:paraId="09F01F25" w14:textId="77777777" w:rsidR="00AC037B" w:rsidRPr="006F4501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Pr="006F450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Data / Date</w:t>
            </w:r>
          </w:p>
        </w:tc>
      </w:tr>
    </w:tbl>
    <w:p w14:paraId="5E703390" w14:textId="77777777" w:rsidR="00B9486C" w:rsidRDefault="00B9486C"/>
    <w:sectPr w:rsidR="00B9486C" w:rsidSect="00AE5EF4">
      <w:pgSz w:w="11906" w:h="16838"/>
      <w:pgMar w:top="588" w:right="1134" w:bottom="111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074F4D"/>
    <w:rsid w:val="00161768"/>
    <w:rsid w:val="001A2891"/>
    <w:rsid w:val="002F2F3C"/>
    <w:rsid w:val="003177EE"/>
    <w:rsid w:val="00385247"/>
    <w:rsid w:val="006F4501"/>
    <w:rsid w:val="00824A7E"/>
    <w:rsid w:val="008D0175"/>
    <w:rsid w:val="009E5FF8"/>
    <w:rsid w:val="009F5420"/>
    <w:rsid w:val="00AC037B"/>
    <w:rsid w:val="00AD72FA"/>
    <w:rsid w:val="00AE5EF4"/>
    <w:rsid w:val="00B56459"/>
    <w:rsid w:val="00B9486C"/>
    <w:rsid w:val="00C37C40"/>
    <w:rsid w:val="00CC1F96"/>
    <w:rsid w:val="00D653A8"/>
    <w:rsid w:val="00F01401"/>
    <w:rsid w:val="00F0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9E5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582</Words>
  <Characters>3943</Characters>
  <Application>Microsoft Office Word</Application>
  <DocSecurity>0</DocSecurity>
  <Lines>102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16</cp:revision>
  <dcterms:created xsi:type="dcterms:W3CDTF">2026-03-10T09:43:00Z</dcterms:created>
  <dcterms:modified xsi:type="dcterms:W3CDTF">2026-03-25T20:27:00Z</dcterms:modified>
</cp:coreProperties>
</file>