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466"/>
      </w:tblGrid>
      <w:tr w:rsidR="003177EE" w14:paraId="79F399EC" w14:textId="77777777" w:rsidTr="003177EE"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30EB9B4A" w14:textId="77777777" w:rsidR="001A2891" w:rsidRDefault="00000000">
            <w:r>
              <w:rPr>
                <w:noProof/>
              </w:rPr>
              <w:drawing>
                <wp:inline distT="0" distB="0" distL="0" distR="0" wp14:anchorId="1176FF0C" wp14:editId="71854425">
                  <wp:extent cx="1524000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624" cy="91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96145BD" w14:textId="77777777" w:rsidR="00D653A8" w:rsidRPr="00F01401" w:rsidRDefault="00D653A8">
            <w:pPr>
              <w:spacing w:before="20" w:after="50"/>
              <w:rPr>
                <w:b/>
                <w:bCs/>
                <w:color w:val="1A2456"/>
                <w:sz w:val="10"/>
                <w:szCs w:val="10"/>
              </w:rPr>
            </w:pPr>
          </w:p>
          <w:p w14:paraId="59B12472" w14:textId="5AE9CED7" w:rsidR="001A2891" w:rsidRDefault="00000000">
            <w:pPr>
              <w:spacing w:before="20" w:after="50"/>
              <w:rPr>
                <w:b/>
                <w:bCs/>
                <w:color w:val="1A2456"/>
                <w:sz w:val="30"/>
                <w:szCs w:val="30"/>
              </w:rPr>
            </w:pPr>
            <w:r>
              <w:rPr>
                <w:b/>
                <w:bCs/>
                <w:color w:val="1A2456"/>
                <w:sz w:val="30"/>
                <w:szCs w:val="30"/>
              </w:rPr>
              <w:t>ACCORD INTERNATIONAL DE COLLABORATION</w:t>
            </w:r>
          </w:p>
          <w:p w14:paraId="0E340CC2" w14:textId="77777777" w:rsidR="00D653A8" w:rsidRPr="00D653A8" w:rsidRDefault="00D653A8">
            <w:pPr>
              <w:spacing w:before="20" w:after="50"/>
              <w:rPr>
                <w:sz w:val="10"/>
                <w:szCs w:val="10"/>
              </w:rPr>
            </w:pPr>
          </w:p>
          <w:p w14:paraId="7BD01CF3" w14:textId="77777777" w:rsidR="001A2891" w:rsidRPr="00F01401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4A5568"/>
                <w:sz w:val="28"/>
                <w:szCs w:val="28"/>
              </w:rPr>
              <w:t>CONPEF – Réseau International des Sciences Forenses</w:t>
            </w:r>
          </w:p>
        </w:tc>
      </w:tr>
    </w:tbl>
    <w:p w14:paraId="699D695D" w14:textId="77777777" w:rsidR="001A2891" w:rsidRPr="00F01401" w:rsidRDefault="001A2891">
      <w:pPr>
        <w:pBdr>
          <w:bottom w:val="single" w:sz="12" w:space="1" w:color="4CAF27"/>
        </w:pBdr>
        <w:rPr>
          <w:sz w:val="10"/>
          <w:szCs w:val="10"/>
        </w:rPr>
      </w:pPr>
    </w:p>
    <w:p w14:paraId="56DFF717" w14:textId="77777777" w:rsidR="001A2891" w:rsidRPr="00074F4D" w:rsidRDefault="001A2891">
      <w:pPr>
        <w:spacing w:before="120"/>
        <w:rPr>
          <w:sz w:val="10"/>
          <w:szCs w:val="10"/>
        </w:rPr>
      </w:pPr>
    </w:p>
    <w:p w14:paraId="6917132E" w14:textId="77777777" w:rsidR="001A2891" w:rsidRDefault="00000000">
      <w:pPr>
        <w:spacing w:after="140"/>
        <w:jc w:val="center"/>
      </w:pPr>
      <w:r>
        <w:rPr>
          <w:i/>
          <w:iCs/>
          <w:color w:val="888888"/>
          <w:sz w:val="21"/>
          <w:szCs w:val="21"/>
        </w:rPr>
        <w:t>Entre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880"/>
      </w:tblGrid>
      <w:tr w:rsidR="00D653A8" w14:paraId="204E54BE" w14:textId="77777777" w:rsidTr="00D653A8">
        <w:tc>
          <w:tcPr>
            <w:tcW w:w="4531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547C625" w14:textId="77777777" w:rsidR="001A2891" w:rsidRDefault="00000000">
            <w:pPr>
              <w:spacing w:after="60"/>
            </w:pPr>
            <w:r>
              <w:rPr>
                <w:b/>
                <w:bCs/>
                <w:color w:val="1A2456"/>
                <w:sz w:val="26"/>
                <w:szCs w:val="26"/>
              </w:rPr>
              <w:t>CONPEF</w:t>
            </w:r>
          </w:p>
          <w:p w14:paraId="1D894BA4" w14:textId="77777777" w:rsidR="001A2891" w:rsidRDefault="00000000">
            <w:pPr>
              <w:spacing w:after="40"/>
            </w:pPr>
            <w:r>
              <w:rPr>
                <w:color w:val="4A5568"/>
                <w:sz w:val="20"/>
                <w:szCs w:val="20"/>
              </w:rPr>
              <w:t>Coordinamento Nazionale Periti ed Esperti Forensi</w:t>
            </w:r>
          </w:p>
          <w:p w14:paraId="37279005" w14:textId="77777777" w:rsidR="001A2891" w:rsidRDefault="00000000">
            <w:pPr>
              <w:spacing w:after="80"/>
            </w:pPr>
            <w:r>
              <w:rPr>
                <w:color w:val="4A5568"/>
                <w:sz w:val="20"/>
                <w:szCs w:val="20"/>
              </w:rPr>
              <w:t>Italie</w:t>
            </w:r>
          </w:p>
          <w:p w14:paraId="03CCE790" w14:textId="77777777" w:rsidR="001A2891" w:rsidRDefault="00000000">
            <w:pPr>
              <w:spacing w:after="30"/>
            </w:pPr>
            <w:r>
              <w:rPr>
                <w:i/>
                <w:iCs/>
                <w:color w:val="888888"/>
                <w:sz w:val="19"/>
                <w:szCs w:val="19"/>
              </w:rPr>
              <w:t>Représenté par :</w:t>
            </w:r>
          </w:p>
          <w:p w14:paraId="66DC2752" w14:textId="77777777" w:rsidR="001A2891" w:rsidRDefault="00000000">
            <w:r>
              <w:rPr>
                <w:b/>
                <w:bCs/>
                <w:color w:val="1A2456"/>
                <w:sz w:val="20"/>
                <w:szCs w:val="20"/>
              </w:rPr>
              <w:t>Dr. Francesco Matranga – Président</w:t>
            </w:r>
          </w:p>
        </w:tc>
        <w:tc>
          <w:tcPr>
            <w:tcW w:w="2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D74D8" w14:textId="77777777" w:rsidR="001A2891" w:rsidRDefault="001A2891"/>
        </w:tc>
        <w:tc>
          <w:tcPr>
            <w:tcW w:w="4880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D84635" w14:textId="77777777" w:rsidR="001A2891" w:rsidRDefault="00000000" w:rsidP="00D653A8">
            <w:pPr>
              <w:spacing w:after="60"/>
              <w:ind w:right="-388"/>
            </w:pPr>
            <w:r>
              <w:rPr>
                <w:b/>
                <w:bCs/>
                <w:color w:val="1A2456"/>
                <w:sz w:val="26"/>
                <w:szCs w:val="26"/>
              </w:rPr>
              <w:t>[Nom de l’Institution]</w:t>
            </w:r>
          </w:p>
          <w:p w14:paraId="3C0A1A86" w14:textId="77777777" w:rsidR="001A2891" w:rsidRDefault="00000000" w:rsidP="00D653A8">
            <w:pPr>
              <w:spacing w:after="40"/>
              <w:ind w:right="-388"/>
            </w:pPr>
            <w:r>
              <w:rPr>
                <w:color w:val="4A5568"/>
                <w:sz w:val="20"/>
                <w:szCs w:val="20"/>
              </w:rPr>
              <w:t>[Dénomination Juridique Complète]</w:t>
            </w:r>
          </w:p>
          <w:p w14:paraId="6AA85427" w14:textId="77777777" w:rsidR="001A2891" w:rsidRDefault="00000000" w:rsidP="00D653A8">
            <w:pPr>
              <w:spacing w:after="80"/>
              <w:ind w:right="-388"/>
            </w:pPr>
            <w:r>
              <w:rPr>
                <w:color w:val="4A5568"/>
                <w:sz w:val="20"/>
                <w:szCs w:val="20"/>
              </w:rPr>
              <w:t>[Pays]</w:t>
            </w:r>
          </w:p>
          <w:p w14:paraId="56B15553" w14:textId="77777777" w:rsidR="001A2891" w:rsidRDefault="00000000" w:rsidP="00D653A8">
            <w:pPr>
              <w:spacing w:after="30"/>
              <w:ind w:right="-388"/>
            </w:pPr>
            <w:r>
              <w:rPr>
                <w:i/>
                <w:iCs/>
                <w:color w:val="888888"/>
                <w:sz w:val="19"/>
                <w:szCs w:val="19"/>
              </w:rPr>
              <w:t>Représenté par :</w:t>
            </w:r>
          </w:p>
          <w:p w14:paraId="6C234656" w14:textId="77777777" w:rsidR="001A2891" w:rsidRDefault="00000000" w:rsidP="00D653A8">
            <w:pPr>
              <w:ind w:right="-388"/>
            </w:pPr>
            <w:r>
              <w:rPr>
                <w:b/>
                <w:bCs/>
                <w:color w:val="1A2456"/>
                <w:sz w:val="20"/>
                <w:szCs w:val="20"/>
              </w:rPr>
              <w:t>[Nom – Fonction]</w:t>
            </w:r>
          </w:p>
        </w:tc>
      </w:tr>
    </w:tbl>
    <w:p w14:paraId="7815CE78" w14:textId="77777777" w:rsidR="001A2891" w:rsidRPr="00074F4D" w:rsidRDefault="001A2891">
      <w:pPr>
        <w:spacing w:before="60"/>
        <w:rPr>
          <w:sz w:val="10"/>
          <w:szCs w:val="10"/>
        </w:rPr>
      </w:pPr>
    </w:p>
    <w:p w14:paraId="779EBC70" w14:textId="77777777" w:rsidR="001A2891" w:rsidRDefault="00000000">
      <w:pPr>
        <w:spacing w:before="80" w:after="200"/>
        <w:jc w:val="center"/>
      </w:pPr>
      <w:r>
        <w:rPr>
          <w:i/>
          <w:iCs/>
          <w:color w:val="4A5568"/>
          <w:sz w:val="19"/>
          <w:szCs w:val="19"/>
        </w:rPr>
        <w:t>Hereinafter individually referred to as "Party" and collectively as "the Parties."</w:t>
      </w:r>
    </w:p>
    <w:p w14:paraId="1FB015A4" w14:textId="77777777" w:rsidR="001A2891" w:rsidRPr="00074F4D" w:rsidRDefault="001A2891">
      <w:pPr>
        <w:pBdr>
          <w:bottom w:val="single" w:sz="4" w:space="1" w:color="D0EAC0"/>
        </w:pBdr>
        <w:rPr>
          <w:sz w:val="10"/>
          <w:szCs w:val="10"/>
        </w:rPr>
      </w:pPr>
    </w:p>
    <w:p w14:paraId="413AFF48" w14:textId="77777777" w:rsidR="001A2891" w:rsidRPr="00D653A8" w:rsidRDefault="001A2891" w:rsidP="00824A7E">
      <w:pPr>
        <w:spacing w:before="60" w:after="40" w:line="264" w:lineRule="auto"/>
        <w:rPr>
          <w:sz w:val="10"/>
          <w:szCs w:val="10"/>
        </w:rPr>
      </w:pPr>
    </w:p>
    <w:p w14:paraId="0F604AAC" w14:textId="77777777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1</w:t>
      </w:r>
      <w:r>
        <w:rPr>
          <w:b/>
          <w:bCs/>
          <w:color w:val="1A2456"/>
        </w:rPr>
        <w:t xml:space="preserve">  –  Purpose of the Agreement</w:t>
      </w:r>
    </w:p>
    <w:p w14:paraId="7C1D4FF8" w14:textId="6B044260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 présent accord vise à établir un cadre de coopération scientifique et professionnelle internationale entre les Parties dans le domaine des sciences forenses, de l’analyse expertale et de la prévention des erreurs judiciaires.</w:t>
      </w:r>
    </w:p>
    <w:p w14:paraId="53ABCE01" w14:textId="5259B632" w:rsidR="006F4501" w:rsidRDefault="009E5FF8" w:rsidP="00824A7E">
      <w:pPr>
        <w:spacing w:before="60" w:after="40" w:line="264" w:lineRule="auto"/>
        <w:jc w:val="both"/>
      </w:pPr>
      <w:r>
        <w:rPr>
          <w:color w:val="222222"/>
        </w:rPr>
        <w:t>Les Parties entendent promouvoir la coopération, l’échange d’expertises et le développement d’approches méthodologiques communes entre professionnels opérant dans différents systèmes juridiques.</w:t>
      </w:r>
    </w:p>
    <w:p w14:paraId="4129E94A" w14:textId="77777777" w:rsidR="002F2F3C" w:rsidRPr="002F2F3C" w:rsidRDefault="002F2F3C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4A2C7341" w14:textId="61BD95D5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2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International Collaboration</w:t>
      </w:r>
    </w:p>
    <w:p w14:paraId="76A816F6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Par le biais du présent accord, [Nom de l’Institution] sera reconnue en tant qu’:</w:t>
      </w:r>
    </w:p>
    <w:p w14:paraId="7F07F9FC" w14:textId="719BD24D" w:rsidR="00F02232" w:rsidRPr="006F4501" w:rsidRDefault="00F02232" w:rsidP="00824A7E">
      <w:pPr>
        <w:spacing w:before="60" w:after="40" w:line="264" w:lineRule="auto"/>
        <w:jc w:val="center"/>
      </w:pPr>
      <w:r>
        <w:rPr>
          <w:b/>
          <w:bCs/>
          <w:color w:val="1A2456"/>
        </w:rPr>
        <w:t>Institution Participante au Réseau International des Sciences Forenses de CONPEF</w:t>
      </w:r>
    </w:p>
    <w:p w14:paraId="373A2255" w14:textId="77777777" w:rsidR="009E5FF8" w:rsidRPr="006F4501" w:rsidRDefault="00000000" w:rsidP="00824A7E">
      <w:pPr>
        <w:spacing w:before="60" w:after="40" w:line="264" w:lineRule="auto"/>
        <w:jc w:val="both"/>
        <w:rPr>
          <w:color w:val="222222"/>
        </w:rPr>
      </w:pPr>
      <w:r>
        <w:rPr>
          <w:color w:val="222222"/>
        </w:rPr>
        <w:t xml:space="preserve">Cette collaboration vise à renforcer le dialogue professionnel et la coopération entre les institutions forenses à l’échelle mondiale. </w:t>
      </w:r>
    </w:p>
    <w:p w14:paraId="2F5E9559" w14:textId="404F1C0E" w:rsidR="009E5FF8" w:rsidRDefault="009E5FF8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000000"/>
        </w:rPr>
        <w:t>Cette reconnaissance a exclusivement pour objet d’identifier la participation à un réseau international de collaboration scientifique et n’implique aucune forme d’intégration institutionnelle.</w:t>
      </w:r>
      <w:r>
        <w:rPr>
          <w:b/>
          <w:bCs/>
          <w:color w:val="4CAF27"/>
        </w:rPr>
        <w:t xml:space="preserve"> </w:t>
      </w:r>
    </w:p>
    <w:p w14:paraId="55FA5452" w14:textId="77777777" w:rsidR="002F2F3C" w:rsidRPr="002F2F3C" w:rsidRDefault="002F2F3C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7C2550F0" w14:textId="5C94DD4A" w:rsidR="008D0175" w:rsidRDefault="008D0175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3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Nature of the Collaboration</w:t>
      </w:r>
    </w:p>
    <w:p w14:paraId="387951E8" w14:textId="0C2F72BC" w:rsidR="009E5FF8" w:rsidRPr="006F4501" w:rsidRDefault="009E5FF8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000000"/>
        </w:rPr>
        <w:t>La participation au Réseau International CONPEF est exclusivement conçue comme une forme de collaboration scientifique et professionnelle volontaire entre organisations indépendantes.</w:t>
      </w:r>
    </w:p>
    <w:p w14:paraId="2147FF82" w14:textId="77777777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Elle ne constitue pas, et ne saurait être interprétée comme, une quelconque forme d’adhésion, de partenariat, de représentation ou d’affiliation institutionnelle entre l’institution participante et CONPEF.</w:t>
      </w:r>
    </w:p>
    <w:p w14:paraId="6221E9FA" w14:textId="77777777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Les institutions participantes demeurent pleinement autonomes et indépendantes sur le plan juridique. Leur statut institutionnel, leurs règlements intérieurs, leurs procédures d’accréditation ainsi que leur position vis-à-vis de tout ordre professionnel ou autorité de réglementation, y compris le MIMIT, restent entièrement préservés.</w:t>
      </w:r>
    </w:p>
    <w:p w14:paraId="4A1A0E29" w14:textId="677652C2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Les membres des institutions participantes n’acquièrent aucun statut, droit ou reconnaissance au sein de CONPEF en raison de cette participation.</w:t>
      </w:r>
    </w:p>
    <w:p w14:paraId="770C7224" w14:textId="77777777" w:rsidR="002F2F3C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Les professionnels individuels peuvent, à titre strictement personnel et volontaire, solliciter leur adhésion à CONPEF s’ils ont des intérêts ou des activités professionnels en Italie, conformément à la Loi italienne n° 4/2013 et au règlement intérieur de CONPEF. </w:t>
      </w:r>
    </w:p>
    <w:p w14:paraId="2606BB26" w14:textId="52F4090F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Cette adhésion est entièrement distincte et indépendante de leur affiliation à leur institution d’appartenance.</w:t>
      </w:r>
    </w:p>
    <w:p w14:paraId="6F20F8E6" w14:textId="77777777" w:rsidR="008D0175" w:rsidRDefault="008D0175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2D954B51" w14:textId="77777777" w:rsidR="002F2F3C" w:rsidRDefault="002F2F3C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1B8185BB" w14:textId="77777777" w:rsidR="002F2F3C" w:rsidRDefault="002F2F3C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529B2323" w14:textId="2E857EAE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4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Areas of Cooperation</w:t>
      </w:r>
    </w:p>
    <w:p w14:paraId="4DDBDAAF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Les Parties pourront collaborer dans les domaines suivants :</w:t>
      </w:r>
    </w:p>
    <w:p w14:paraId="3B785807" w14:textId="77777777" w:rsidR="00F01401" w:rsidRPr="006F4501" w:rsidRDefault="00F02232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 xml:space="preserve">Échange d’expertises et de bonnes pratiques en sciences forenses </w:t>
      </w:r>
    </w:p>
    <w:p w14:paraId="777B85C9" w14:textId="77777777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Initiatives communes et développement méthodologique</w:t>
      </w:r>
    </w:p>
    <w:p w14:paraId="64ADABCA" w14:textId="77777777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Publications scientifiques et partage des connaissances</w:t>
      </w:r>
    </w:p>
    <w:p w14:paraId="3CBEDAEE" w14:textId="213E0E0C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Participation à des groupes de travail et à la formation professionnelle</w:t>
      </w:r>
    </w:p>
    <w:p w14:paraId="4DD35A6B" w14:textId="1A1C9239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Coopération avec l’Observatoire National des Erreurs Judiciaires</w:t>
      </w:r>
    </w:p>
    <w:p w14:paraId="5A7B72B1" w14:textId="77777777" w:rsidR="00F01401" w:rsidRPr="002F2F3C" w:rsidRDefault="00F01401" w:rsidP="00824A7E">
      <w:pP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5A813E1C" w14:textId="5F68314C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5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International Activities</w:t>
      </w:r>
    </w:p>
    <w:p w14:paraId="7146B460" w14:textId="171ED94C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Les Parties pourront collaborer à l’organisation et à la promotion de conférences internationales, d’ateliers, de séminaires et d’initiatives professionnelles liés aux sciences forenses et à la prévention des erreurs judiciaires.</w:t>
      </w:r>
    </w:p>
    <w:p w14:paraId="4082A9A1" w14:textId="29476CD7" w:rsidR="001A2891" w:rsidRPr="006F4501" w:rsidRDefault="00F02232" w:rsidP="00824A7E">
      <w:pPr>
        <w:spacing w:before="60" w:after="40" w:line="264" w:lineRule="auto"/>
        <w:jc w:val="both"/>
      </w:pPr>
      <w:r>
        <w:rPr>
          <w:color w:val="222222"/>
        </w:rPr>
        <w:t>L’Institution Participante pourra être invitée à prendre part à l’International Forensic Science Summit, événement annuel du Réseau.</w:t>
      </w:r>
    </w:p>
    <w:p w14:paraId="79B74F14" w14:textId="77777777" w:rsidR="00824A7E" w:rsidRPr="002F2F3C" w:rsidRDefault="00824A7E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39979F4E" w14:textId="5EF98112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6</w:t>
      </w:r>
      <w:r>
        <w:rPr>
          <w:b/>
          <w:bCs/>
          <w:color w:val="1A2456"/>
        </w:rPr>
        <w:t xml:space="preserve">  –  Institutional Visibility</w:t>
      </w:r>
    </w:p>
    <w:p w14:paraId="08C74204" w14:textId="4CF69545" w:rsidR="001A2891" w:rsidRPr="006F4501" w:rsidRDefault="00F01401" w:rsidP="00824A7E">
      <w:pPr>
        <w:spacing w:before="60" w:after="40" w:line="264" w:lineRule="auto"/>
        <w:jc w:val="both"/>
      </w:pPr>
      <w:r>
        <w:rPr>
          <w:color w:val="222222"/>
        </w:rPr>
        <w:t>L’Institution Participante pourra être répertoriée dans le Réseau International des Sciences Forenses de CONPEF et incluse dans les communications institutionnelles et les initiatives scientifiques promues par CONPEF.</w:t>
      </w:r>
    </w:p>
    <w:p w14:paraId="261B9C8A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5F3C3C4A" w14:textId="44C0737F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7</w:t>
      </w:r>
      <w:r>
        <w:rPr>
          <w:b/>
          <w:bCs/>
          <w:color w:val="1A2456"/>
        </w:rPr>
        <w:t xml:space="preserve">  –  Institutional Independence</w:t>
      </w:r>
    </w:p>
    <w:p w14:paraId="04DFC446" w14:textId="77777777" w:rsidR="00F01401" w:rsidRPr="006F4501" w:rsidRDefault="00000000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222222"/>
        </w:rPr>
        <w:t xml:space="preserve">This agreement does not create legal, financial, or hierarchical obligations between the Parties. </w:t>
      </w:r>
      <w:r>
        <w:rPr>
          <w:color w:val="000000"/>
        </w:rPr>
        <w:t>Each Party retains full autonomy in its governance, professional standards, and institutional activities.</w:t>
      </w:r>
      <w:r>
        <w:rPr>
          <w:b/>
          <w:bCs/>
          <w:color w:val="4CAF27"/>
        </w:rPr>
        <w:t xml:space="preserve"> </w:t>
      </w:r>
    </w:p>
    <w:p w14:paraId="26F00C27" w14:textId="77777777" w:rsidR="00F01401" w:rsidRPr="002F2F3C" w:rsidRDefault="00F01401" w:rsidP="00824A7E">
      <w:pPr>
        <w:spacing w:before="60" w:after="40" w:line="264" w:lineRule="auto"/>
        <w:jc w:val="both"/>
        <w:rPr>
          <w:b/>
          <w:bCs/>
          <w:color w:val="4CAF27"/>
          <w:sz w:val="10"/>
          <w:szCs w:val="10"/>
        </w:rPr>
      </w:pPr>
    </w:p>
    <w:p w14:paraId="03093745" w14:textId="620F06E3" w:rsidR="001A2891" w:rsidRPr="006F4501" w:rsidRDefault="00000000" w:rsidP="00824A7E">
      <w:pPr>
        <w:spacing w:before="60" w:after="40" w:line="264" w:lineRule="auto"/>
        <w:jc w:val="both"/>
      </w:pPr>
      <w:r>
        <w:rPr>
          <w:b/>
          <w:bCs/>
          <w:color w:val="4CAF27"/>
        </w:rPr>
        <w:t>Article 8</w:t>
      </w:r>
      <w:r>
        <w:rPr>
          <w:b/>
          <w:bCs/>
          <w:color w:val="1A2456"/>
        </w:rPr>
        <w:t xml:space="preserve">  –  Duration </w:t>
      </w:r>
    </w:p>
    <w:p w14:paraId="139A1175" w14:textId="50C4DAEF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 présent accord demeurera en vigueur pour une période de cinq (5) ans à compter de la date de signature. Il pourra être renouvelé par consentement écrit mutuel des Parties.</w:t>
      </w:r>
    </w:p>
    <w:p w14:paraId="5E85305B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189C829C" w14:textId="1DABAFD5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9</w:t>
      </w:r>
      <w:r>
        <w:rPr>
          <w:b/>
          <w:bCs/>
          <w:color w:val="1A2456"/>
        </w:rPr>
        <w:t xml:space="preserve">  –  Termination</w:t>
      </w:r>
    </w:p>
    <w:p w14:paraId="474B61A1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L’une ou l’autre des Parties peut résilier le présent accord à tout moment en adressant un préavis écrit à l’autre Partie. La résiliation est sans effet sur les initiatives de collaboration en cours déjà formellement convenues.</w:t>
      </w:r>
    </w:p>
    <w:p w14:paraId="3E1C1B03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31ED37DA" w14:textId="369CF2D1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10</w:t>
      </w:r>
      <w:r>
        <w:rPr>
          <w:b/>
          <w:bCs/>
          <w:color w:val="1A2456"/>
        </w:rPr>
        <w:t xml:space="preserve">  –  Entry into Force</w:t>
      </w:r>
    </w:p>
    <w:p w14:paraId="1A86E710" w14:textId="7BCF7ED6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 présent accord entre en vigueur dès sa signature par les représentants habilités des deux Parties.</w:t>
      </w:r>
    </w:p>
    <w:p w14:paraId="445B21A9" w14:textId="77777777" w:rsidR="001A2891" w:rsidRPr="002F2F3C" w:rsidRDefault="001A2891" w:rsidP="006F4501">
      <w:pPr>
        <w:pBdr>
          <w:bottom w:val="single" w:sz="10" w:space="1" w:color="4CAF27"/>
        </w:pBdr>
        <w:spacing w:line="264" w:lineRule="auto"/>
        <w:rPr>
          <w:sz w:val="10"/>
          <w:szCs w:val="10"/>
        </w:rPr>
      </w:pPr>
    </w:p>
    <w:p w14:paraId="347DB21E" w14:textId="74CA4014" w:rsidR="001A2891" w:rsidRPr="002F2F3C" w:rsidRDefault="001A2891">
      <w:pPr>
        <w:spacing w:after="200"/>
        <w:rPr>
          <w:sz w:val="10"/>
          <w:szCs w:val="1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10"/>
      </w:tblGrid>
      <w:tr w:rsidR="00AC037B" w:rsidRPr="006F4501" w14:paraId="39CAD6A1" w14:textId="77777777" w:rsidTr="00AC037B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5526F09B" w14:textId="77777777" w:rsidR="001A2891" w:rsidRPr="006F4501" w:rsidRDefault="00000000" w:rsidP="00AC037B">
            <w:pPr>
              <w:spacing w:after="80"/>
              <w:ind w:right="-392"/>
            </w:pPr>
            <w:r>
              <w:rPr>
                <w:b/>
                <w:bCs/>
                <w:color w:val="1A2456"/>
              </w:rPr>
              <w:t>Pour CONPEF</w:t>
            </w:r>
          </w:p>
          <w:p w14:paraId="51E93DA1" w14:textId="77777777" w:rsidR="001A2891" w:rsidRPr="006F4501" w:rsidRDefault="00000000" w:rsidP="00AC037B">
            <w:pPr>
              <w:spacing w:after="40"/>
              <w:ind w:right="-392"/>
            </w:pPr>
            <w:r>
              <w:rPr>
                <w:b/>
                <w:bCs/>
              </w:rPr>
              <w:t>Dr. Francesco Matranga</w:t>
            </w:r>
          </w:p>
          <w:p w14:paraId="7BEE22B9" w14:textId="77777777" w:rsidR="001A2891" w:rsidRPr="006F4501" w:rsidRDefault="00000000" w:rsidP="00AC037B">
            <w:pPr>
              <w:spacing w:after="160"/>
              <w:ind w:right="-392"/>
            </w:pPr>
            <w:r>
              <w:rPr>
                <w:i/>
                <w:iCs/>
                <w:color w:val="4A5568"/>
                <w:sz w:val="20"/>
                <w:szCs w:val="20"/>
              </w:rPr>
              <w:t>Président</w:t>
            </w:r>
          </w:p>
          <w:p w14:paraId="79B72038" w14:textId="77777777" w:rsidR="001A2891" w:rsidRPr="006F450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015BFEB5" w14:textId="77777777" w:rsidR="001A2891" w:rsidRPr="006F4501" w:rsidRDefault="00000000" w:rsidP="00AC037B">
            <w:pPr>
              <w:spacing w:before="30" w:after="80"/>
              <w:ind w:right="-392"/>
            </w:pPr>
            <w:r>
              <w:rPr>
                <w:color w:val="888888"/>
                <w:sz w:val="18"/>
                <w:szCs w:val="18"/>
              </w:rPr>
              <w:t>Signature / Firma</w:t>
            </w:r>
          </w:p>
          <w:p w14:paraId="41470AB2" w14:textId="77777777" w:rsidR="001A2891" w:rsidRPr="006F450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5D721732" w14:textId="77777777" w:rsidR="001A2891" w:rsidRPr="006F4501" w:rsidRDefault="00000000" w:rsidP="00AC037B">
            <w:pPr>
              <w:spacing w:before="30"/>
              <w:ind w:right="-392"/>
            </w:pPr>
            <w:r>
              <w:rPr>
                <w:color w:val="888888"/>
                <w:sz w:val="18"/>
                <w:szCs w:val="18"/>
              </w:rPr>
              <w:t>Date / Data</w:t>
            </w:r>
          </w:p>
        </w:tc>
        <w:tc>
          <w:tcPr>
            <w:tcW w:w="5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CADAB2" w14:textId="5548008D" w:rsidR="00AC037B" w:rsidRPr="006F4501" w:rsidRDefault="00AC037B" w:rsidP="00AC037B">
            <w:pPr>
              <w:spacing w:after="80"/>
              <w:ind w:left="272"/>
            </w:pPr>
            <w:r>
              <w:rPr>
                <w:b/>
                <w:bCs/>
                <w:color w:val="1A2456"/>
              </w:rPr>
              <w:t>Pour …..</w:t>
            </w:r>
          </w:p>
          <w:p w14:paraId="0934A39A" w14:textId="206D9843" w:rsidR="00AC037B" w:rsidRPr="006F4501" w:rsidRDefault="00AC037B" w:rsidP="00AC037B">
            <w:pPr>
              <w:spacing w:after="40"/>
              <w:ind w:left="272"/>
            </w:pPr>
            <w:r>
              <w:rPr>
                <w:b/>
                <w:bCs/>
              </w:rPr>
              <w:t>Dr. .</w:t>
            </w:r>
          </w:p>
          <w:p w14:paraId="4375029E" w14:textId="77777777" w:rsidR="00AC037B" w:rsidRPr="006F4501" w:rsidRDefault="00AC037B" w:rsidP="00AC037B">
            <w:pPr>
              <w:spacing w:after="160"/>
              <w:ind w:left="272"/>
            </w:pPr>
            <w:r>
              <w:rPr>
                <w:i/>
                <w:iCs/>
                <w:color w:val="4A5568"/>
                <w:sz w:val="20"/>
                <w:szCs w:val="20"/>
              </w:rPr>
              <w:t>Président</w:t>
            </w:r>
          </w:p>
          <w:p w14:paraId="7AF23FA9" w14:textId="77777777" w:rsidR="00AC037B" w:rsidRPr="006F4501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3A81358C" w14:textId="77777777" w:rsidR="00AC037B" w:rsidRPr="006F4501" w:rsidRDefault="00AC037B" w:rsidP="00AC037B">
            <w:pPr>
              <w:spacing w:before="30" w:after="80"/>
              <w:ind w:left="272"/>
            </w:pPr>
            <w:r>
              <w:rPr>
                <w:color w:val="888888"/>
                <w:sz w:val="18"/>
                <w:szCs w:val="18"/>
              </w:rPr>
              <w:t>Signature / Firma</w:t>
            </w:r>
          </w:p>
          <w:p w14:paraId="09F01F25" w14:textId="77777777" w:rsidR="00AC037B" w:rsidRPr="006F4501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7CF0B7DF" w14:textId="5BE77567" w:rsidR="001A2891" w:rsidRPr="006F4501" w:rsidRDefault="00AC037B" w:rsidP="00AC037B">
            <w:pPr>
              <w:ind w:left="272"/>
            </w:pPr>
            <w:r>
              <w:rPr>
                <w:color w:val="888888"/>
                <w:sz w:val="18"/>
                <w:szCs w:val="18"/>
              </w:rPr>
              <w:t>Date / Data</w:t>
            </w:r>
          </w:p>
        </w:tc>
      </w:tr>
    </w:tbl>
    <w:p w14:paraId="5E703390" w14:textId="77777777" w:rsidR="00B9486C" w:rsidRDefault="00B9486C"/>
    <w:sectPr w:rsidR="00B9486C" w:rsidSect="00AE5EF4">
      <w:pgSz w:w="11906" w:h="16838"/>
      <w:pgMar w:top="588" w:right="1134" w:bottom="111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61D9"/>
    <w:multiLevelType w:val="hybridMultilevel"/>
    <w:tmpl w:val="FC96C28A"/>
    <w:lvl w:ilvl="0" w:tplc="ADC29EF6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E3C8337C">
      <w:numFmt w:val="decimal"/>
      <w:lvlText w:val=""/>
      <w:lvlJc w:val="left"/>
    </w:lvl>
    <w:lvl w:ilvl="2" w:tplc="6B7E27B8">
      <w:numFmt w:val="decimal"/>
      <w:lvlText w:val=""/>
      <w:lvlJc w:val="left"/>
    </w:lvl>
    <w:lvl w:ilvl="3" w:tplc="1180C37C">
      <w:numFmt w:val="decimal"/>
      <w:lvlText w:val=""/>
      <w:lvlJc w:val="left"/>
    </w:lvl>
    <w:lvl w:ilvl="4" w:tplc="DF8C8A62">
      <w:numFmt w:val="decimal"/>
      <w:lvlText w:val=""/>
      <w:lvlJc w:val="left"/>
    </w:lvl>
    <w:lvl w:ilvl="5" w:tplc="338CF4AA">
      <w:numFmt w:val="decimal"/>
      <w:lvlText w:val=""/>
      <w:lvlJc w:val="left"/>
    </w:lvl>
    <w:lvl w:ilvl="6" w:tplc="B0CC24A6">
      <w:numFmt w:val="decimal"/>
      <w:lvlText w:val=""/>
      <w:lvlJc w:val="left"/>
    </w:lvl>
    <w:lvl w:ilvl="7" w:tplc="62ACE5C2">
      <w:numFmt w:val="decimal"/>
      <w:lvlText w:val=""/>
      <w:lvlJc w:val="left"/>
    </w:lvl>
    <w:lvl w:ilvl="8" w:tplc="E042DF10">
      <w:numFmt w:val="decimal"/>
      <w:lvlText w:val=""/>
      <w:lvlJc w:val="left"/>
    </w:lvl>
  </w:abstractNum>
  <w:abstractNum w:abstractNumId="1" w15:restartNumberingAfterBreak="0">
    <w:nsid w:val="72015C5E"/>
    <w:multiLevelType w:val="hybridMultilevel"/>
    <w:tmpl w:val="BB7AB34A"/>
    <w:lvl w:ilvl="0" w:tplc="D24AFC46">
      <w:start w:val="1"/>
      <w:numFmt w:val="bullet"/>
      <w:lvlText w:val="●"/>
      <w:lvlJc w:val="left"/>
      <w:pPr>
        <w:ind w:left="720" w:hanging="360"/>
      </w:pPr>
    </w:lvl>
    <w:lvl w:ilvl="1" w:tplc="AC4ED666">
      <w:start w:val="1"/>
      <w:numFmt w:val="bullet"/>
      <w:lvlText w:val="○"/>
      <w:lvlJc w:val="left"/>
      <w:pPr>
        <w:ind w:left="1440" w:hanging="360"/>
      </w:pPr>
    </w:lvl>
    <w:lvl w:ilvl="2" w:tplc="87B25FE2">
      <w:start w:val="1"/>
      <w:numFmt w:val="bullet"/>
      <w:lvlText w:val="■"/>
      <w:lvlJc w:val="left"/>
      <w:pPr>
        <w:ind w:left="2160" w:hanging="360"/>
      </w:pPr>
    </w:lvl>
    <w:lvl w:ilvl="3" w:tplc="B9ACA2A6">
      <w:start w:val="1"/>
      <w:numFmt w:val="bullet"/>
      <w:lvlText w:val="●"/>
      <w:lvlJc w:val="left"/>
      <w:pPr>
        <w:ind w:left="2880" w:hanging="360"/>
      </w:pPr>
    </w:lvl>
    <w:lvl w:ilvl="4" w:tplc="31DAD770">
      <w:start w:val="1"/>
      <w:numFmt w:val="bullet"/>
      <w:lvlText w:val="○"/>
      <w:lvlJc w:val="left"/>
      <w:pPr>
        <w:ind w:left="3600" w:hanging="360"/>
      </w:pPr>
    </w:lvl>
    <w:lvl w:ilvl="5" w:tplc="985471EE">
      <w:start w:val="1"/>
      <w:numFmt w:val="bullet"/>
      <w:lvlText w:val="■"/>
      <w:lvlJc w:val="left"/>
      <w:pPr>
        <w:ind w:left="4320" w:hanging="360"/>
      </w:pPr>
    </w:lvl>
    <w:lvl w:ilvl="6" w:tplc="1A42D752">
      <w:start w:val="1"/>
      <w:numFmt w:val="bullet"/>
      <w:lvlText w:val="●"/>
      <w:lvlJc w:val="left"/>
      <w:pPr>
        <w:ind w:left="5040" w:hanging="360"/>
      </w:pPr>
    </w:lvl>
    <w:lvl w:ilvl="7" w:tplc="17A0D7A0">
      <w:start w:val="1"/>
      <w:numFmt w:val="bullet"/>
      <w:lvlText w:val="●"/>
      <w:lvlJc w:val="left"/>
      <w:pPr>
        <w:ind w:left="5760" w:hanging="360"/>
      </w:pPr>
    </w:lvl>
    <w:lvl w:ilvl="8" w:tplc="C0702F66">
      <w:start w:val="1"/>
      <w:numFmt w:val="bullet"/>
      <w:lvlText w:val="●"/>
      <w:lvlJc w:val="left"/>
      <w:pPr>
        <w:ind w:left="6480" w:hanging="360"/>
      </w:pPr>
    </w:lvl>
  </w:abstractNum>
  <w:num w:numId="1" w16cid:durableId="2020305021">
    <w:abstractNumId w:val="1"/>
    <w:lvlOverride w:ilvl="0">
      <w:startOverride w:val="1"/>
    </w:lvlOverride>
  </w:num>
  <w:num w:numId="2" w16cid:durableId="359628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91"/>
    <w:rsid w:val="00074F4D"/>
    <w:rsid w:val="00161768"/>
    <w:rsid w:val="001A2891"/>
    <w:rsid w:val="002F2F3C"/>
    <w:rsid w:val="003177EE"/>
    <w:rsid w:val="006F4501"/>
    <w:rsid w:val="00824A7E"/>
    <w:rsid w:val="008D0175"/>
    <w:rsid w:val="009E5FF8"/>
    <w:rsid w:val="009F5420"/>
    <w:rsid w:val="00AC037B"/>
    <w:rsid w:val="00AD72FA"/>
    <w:rsid w:val="00AE5EF4"/>
    <w:rsid w:val="00B56459"/>
    <w:rsid w:val="00B9486C"/>
    <w:rsid w:val="00C37C40"/>
    <w:rsid w:val="00CC1F96"/>
    <w:rsid w:val="00D653A8"/>
    <w:rsid w:val="00F01401"/>
    <w:rsid w:val="00F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20DC3"/>
  <w15:docId w15:val="{04B9E82D-9E81-0347-A2F9-C9C3B45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9E5F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585</Words>
  <Characters>3797</Characters>
  <Application>Microsoft Office Word</Application>
  <DocSecurity>0</DocSecurity>
  <Lines>105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Dott.ssa Anna Rita Costantino</cp:lastModifiedBy>
  <cp:revision>15</cp:revision>
  <dcterms:created xsi:type="dcterms:W3CDTF">2026-03-10T09:43:00Z</dcterms:created>
  <dcterms:modified xsi:type="dcterms:W3CDTF">2026-03-25T20:05:00Z</dcterms:modified>
</cp:coreProperties>
</file>