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94"/>
        <w:gridCol w:w="6466"/>
      </w:tblGrid>
      <w:tr w:rsidR="003177EE" w14:paraId="79F399EC" w14:textId="77777777" w:rsidTr="003177EE">
        <w:tc>
          <w:tcPr>
            <w:tcW w:w="2694" w:type="dxa"/>
            <w:tcBorders>
              <w:top w:val="none" w:sz="0" w:space="0" w:color="FFFFFF"/>
              <w:left w:val="none" w:sz="0" w:space="0" w:color="FFFFFF"/>
              <w:bottom w:val="none" w:sz="0" w:space="0" w:color="FFFFFF"/>
              <w:right w:val="none" w:sz="0" w:space="0" w:color="FFFFFF"/>
            </w:tcBorders>
            <w:tcMar>
              <w:top w:w="0" w:type="dxa"/>
              <w:left w:w="0" w:type="dxa"/>
              <w:bottom w:w="0" w:type="dxa"/>
              <w:right w:w="160" w:type="dxa"/>
            </w:tcMar>
          </w:tcPr>
          <w:p w14:paraId="30EB9B4A" w14:textId="77777777" w:rsidR="001A2891" w:rsidRDefault="00000000">
            <w:r>
              <w:rPr>
                <w:noProof/>
              </w:rPr>
              <w:drawing>
                <wp:inline distT="0" distB="0" distL="0" distR="0" wp14:anchorId="1176FF0C" wp14:editId="71854425">
                  <wp:extent cx="1524000" cy="9144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525624" cy="915374"/>
                          </a:xfrm>
                          <a:prstGeom prst="rect">
                            <a:avLst/>
                          </a:prstGeom>
                        </pic:spPr>
                      </pic:pic>
                    </a:graphicData>
                  </a:graphic>
                </wp:inline>
              </w:drawing>
            </w:r>
          </w:p>
        </w:tc>
        <w:tc>
          <w:tcPr>
            <w:tcW w:w="6466"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296145BD" w14:textId="77777777" w:rsidR="00D653A8" w:rsidRPr="00F01401" w:rsidRDefault="00D653A8">
            <w:pPr>
              <w:spacing w:before="20" w:after="50"/>
              <w:rPr>
                <w:b/>
                <w:bCs/>
                <w:color w:val="1A2456"/>
                <w:sz w:val="10"/>
                <w:szCs w:val="10"/>
              </w:rPr>
            </w:pPr>
          </w:p>
          <w:p w14:paraId="59B12472" w14:textId="5AE9CED7" w:rsidR="001A2891" w:rsidRDefault="00000000">
            <w:pPr>
              <w:spacing w:before="20" w:after="50"/>
              <w:rPr>
                <w:b/>
                <w:bCs/>
                <w:color w:val="1A2456"/>
                <w:sz w:val="30"/>
                <w:szCs w:val="30"/>
              </w:rPr>
            </w:pPr>
            <w:r>
              <w:rPr>
                <w:b/>
                <w:bCs/>
                <w:color w:val="1A2456"/>
                <w:sz w:val="30"/>
                <w:szCs w:val="30"/>
              </w:rPr>
              <w:t>INTERNATIONAL COLLABORATION AGREEMENT</w:t>
            </w:r>
          </w:p>
          <w:p w14:paraId="0E340CC2" w14:textId="77777777" w:rsidR="00D653A8" w:rsidRPr="00D653A8" w:rsidRDefault="00D653A8">
            <w:pPr>
              <w:spacing w:before="20" w:after="50"/>
              <w:rPr>
                <w:sz w:val="10"/>
                <w:szCs w:val="10"/>
              </w:rPr>
            </w:pPr>
          </w:p>
          <w:p w14:paraId="7BD01CF3" w14:textId="77777777" w:rsidR="001A2891" w:rsidRPr="00F01401" w:rsidRDefault="00000000">
            <w:pPr>
              <w:rPr>
                <w:b/>
                <w:bCs/>
                <w:sz w:val="28"/>
                <w:szCs w:val="28"/>
              </w:rPr>
            </w:pPr>
            <w:r>
              <w:rPr>
                <w:b/>
                <w:bCs/>
                <w:i/>
                <w:iCs/>
                <w:color w:val="4A5568"/>
                <w:sz w:val="28"/>
                <w:szCs w:val="28"/>
              </w:rPr>
              <w:t>CONPEF – International Network of Forensic Sciences</w:t>
            </w:r>
          </w:p>
        </w:tc>
      </w:tr>
    </w:tbl>
    <w:p w14:paraId="699D695D" w14:textId="77777777" w:rsidR="001A2891" w:rsidRPr="00F01401" w:rsidRDefault="001A2891">
      <w:pPr>
        <w:pBdr>
          <w:bottom w:val="single" w:sz="12" w:space="1" w:color="4CAF27"/>
        </w:pBdr>
        <w:rPr>
          <w:sz w:val="10"/>
          <w:szCs w:val="10"/>
        </w:rPr>
      </w:pPr>
    </w:p>
    <w:p w14:paraId="56DFF717" w14:textId="77777777" w:rsidR="001A2891" w:rsidRPr="00074F4D" w:rsidRDefault="001A2891">
      <w:pPr>
        <w:spacing w:before="120"/>
        <w:rPr>
          <w:sz w:val="10"/>
          <w:szCs w:val="10"/>
        </w:rPr>
      </w:pPr>
    </w:p>
    <w:p w14:paraId="6917132E" w14:textId="77777777" w:rsidR="001A2891" w:rsidRDefault="00000000">
      <w:pPr>
        <w:spacing w:after="140"/>
        <w:jc w:val="center"/>
      </w:pPr>
      <w:r>
        <w:rPr>
          <w:i/>
          <w:iCs/>
          <w:color w:val="888888"/>
          <w:sz w:val="21"/>
          <w:szCs w:val="21"/>
        </w:rPr>
        <w:t>Between</w:t>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284"/>
        <w:gridCol w:w="4880"/>
      </w:tblGrid>
      <w:tr w:rsidR="00D653A8" w14:paraId="204E54BE" w14:textId="77777777" w:rsidTr="00D653A8">
        <w:tc>
          <w:tcPr>
            <w:tcW w:w="4531" w:type="dxa"/>
            <w:tcBorders>
              <w:top w:val="single" w:sz="4" w:space="0" w:color="C8E6B8"/>
              <w:left w:val="single" w:sz="4" w:space="0" w:color="C8E6B8"/>
              <w:bottom w:val="single" w:sz="4" w:space="0" w:color="C8E6B8"/>
              <w:right w:val="single" w:sz="4" w:space="0" w:color="C8E6B8"/>
            </w:tcBorders>
            <w:shd w:val="clear" w:color="auto" w:fill="F4F8F2"/>
            <w:tcMar>
              <w:top w:w="160" w:type="dxa"/>
              <w:left w:w="200" w:type="dxa"/>
              <w:bottom w:w="160" w:type="dxa"/>
              <w:right w:w="200" w:type="dxa"/>
            </w:tcMar>
          </w:tcPr>
          <w:p w14:paraId="3547C625" w14:textId="77777777" w:rsidR="001A2891" w:rsidRDefault="00000000">
            <w:pPr>
              <w:spacing w:after="60"/>
            </w:pPr>
            <w:r>
              <w:rPr>
                <w:b/>
                <w:bCs/>
                <w:color w:val="1A2456"/>
                <w:sz w:val="26"/>
                <w:szCs w:val="26"/>
              </w:rPr>
              <w:t>CONPEF</w:t>
            </w:r>
          </w:p>
          <w:p w14:paraId="1D894BA4" w14:textId="77777777" w:rsidR="001A2891" w:rsidRDefault="00000000">
            <w:pPr>
              <w:spacing w:after="40"/>
            </w:pPr>
            <w:r>
              <w:rPr>
                <w:color w:val="4A5568"/>
                <w:sz w:val="20"/>
                <w:szCs w:val="20"/>
              </w:rPr>
              <w:t>Coordinamento Nazionale Periti ed Esperti Forensi</w:t>
            </w:r>
          </w:p>
          <w:p w14:paraId="37279005" w14:textId="77777777" w:rsidR="001A2891" w:rsidRDefault="00000000">
            <w:pPr>
              <w:spacing w:after="80"/>
            </w:pPr>
            <w:r>
              <w:rPr>
                <w:color w:val="4A5568"/>
                <w:sz w:val="20"/>
                <w:szCs w:val="20"/>
              </w:rPr>
              <w:t>Italy</w:t>
            </w:r>
          </w:p>
          <w:p w14:paraId="03CCE790" w14:textId="77777777" w:rsidR="001A2891" w:rsidRDefault="00000000">
            <w:pPr>
              <w:spacing w:after="30"/>
            </w:pPr>
            <w:r>
              <w:rPr>
                <w:i/>
                <w:iCs/>
                <w:color w:val="888888"/>
                <w:sz w:val="19"/>
                <w:szCs w:val="19"/>
              </w:rPr>
              <w:t>Represented by:</w:t>
            </w:r>
          </w:p>
          <w:p w14:paraId="66DC2752" w14:textId="77777777" w:rsidR="001A2891" w:rsidRDefault="00000000">
            <w:r>
              <w:rPr>
                <w:b/>
                <w:bCs/>
                <w:color w:val="1A2456"/>
                <w:sz w:val="20"/>
                <w:szCs w:val="20"/>
              </w:rPr>
              <w:t>Dr. Francesco Matranga – President</w:t>
            </w:r>
          </w:p>
        </w:tc>
        <w:tc>
          <w:tcPr>
            <w:tcW w:w="284" w:type="dxa"/>
            <w:tcBorders>
              <w:top w:val="none" w:sz="0" w:space="0" w:color="FFFFFF"/>
              <w:left w:val="none" w:sz="0" w:space="0" w:color="FFFFFF"/>
              <w:bottom w:val="none" w:sz="0" w:space="0" w:color="FFFFFF"/>
              <w:right w:val="none" w:sz="0" w:space="0" w:color="FFFFFF"/>
            </w:tcBorders>
          </w:tcPr>
          <w:p w14:paraId="26DD74D8" w14:textId="77777777" w:rsidR="001A2891" w:rsidRDefault="001A2891"/>
        </w:tc>
        <w:tc>
          <w:tcPr>
            <w:tcW w:w="4880" w:type="dxa"/>
            <w:tcBorders>
              <w:top w:val="single" w:sz="4" w:space="0" w:color="C8E6B8"/>
              <w:left w:val="single" w:sz="4" w:space="0" w:color="C8E6B8"/>
              <w:bottom w:val="single" w:sz="4" w:space="0" w:color="C8E6B8"/>
              <w:right w:val="single" w:sz="4" w:space="0" w:color="C8E6B8"/>
            </w:tcBorders>
            <w:shd w:val="clear" w:color="auto" w:fill="F4F8F2"/>
            <w:tcMar>
              <w:top w:w="160" w:type="dxa"/>
              <w:left w:w="200" w:type="dxa"/>
              <w:bottom w:w="160" w:type="dxa"/>
              <w:right w:w="200" w:type="dxa"/>
            </w:tcMar>
          </w:tcPr>
          <w:p w14:paraId="18D84635" w14:textId="77777777" w:rsidR="001A2891" w:rsidRDefault="00000000" w:rsidP="00D653A8">
            <w:pPr>
              <w:spacing w:after="60"/>
              <w:ind w:right="-388"/>
            </w:pPr>
            <w:r>
              <w:rPr>
                <w:b/>
                <w:bCs/>
                <w:color w:val="1A2456"/>
                <w:sz w:val="26"/>
                <w:szCs w:val="26"/>
              </w:rPr>
              <w:t>[Name of Institution]</w:t>
            </w:r>
          </w:p>
          <w:p w14:paraId="3C0A1A86" w14:textId="77777777" w:rsidR="001A2891" w:rsidRDefault="00000000" w:rsidP="00D653A8">
            <w:pPr>
              <w:spacing w:after="40"/>
              <w:ind w:right="-388"/>
            </w:pPr>
            <w:r>
              <w:rPr>
                <w:color w:val="4A5568"/>
                <w:sz w:val="20"/>
                <w:szCs w:val="20"/>
              </w:rPr>
              <w:t>[Full Legal Name]</w:t>
            </w:r>
          </w:p>
          <w:p w14:paraId="6AA85427" w14:textId="77777777" w:rsidR="001A2891" w:rsidRDefault="00000000" w:rsidP="00D653A8">
            <w:pPr>
              <w:spacing w:after="80"/>
              <w:ind w:right="-388"/>
            </w:pPr>
            <w:r>
              <w:rPr>
                <w:color w:val="4A5568"/>
                <w:sz w:val="20"/>
                <w:szCs w:val="20"/>
              </w:rPr>
              <w:t>[Country]</w:t>
            </w:r>
          </w:p>
          <w:p w14:paraId="56B15553" w14:textId="77777777" w:rsidR="001A2891" w:rsidRDefault="00000000" w:rsidP="00D653A8">
            <w:pPr>
              <w:spacing w:after="30"/>
              <w:ind w:right="-388"/>
            </w:pPr>
            <w:r>
              <w:rPr>
                <w:i/>
                <w:iCs/>
                <w:color w:val="888888"/>
                <w:sz w:val="19"/>
                <w:szCs w:val="19"/>
              </w:rPr>
              <w:t>Represented by:</w:t>
            </w:r>
          </w:p>
          <w:p w14:paraId="6C234656" w14:textId="77777777" w:rsidR="001A2891" w:rsidRDefault="00000000" w:rsidP="00D653A8">
            <w:pPr>
              <w:ind w:right="-388"/>
            </w:pPr>
            <w:r>
              <w:rPr>
                <w:b/>
                <w:bCs/>
                <w:color w:val="1A2456"/>
                <w:sz w:val="20"/>
                <w:szCs w:val="20"/>
              </w:rPr>
              <w:t>[Name – Position]</w:t>
            </w:r>
          </w:p>
        </w:tc>
      </w:tr>
    </w:tbl>
    <w:p w14:paraId="7815CE78" w14:textId="77777777" w:rsidR="001A2891" w:rsidRPr="00074F4D" w:rsidRDefault="001A2891">
      <w:pPr>
        <w:spacing w:before="60"/>
        <w:rPr>
          <w:sz w:val="10"/>
          <w:szCs w:val="10"/>
        </w:rPr>
      </w:pPr>
    </w:p>
    <w:p w14:paraId="779EBC70" w14:textId="77777777" w:rsidR="001A2891" w:rsidRDefault="00000000">
      <w:pPr>
        <w:spacing w:before="80" w:after="200"/>
        <w:jc w:val="center"/>
      </w:pPr>
      <w:r>
        <w:rPr>
          <w:i/>
          <w:iCs/>
          <w:color w:val="4A5568"/>
          <w:sz w:val="19"/>
          <w:szCs w:val="19"/>
        </w:rPr>
        <w:t>Hereinafter individually referred to as "Party" and collectively as "the Parties."</w:t>
      </w:r>
    </w:p>
    <w:p w14:paraId="1FB015A4" w14:textId="77777777" w:rsidR="001A2891" w:rsidRPr="00074F4D" w:rsidRDefault="001A2891">
      <w:pPr>
        <w:pBdr>
          <w:bottom w:val="single" w:sz="4" w:space="1" w:color="D0EAC0"/>
        </w:pBdr>
        <w:rPr>
          <w:sz w:val="10"/>
          <w:szCs w:val="10"/>
        </w:rPr>
      </w:pPr>
    </w:p>
    <w:p w14:paraId="413AFF48" w14:textId="77777777" w:rsidR="001A2891" w:rsidRPr="00D653A8" w:rsidRDefault="001A2891" w:rsidP="00824A7E">
      <w:pPr>
        <w:spacing w:before="60" w:after="40" w:line="264" w:lineRule="auto"/>
        <w:rPr>
          <w:sz w:val="10"/>
          <w:szCs w:val="10"/>
        </w:rPr>
      </w:pPr>
    </w:p>
    <w:p w14:paraId="0F604AAC" w14:textId="77777777" w:rsidR="001A2891" w:rsidRPr="006F4501" w:rsidRDefault="00000000" w:rsidP="00824A7E">
      <w:pPr>
        <w:pBdr>
          <w:bottom w:val="single" w:sz="4" w:space="1" w:color="D0EAC0"/>
        </w:pBdr>
        <w:spacing w:before="60" w:after="40" w:line="264" w:lineRule="auto"/>
      </w:pPr>
      <w:r>
        <w:rPr>
          <w:b/>
          <w:bCs/>
          <w:color w:val="4CAF27"/>
        </w:rPr>
        <w:t>Article 1</w:t>
      </w:r>
      <w:r>
        <w:rPr>
          <w:b/>
          <w:bCs/>
          <w:color w:val="1A2456"/>
        </w:rPr>
        <w:t xml:space="preserve">  –  Purpose of the Agreement</w:t>
      </w:r>
    </w:p>
    <w:p w14:paraId="7C1D4FF8" w14:textId="6B044260" w:rsidR="001A2891" w:rsidRPr="006F4501" w:rsidRDefault="00000000" w:rsidP="00824A7E">
      <w:pPr>
        <w:spacing w:before="60" w:after="40" w:line="264" w:lineRule="auto"/>
        <w:jc w:val="both"/>
      </w:pPr>
      <w:r>
        <w:rPr>
          <w:color w:val="222222"/>
        </w:rPr>
        <w:t>This agreement aims to establish a framework of international scientific and professional cooperation between the Parties in the field of forensic sciences, expert analysis, and the prevention of judicial errors.</w:t>
      </w:r>
    </w:p>
    <w:p w14:paraId="53ABCE01" w14:textId="5259B632" w:rsidR="006F4501" w:rsidRDefault="009E5FF8" w:rsidP="00824A7E">
      <w:pPr>
        <w:spacing w:before="60" w:after="40" w:line="264" w:lineRule="auto"/>
        <w:jc w:val="both"/>
      </w:pPr>
      <w:r>
        <w:rPr>
          <w:color w:val="222222"/>
        </w:rPr>
        <w:t>The Parties intend to promote cooperation, exchange of expertise, and the development of shared methodological approaches among professionals operating in different legal systems.</w:t>
      </w:r>
    </w:p>
    <w:p w14:paraId="4129E94A" w14:textId="77777777" w:rsidR="002F2F3C" w:rsidRPr="002F2F3C" w:rsidRDefault="002F2F3C" w:rsidP="00824A7E">
      <w:pPr>
        <w:pBdr>
          <w:bottom w:val="single" w:sz="4" w:space="1" w:color="D0EAC0"/>
        </w:pBdr>
        <w:spacing w:before="60" w:after="40" w:line="264" w:lineRule="auto"/>
        <w:rPr>
          <w:b/>
          <w:bCs/>
          <w:color w:val="4CAF27"/>
          <w:sz w:val="10"/>
          <w:szCs w:val="10"/>
        </w:rPr>
      </w:pPr>
    </w:p>
    <w:p w14:paraId="4A2C7341" w14:textId="61BD95D5" w:rsidR="00824A7E" w:rsidRDefault="00824A7E" w:rsidP="00824A7E">
      <w:pPr>
        <w:pBdr>
          <w:bottom w:val="single" w:sz="4" w:space="1" w:color="D0EAC0"/>
        </w:pBdr>
        <w:spacing w:before="60" w:after="40" w:line="264" w:lineRule="auto"/>
      </w:pPr>
      <w:r>
        <w:rPr>
          <w:b/>
          <w:bCs/>
          <w:color w:val="4CAF27"/>
          <w:sz w:val="24"/>
          <w:szCs w:val="24"/>
        </w:rPr>
        <w:t>Artículo 2</w:t>
      </w:r>
      <w:r>
        <w:rPr>
          <w:b/>
          <w:bCs/>
          <w:color w:val="1A2456"/>
          <w:sz w:val="24"/>
          <w:szCs w:val="24"/>
        </w:rPr>
        <w:t xml:space="preserve">  –  </w:t>
      </w:r>
      <w:r>
        <w:rPr>
          <w:b/>
          <w:bCs/>
          <w:color w:val="1A2456"/>
        </w:rPr>
        <w:t>International Collaboration</w:t>
      </w:r>
    </w:p>
    <w:p w14:paraId="76A816F6" w14:textId="77777777" w:rsidR="001A2891" w:rsidRPr="006F4501" w:rsidRDefault="00000000" w:rsidP="00824A7E">
      <w:pPr>
        <w:spacing w:before="60" w:after="40" w:line="264" w:lineRule="auto"/>
        <w:jc w:val="both"/>
      </w:pPr>
      <w:r>
        <w:rPr>
          <w:color w:val="222222"/>
        </w:rPr>
        <w:t>Through this agreement, [Institution Name] will be recognized as an:</w:t>
      </w:r>
    </w:p>
    <w:p w14:paraId="7F07F9FC" w14:textId="719BD24D" w:rsidR="00F02232" w:rsidRPr="006F4501" w:rsidRDefault="00F02232" w:rsidP="00824A7E">
      <w:pPr>
        <w:spacing w:before="60" w:after="40" w:line="264" w:lineRule="auto"/>
        <w:jc w:val="center"/>
      </w:pPr>
      <w:r>
        <w:rPr>
          <w:b/>
          <w:bCs/>
          <w:color w:val="1A2456"/>
        </w:rPr>
        <w:t>Participating Institution in the CONPEF International Network of Forensic Sciences</w:t>
      </w:r>
    </w:p>
    <w:p w14:paraId="373A2255" w14:textId="77777777" w:rsidR="009E5FF8" w:rsidRPr="006F4501" w:rsidRDefault="00000000" w:rsidP="00824A7E">
      <w:pPr>
        <w:spacing w:before="60" w:after="40" w:line="264" w:lineRule="auto"/>
        <w:jc w:val="both"/>
        <w:rPr>
          <w:color w:val="222222"/>
        </w:rPr>
      </w:pPr>
      <w:r>
        <w:rPr>
          <w:color w:val="222222"/>
        </w:rPr>
        <w:t xml:space="preserve">This collaboration aims to strengthen professional dialogue and cooperation among forensic institutions worldwide. </w:t>
      </w:r>
    </w:p>
    <w:p w14:paraId="2F5E9559" w14:textId="404F1C0E" w:rsidR="009E5FF8" w:rsidRDefault="009E5FF8" w:rsidP="00824A7E">
      <w:pPr>
        <w:spacing w:before="60" w:after="40" w:line="264" w:lineRule="auto"/>
        <w:jc w:val="both"/>
        <w:rPr>
          <w:b/>
          <w:bCs/>
          <w:color w:val="4CAF27"/>
        </w:rPr>
      </w:pPr>
      <w:r>
        <w:rPr>
          <w:color w:val="000000"/>
        </w:rPr>
        <w:t>This recognition is exclusively intended to identify participation in an international scientific collaboration network and does not imply any form of institutional integration.</w:t>
      </w:r>
      <w:r>
        <w:rPr>
          <w:b/>
          <w:bCs/>
          <w:color w:val="4CAF27"/>
        </w:rPr>
        <w:t xml:space="preserve"> </w:t>
      </w:r>
    </w:p>
    <w:p w14:paraId="55FA5452" w14:textId="77777777" w:rsidR="002F2F3C" w:rsidRPr="002F2F3C" w:rsidRDefault="002F2F3C" w:rsidP="00824A7E">
      <w:pPr>
        <w:pBdr>
          <w:bottom w:val="single" w:sz="4" w:space="1" w:color="D0EAC0"/>
        </w:pBdr>
        <w:spacing w:before="60" w:after="40" w:line="264" w:lineRule="auto"/>
        <w:rPr>
          <w:b/>
          <w:bCs/>
          <w:color w:val="4CAF27"/>
          <w:sz w:val="10"/>
          <w:szCs w:val="10"/>
        </w:rPr>
      </w:pPr>
    </w:p>
    <w:p w14:paraId="7C2550F0" w14:textId="5C94DD4A" w:rsidR="008D0175" w:rsidRDefault="008D0175" w:rsidP="00824A7E">
      <w:pPr>
        <w:pBdr>
          <w:bottom w:val="single" w:sz="4" w:space="1" w:color="D0EAC0"/>
        </w:pBdr>
        <w:spacing w:before="60" w:after="40" w:line="264" w:lineRule="auto"/>
      </w:pPr>
      <w:r>
        <w:rPr>
          <w:b/>
          <w:bCs/>
          <w:color w:val="4CAF27"/>
          <w:sz w:val="24"/>
          <w:szCs w:val="24"/>
        </w:rPr>
        <w:t>Artículo 3</w:t>
      </w:r>
      <w:r>
        <w:rPr>
          <w:b/>
          <w:bCs/>
          <w:color w:val="1A2456"/>
          <w:sz w:val="24"/>
          <w:szCs w:val="24"/>
        </w:rPr>
        <w:t xml:space="preserve">  –  </w:t>
      </w:r>
      <w:r>
        <w:rPr>
          <w:b/>
          <w:bCs/>
          <w:color w:val="1A2456"/>
        </w:rPr>
        <w:t>Nature of the Collaboration</w:t>
      </w:r>
    </w:p>
    <w:p w14:paraId="387951E8" w14:textId="0C2F72BC" w:rsidR="009E5FF8" w:rsidRPr="006F4501" w:rsidRDefault="009E5FF8" w:rsidP="00824A7E">
      <w:pPr>
        <w:spacing w:before="60" w:after="40" w:line="264" w:lineRule="auto"/>
        <w:jc w:val="both"/>
        <w:rPr>
          <w:b/>
          <w:bCs/>
          <w:color w:val="4CAF27"/>
        </w:rPr>
      </w:pPr>
      <w:r>
        <w:rPr>
          <w:color w:val="000000"/>
        </w:rPr>
        <w:t>Participation in the CONPEF International Network is exclusively intended as a form of voluntary scientific and professional collaboration between independent organisations.</w:t>
      </w:r>
    </w:p>
    <w:p w14:paraId="2147FF82" w14:textId="77777777" w:rsidR="009E5FF8" w:rsidRPr="006F4501" w:rsidRDefault="009E5FF8" w:rsidP="00824A7E">
      <w:pPr>
        <w:pStyle w:val="NormaleWeb"/>
        <w:spacing w:before="60" w:beforeAutospacing="0" w:after="40" w:afterAutospacing="0" w:line="264" w:lineRule="auto"/>
        <w:jc w:val="both"/>
        <w:rPr>
          <w:rFonts w:ascii="Calibri" w:hAnsi="Calibri" w:cs="Calibri"/>
          <w:color w:val="000000"/>
          <w:sz w:val="22"/>
          <w:szCs w:val="22"/>
        </w:rPr>
      </w:pPr>
      <w:r>
        <w:rPr>
          <w:rFonts w:ascii="Calibri" w:hAnsi="Calibri" w:cs="Calibri"/>
          <w:color w:val="000000"/>
          <w:sz w:val="22"/>
          <w:szCs w:val="22"/>
        </w:rPr>
        <w:t>It does not constitute, nor may it be interpreted as, any form of membership, partnership, representation, or institutional affiliation between the participating institution and CONPEF.</w:t>
      </w:r>
    </w:p>
    <w:p w14:paraId="6221E9FA" w14:textId="77777777" w:rsidR="009E5FF8" w:rsidRPr="006F4501" w:rsidRDefault="009E5FF8" w:rsidP="00824A7E">
      <w:pPr>
        <w:pStyle w:val="NormaleWeb"/>
        <w:spacing w:before="60" w:beforeAutospacing="0" w:after="40" w:afterAutospacing="0" w:line="264" w:lineRule="auto"/>
        <w:jc w:val="both"/>
        <w:rPr>
          <w:rFonts w:ascii="Calibri" w:hAnsi="Calibri" w:cs="Calibri"/>
          <w:color w:val="000000"/>
          <w:sz w:val="22"/>
          <w:szCs w:val="22"/>
        </w:rPr>
      </w:pPr>
      <w:r>
        <w:rPr>
          <w:rFonts w:ascii="Calibri" w:hAnsi="Calibri" w:cs="Calibri"/>
          <w:color w:val="000000"/>
          <w:sz w:val="22"/>
          <w:szCs w:val="22"/>
        </w:rPr>
        <w:t>Participating institutions remain fully autonomous and legally independent. Their institutional status, internal regulations, accreditation procedures, and position with respect to any professional registers or regulatory authorities, including MIMIT, remain entirely unaffected.</w:t>
      </w:r>
    </w:p>
    <w:p w14:paraId="4A1A0E29" w14:textId="677652C2" w:rsidR="009E5FF8" w:rsidRPr="006F4501" w:rsidRDefault="009E5FF8" w:rsidP="00824A7E">
      <w:pPr>
        <w:pStyle w:val="NormaleWeb"/>
        <w:spacing w:before="60" w:beforeAutospacing="0" w:after="40" w:afterAutospacing="0" w:line="264" w:lineRule="auto"/>
        <w:jc w:val="both"/>
        <w:rPr>
          <w:rFonts w:ascii="Calibri" w:hAnsi="Calibri" w:cs="Calibri"/>
          <w:color w:val="000000"/>
          <w:sz w:val="22"/>
          <w:szCs w:val="22"/>
        </w:rPr>
      </w:pPr>
      <w:r>
        <w:rPr>
          <w:rFonts w:ascii="Calibri" w:hAnsi="Calibri" w:cs="Calibri"/>
          <w:color w:val="000000"/>
          <w:sz w:val="22"/>
          <w:szCs w:val="22"/>
        </w:rPr>
        <w:t>The members of a participating institutions do not acquire any status, rights, or recognition within CONPEF by virtue of such participation.</w:t>
      </w:r>
    </w:p>
    <w:p w14:paraId="770C7224" w14:textId="77777777" w:rsidR="002F2F3C" w:rsidRDefault="009E5FF8" w:rsidP="00824A7E">
      <w:pPr>
        <w:pStyle w:val="NormaleWeb"/>
        <w:spacing w:before="60" w:beforeAutospacing="0" w:after="40" w:afterAutospacing="0" w:line="264" w:lineRule="auto"/>
        <w:jc w:val="both"/>
        <w:rPr>
          <w:rFonts w:ascii="Calibri" w:hAnsi="Calibri" w:cs="Calibri"/>
          <w:color w:val="000000"/>
          <w:sz w:val="22"/>
          <w:szCs w:val="22"/>
        </w:rPr>
      </w:pPr>
      <w:r>
        <w:rPr>
          <w:rFonts w:ascii="Calibri" w:hAnsi="Calibri" w:cs="Calibri"/>
          <w:color w:val="000000"/>
          <w:sz w:val="22"/>
          <w:szCs w:val="22"/>
        </w:rPr>
        <w:t xml:space="preserve">Individual professionals may, on a strictly personal and voluntary basis, apply for membership in CONPEF if they have professional interests or activities in Italy, in accordance with Italian Law no. 4/2013 and CONPEF internal regulations. </w:t>
      </w:r>
    </w:p>
    <w:p w14:paraId="2606BB26" w14:textId="52F4090F" w:rsidR="009E5FF8" w:rsidRPr="006F4501" w:rsidRDefault="009E5FF8" w:rsidP="00824A7E">
      <w:pPr>
        <w:pStyle w:val="NormaleWeb"/>
        <w:spacing w:before="60" w:beforeAutospacing="0" w:after="40" w:afterAutospacing="0" w:line="264" w:lineRule="auto"/>
        <w:jc w:val="both"/>
        <w:rPr>
          <w:rFonts w:ascii="Calibri" w:hAnsi="Calibri" w:cs="Calibri"/>
          <w:color w:val="000000"/>
          <w:sz w:val="22"/>
          <w:szCs w:val="22"/>
        </w:rPr>
      </w:pPr>
      <w:r>
        <w:rPr>
          <w:rFonts w:ascii="Calibri" w:hAnsi="Calibri" w:cs="Calibri"/>
          <w:color w:val="000000"/>
          <w:sz w:val="22"/>
          <w:szCs w:val="22"/>
        </w:rPr>
        <w:t>Such membership is entirely separate and independent from their affiliation with their home institution.</w:t>
      </w:r>
    </w:p>
    <w:p w14:paraId="6F20F8E6" w14:textId="77777777" w:rsidR="008D0175" w:rsidRDefault="008D0175" w:rsidP="00824A7E">
      <w:pPr>
        <w:spacing w:before="60" w:after="40" w:line="264" w:lineRule="auto"/>
        <w:jc w:val="both"/>
        <w:rPr>
          <w:b/>
          <w:bCs/>
          <w:color w:val="4CAF27"/>
        </w:rPr>
      </w:pPr>
    </w:p>
    <w:p w14:paraId="2D954B51" w14:textId="77777777" w:rsidR="002F2F3C" w:rsidRDefault="002F2F3C" w:rsidP="00824A7E">
      <w:pPr>
        <w:spacing w:before="60" w:after="40" w:line="264" w:lineRule="auto"/>
        <w:jc w:val="both"/>
        <w:rPr>
          <w:b/>
          <w:bCs/>
          <w:color w:val="4CAF27"/>
        </w:rPr>
      </w:pPr>
    </w:p>
    <w:p w14:paraId="1B8185BB" w14:textId="77777777" w:rsidR="002F2F3C" w:rsidRDefault="002F2F3C" w:rsidP="00824A7E">
      <w:pPr>
        <w:spacing w:before="60" w:after="40" w:line="264" w:lineRule="auto"/>
        <w:jc w:val="both"/>
        <w:rPr>
          <w:b/>
          <w:bCs/>
          <w:color w:val="4CAF27"/>
        </w:rPr>
      </w:pPr>
    </w:p>
    <w:p w14:paraId="529B2323" w14:textId="2E857EAE" w:rsidR="00824A7E" w:rsidRDefault="00824A7E" w:rsidP="00824A7E">
      <w:pPr>
        <w:pBdr>
          <w:bottom w:val="single" w:sz="4" w:space="1" w:color="D0EAC0"/>
        </w:pBdr>
        <w:spacing w:before="60" w:after="40" w:line="264" w:lineRule="auto"/>
      </w:pPr>
      <w:r>
        <w:rPr>
          <w:b/>
          <w:bCs/>
          <w:color w:val="4CAF27"/>
          <w:sz w:val="24"/>
          <w:szCs w:val="24"/>
        </w:rPr>
        <w:t>Artículo 4</w:t>
      </w:r>
      <w:r>
        <w:rPr>
          <w:b/>
          <w:bCs/>
          <w:color w:val="1A2456"/>
          <w:sz w:val="24"/>
          <w:szCs w:val="24"/>
        </w:rPr>
        <w:t xml:space="preserve">  –  </w:t>
      </w:r>
      <w:r>
        <w:rPr>
          <w:b/>
          <w:bCs/>
          <w:color w:val="1A2456"/>
        </w:rPr>
        <w:t>Areas of Cooperation</w:t>
      </w:r>
    </w:p>
    <w:p w14:paraId="4DDBDAAF" w14:textId="77777777" w:rsidR="001A2891" w:rsidRPr="006F4501" w:rsidRDefault="00000000" w:rsidP="00824A7E">
      <w:pPr>
        <w:spacing w:before="60" w:after="40" w:line="264" w:lineRule="auto"/>
        <w:jc w:val="both"/>
      </w:pPr>
      <w:r>
        <w:rPr>
          <w:color w:val="222222"/>
        </w:rPr>
        <w:t>The Parties may collaborate in the following areas:</w:t>
      </w:r>
    </w:p>
    <w:p w14:paraId="3B785807" w14:textId="77777777" w:rsidR="00F01401" w:rsidRPr="006F4501" w:rsidRDefault="00F02232" w:rsidP="00824A7E">
      <w:pPr>
        <w:pStyle w:val="Paragrafoelenco"/>
        <w:numPr>
          <w:ilvl w:val="0"/>
          <w:numId w:val="2"/>
        </w:numPr>
        <w:spacing w:after="40" w:line="264" w:lineRule="auto"/>
        <w:rPr>
          <w:rFonts w:eastAsia="Times New Roman"/>
        </w:rPr>
      </w:pPr>
      <w:r>
        <w:rPr>
          <w:rFonts w:eastAsia="Times New Roman"/>
        </w:rPr>
        <w:t xml:space="preserve">Exchange of expertise and best practices in forensic sciences </w:t>
      </w:r>
    </w:p>
    <w:p w14:paraId="777B85C9" w14:textId="77777777" w:rsidR="00F01401" w:rsidRPr="006F4501" w:rsidRDefault="00F01401" w:rsidP="00824A7E">
      <w:pPr>
        <w:pStyle w:val="Paragrafoelenco"/>
        <w:numPr>
          <w:ilvl w:val="0"/>
          <w:numId w:val="2"/>
        </w:numPr>
        <w:spacing w:after="40" w:line="264" w:lineRule="auto"/>
        <w:rPr>
          <w:rFonts w:eastAsia="Times New Roman"/>
        </w:rPr>
      </w:pPr>
      <w:r>
        <w:rPr>
          <w:rFonts w:eastAsia="Times New Roman"/>
        </w:rPr>
        <w:t>Joint initiatives and methodological development</w:t>
      </w:r>
    </w:p>
    <w:p w14:paraId="64ADABCA" w14:textId="77777777" w:rsidR="00F01401" w:rsidRPr="006F4501" w:rsidRDefault="00F01401" w:rsidP="00824A7E">
      <w:pPr>
        <w:pStyle w:val="Paragrafoelenco"/>
        <w:numPr>
          <w:ilvl w:val="0"/>
          <w:numId w:val="2"/>
        </w:numPr>
        <w:spacing w:after="40" w:line="264" w:lineRule="auto"/>
        <w:rPr>
          <w:rFonts w:eastAsia="Times New Roman"/>
        </w:rPr>
      </w:pPr>
      <w:r>
        <w:rPr>
          <w:rFonts w:eastAsia="Times New Roman"/>
        </w:rPr>
        <w:t>Scientific publications and knowledge sharing</w:t>
      </w:r>
    </w:p>
    <w:p w14:paraId="3CBEDAEE" w14:textId="213E0E0C" w:rsidR="00F01401" w:rsidRPr="006F4501" w:rsidRDefault="00F01401" w:rsidP="00824A7E">
      <w:pPr>
        <w:pStyle w:val="Paragrafoelenco"/>
        <w:numPr>
          <w:ilvl w:val="0"/>
          <w:numId w:val="2"/>
        </w:numPr>
        <w:spacing w:after="40" w:line="264" w:lineRule="auto"/>
        <w:rPr>
          <w:rFonts w:eastAsia="Times New Roman"/>
        </w:rPr>
      </w:pPr>
      <w:r>
        <w:rPr>
          <w:rFonts w:eastAsia="Times New Roman"/>
        </w:rPr>
        <w:t>Participation in working groups and professional training</w:t>
      </w:r>
    </w:p>
    <w:p w14:paraId="4DD35A6B" w14:textId="1A1C9239" w:rsidR="00F01401" w:rsidRPr="006F4501" w:rsidRDefault="00F01401" w:rsidP="00824A7E">
      <w:pPr>
        <w:pStyle w:val="Paragrafoelenco"/>
        <w:numPr>
          <w:ilvl w:val="0"/>
          <w:numId w:val="2"/>
        </w:numPr>
        <w:spacing w:after="40" w:line="264" w:lineRule="auto"/>
        <w:rPr>
          <w:rFonts w:eastAsia="Times New Roman"/>
        </w:rPr>
      </w:pPr>
      <w:r>
        <w:rPr>
          <w:rFonts w:eastAsia="Times New Roman"/>
        </w:rPr>
        <w:t>Cooperation with the National Observatory on Judicial Errors</w:t>
      </w:r>
    </w:p>
    <w:p w14:paraId="5A7B72B1" w14:textId="77777777" w:rsidR="00F01401" w:rsidRPr="002F2F3C" w:rsidRDefault="00F01401" w:rsidP="00824A7E">
      <w:pPr>
        <w:spacing w:before="60" w:after="40" w:line="264" w:lineRule="auto"/>
        <w:rPr>
          <w:b/>
          <w:bCs/>
          <w:color w:val="4CAF27"/>
          <w:sz w:val="10"/>
          <w:szCs w:val="10"/>
        </w:rPr>
      </w:pPr>
    </w:p>
    <w:p w14:paraId="5A813E1C" w14:textId="5F68314C" w:rsidR="00824A7E" w:rsidRDefault="00824A7E" w:rsidP="00824A7E">
      <w:pPr>
        <w:pBdr>
          <w:bottom w:val="single" w:sz="4" w:space="1" w:color="D0EAC0"/>
        </w:pBdr>
        <w:spacing w:before="60" w:after="40" w:line="264" w:lineRule="auto"/>
      </w:pPr>
      <w:r>
        <w:rPr>
          <w:b/>
          <w:bCs/>
          <w:color w:val="4CAF27"/>
          <w:sz w:val="24"/>
          <w:szCs w:val="24"/>
        </w:rPr>
        <w:t>Artículo 5</w:t>
      </w:r>
      <w:r>
        <w:rPr>
          <w:b/>
          <w:bCs/>
          <w:color w:val="1A2456"/>
          <w:sz w:val="24"/>
          <w:szCs w:val="24"/>
        </w:rPr>
        <w:t xml:space="preserve">  –  </w:t>
      </w:r>
      <w:r>
        <w:rPr>
          <w:b/>
          <w:bCs/>
          <w:color w:val="1A2456"/>
        </w:rPr>
        <w:t>International Activities</w:t>
      </w:r>
    </w:p>
    <w:p w14:paraId="7146B460" w14:textId="171ED94C" w:rsidR="001A2891" w:rsidRPr="006F4501" w:rsidRDefault="00000000" w:rsidP="00824A7E">
      <w:pPr>
        <w:spacing w:before="60" w:after="40" w:line="264" w:lineRule="auto"/>
        <w:jc w:val="both"/>
      </w:pPr>
      <w:r>
        <w:rPr>
          <w:color w:val="222222"/>
        </w:rPr>
        <w:t>The Parties may collaborate in the organization and promotion of international conferences, workshops, seminars, and professional initiatives related to forensic sciences and judicial error prevention.</w:t>
      </w:r>
    </w:p>
    <w:p w14:paraId="4082A9A1" w14:textId="29476CD7" w:rsidR="001A2891" w:rsidRPr="006F4501" w:rsidRDefault="00F02232" w:rsidP="00824A7E">
      <w:pPr>
        <w:spacing w:before="60" w:after="40" w:line="264" w:lineRule="auto"/>
        <w:jc w:val="both"/>
      </w:pPr>
      <w:r>
        <w:rPr>
          <w:color w:val="222222"/>
        </w:rPr>
        <w:t>The Participating Institution may be invited to participate in the International Forensic Science Summit, the annual event of the Network.</w:t>
      </w:r>
    </w:p>
    <w:p w14:paraId="79B74F14" w14:textId="77777777" w:rsidR="00824A7E" w:rsidRPr="002F2F3C" w:rsidRDefault="00824A7E" w:rsidP="00824A7E">
      <w:pPr>
        <w:pBdr>
          <w:bottom w:val="single" w:sz="4" w:space="1" w:color="D0EAC0"/>
        </w:pBdr>
        <w:spacing w:before="60" w:after="40" w:line="264" w:lineRule="auto"/>
        <w:rPr>
          <w:b/>
          <w:bCs/>
          <w:color w:val="4CAF27"/>
          <w:sz w:val="10"/>
          <w:szCs w:val="10"/>
        </w:rPr>
      </w:pPr>
    </w:p>
    <w:p w14:paraId="39979F4E" w14:textId="5EF98112" w:rsidR="001A2891" w:rsidRPr="006F4501" w:rsidRDefault="00000000" w:rsidP="00824A7E">
      <w:pPr>
        <w:pBdr>
          <w:bottom w:val="single" w:sz="4" w:space="1" w:color="D0EAC0"/>
        </w:pBdr>
        <w:spacing w:before="60" w:after="40" w:line="264" w:lineRule="auto"/>
      </w:pPr>
      <w:r>
        <w:rPr>
          <w:b/>
          <w:bCs/>
          <w:color w:val="4CAF27"/>
        </w:rPr>
        <w:t>Article 6</w:t>
      </w:r>
      <w:r>
        <w:rPr>
          <w:b/>
          <w:bCs/>
          <w:color w:val="1A2456"/>
        </w:rPr>
        <w:t xml:space="preserve">  –  Institutional Visibility</w:t>
      </w:r>
    </w:p>
    <w:p w14:paraId="08C74204" w14:textId="4CF69545" w:rsidR="001A2891" w:rsidRPr="006F4501" w:rsidRDefault="00F01401" w:rsidP="00824A7E">
      <w:pPr>
        <w:spacing w:before="60" w:after="40" w:line="264" w:lineRule="auto"/>
        <w:jc w:val="both"/>
      </w:pPr>
      <w:r>
        <w:rPr>
          <w:color w:val="222222"/>
        </w:rPr>
        <w:t>The Participating Institution may be listed in the CONPEF International Network of Forensic Sciences and included in institutional communications and scientific initiatives promoted by CONPEF.</w:t>
      </w:r>
    </w:p>
    <w:p w14:paraId="261B9C8A" w14:textId="77777777" w:rsidR="008D0175" w:rsidRPr="002F2F3C" w:rsidRDefault="008D0175" w:rsidP="00824A7E">
      <w:pPr>
        <w:pBdr>
          <w:bottom w:val="single" w:sz="4" w:space="1" w:color="D0EAC0"/>
        </w:pBdr>
        <w:spacing w:before="60" w:after="40" w:line="264" w:lineRule="auto"/>
        <w:rPr>
          <w:b/>
          <w:bCs/>
          <w:color w:val="4CAF27"/>
          <w:sz w:val="10"/>
          <w:szCs w:val="10"/>
        </w:rPr>
      </w:pPr>
    </w:p>
    <w:p w14:paraId="5F3C3C4A" w14:textId="44C0737F" w:rsidR="001A2891" w:rsidRPr="006F4501" w:rsidRDefault="00000000" w:rsidP="00824A7E">
      <w:pPr>
        <w:pBdr>
          <w:bottom w:val="single" w:sz="4" w:space="1" w:color="D0EAC0"/>
        </w:pBdr>
        <w:spacing w:before="60" w:after="40" w:line="264" w:lineRule="auto"/>
      </w:pPr>
      <w:r>
        <w:rPr>
          <w:b/>
          <w:bCs/>
          <w:color w:val="4CAF27"/>
        </w:rPr>
        <w:t>Article 7</w:t>
      </w:r>
      <w:r>
        <w:rPr>
          <w:b/>
          <w:bCs/>
          <w:color w:val="1A2456"/>
        </w:rPr>
        <w:t xml:space="preserve">  –  Institutional Independence</w:t>
      </w:r>
    </w:p>
    <w:p w14:paraId="04DFC446" w14:textId="77777777" w:rsidR="00F01401" w:rsidRPr="006F4501" w:rsidRDefault="00000000" w:rsidP="00824A7E">
      <w:pPr>
        <w:spacing w:before="60" w:after="40" w:line="264" w:lineRule="auto"/>
        <w:jc w:val="both"/>
        <w:rPr>
          <w:b/>
          <w:bCs/>
          <w:color w:val="4CAF27"/>
        </w:rPr>
      </w:pPr>
      <w:r>
        <w:rPr>
          <w:color w:val="222222"/>
        </w:rPr>
        <w:t xml:space="preserve">This agreement does not create legal, financial, or hierarchical obligations between the Parties. </w:t>
      </w:r>
      <w:r>
        <w:rPr>
          <w:color w:val="000000"/>
        </w:rPr>
        <w:t>Each Party retains full autonomy in its governance, professional standards, and institutional activities.</w:t>
      </w:r>
      <w:r>
        <w:rPr>
          <w:b/>
          <w:bCs/>
          <w:color w:val="4CAF27"/>
        </w:rPr>
        <w:t xml:space="preserve"> </w:t>
      </w:r>
    </w:p>
    <w:p w14:paraId="26F00C27" w14:textId="77777777" w:rsidR="00F01401" w:rsidRPr="002F2F3C" w:rsidRDefault="00F01401" w:rsidP="00824A7E">
      <w:pPr>
        <w:spacing w:before="60" w:after="40" w:line="264" w:lineRule="auto"/>
        <w:jc w:val="both"/>
        <w:rPr>
          <w:b/>
          <w:bCs/>
          <w:color w:val="4CAF27"/>
          <w:sz w:val="10"/>
          <w:szCs w:val="10"/>
        </w:rPr>
      </w:pPr>
    </w:p>
    <w:p w14:paraId="03093745" w14:textId="620F06E3" w:rsidR="001A2891" w:rsidRPr="006F4501" w:rsidRDefault="00000000" w:rsidP="00824A7E">
      <w:pPr>
        <w:spacing w:before="60" w:after="40" w:line="264" w:lineRule="auto"/>
        <w:jc w:val="both"/>
      </w:pPr>
      <w:r>
        <w:rPr>
          <w:b/>
          <w:bCs/>
          <w:color w:val="4CAF27"/>
        </w:rPr>
        <w:t>Article 8</w:t>
      </w:r>
      <w:r>
        <w:rPr>
          <w:b/>
          <w:bCs/>
          <w:color w:val="1A2456"/>
        </w:rPr>
        <w:t xml:space="preserve">  –  Duration </w:t>
      </w:r>
    </w:p>
    <w:p w14:paraId="139A1175" w14:textId="50C4DAEF" w:rsidR="001A2891" w:rsidRPr="006F4501" w:rsidRDefault="00000000" w:rsidP="00824A7E">
      <w:pPr>
        <w:spacing w:before="60" w:after="40" w:line="264" w:lineRule="auto"/>
        <w:jc w:val="both"/>
      </w:pPr>
      <w:r>
        <w:rPr>
          <w:color w:val="222222"/>
        </w:rPr>
        <w:t>This agreement shall remain valid for a period of five (5) years from the date of signature. It may be renewed by mutual written consent of the Parties.</w:t>
      </w:r>
    </w:p>
    <w:p w14:paraId="5E85305B" w14:textId="77777777" w:rsidR="008D0175" w:rsidRPr="002F2F3C" w:rsidRDefault="008D0175" w:rsidP="00824A7E">
      <w:pPr>
        <w:pBdr>
          <w:bottom w:val="single" w:sz="4" w:space="1" w:color="D0EAC0"/>
        </w:pBdr>
        <w:spacing w:before="60" w:after="40" w:line="264" w:lineRule="auto"/>
        <w:rPr>
          <w:b/>
          <w:bCs/>
          <w:color w:val="4CAF27"/>
          <w:sz w:val="10"/>
          <w:szCs w:val="10"/>
        </w:rPr>
      </w:pPr>
    </w:p>
    <w:p w14:paraId="189C829C" w14:textId="1DABAFD5" w:rsidR="001A2891" w:rsidRPr="006F4501" w:rsidRDefault="00000000" w:rsidP="00824A7E">
      <w:pPr>
        <w:pBdr>
          <w:bottom w:val="single" w:sz="4" w:space="1" w:color="D0EAC0"/>
        </w:pBdr>
        <w:spacing w:before="60" w:after="40" w:line="264" w:lineRule="auto"/>
      </w:pPr>
      <w:r>
        <w:rPr>
          <w:b/>
          <w:bCs/>
          <w:color w:val="4CAF27"/>
        </w:rPr>
        <w:t>Article 9</w:t>
      </w:r>
      <w:r>
        <w:rPr>
          <w:b/>
          <w:bCs/>
          <w:color w:val="1A2456"/>
        </w:rPr>
        <w:t xml:space="preserve">  –  Termination</w:t>
      </w:r>
    </w:p>
    <w:p w14:paraId="474B61A1" w14:textId="77777777" w:rsidR="001A2891" w:rsidRPr="006F4501" w:rsidRDefault="00000000" w:rsidP="00824A7E">
      <w:pPr>
        <w:spacing w:before="60" w:after="40" w:line="264" w:lineRule="auto"/>
        <w:jc w:val="both"/>
      </w:pPr>
      <w:r>
        <w:rPr>
          <w:color w:val="222222"/>
        </w:rPr>
        <w:t>Either Party may terminate this agreement at any time by providing written notice to the other Party. Termination shall not affect ongoing collaborative initiatives already formally agreed upon.</w:t>
      </w:r>
    </w:p>
    <w:p w14:paraId="3E1C1B03" w14:textId="77777777" w:rsidR="008D0175" w:rsidRPr="002F2F3C" w:rsidRDefault="008D0175" w:rsidP="00824A7E">
      <w:pPr>
        <w:pBdr>
          <w:bottom w:val="single" w:sz="4" w:space="1" w:color="D0EAC0"/>
        </w:pBdr>
        <w:spacing w:before="60" w:after="40" w:line="264" w:lineRule="auto"/>
        <w:rPr>
          <w:b/>
          <w:bCs/>
          <w:color w:val="4CAF27"/>
          <w:sz w:val="10"/>
          <w:szCs w:val="10"/>
        </w:rPr>
      </w:pPr>
    </w:p>
    <w:p w14:paraId="31ED37DA" w14:textId="369CF2D1" w:rsidR="001A2891" w:rsidRPr="006F4501" w:rsidRDefault="00000000" w:rsidP="00824A7E">
      <w:pPr>
        <w:pBdr>
          <w:bottom w:val="single" w:sz="4" w:space="1" w:color="D0EAC0"/>
        </w:pBdr>
        <w:spacing w:before="60" w:after="40" w:line="264" w:lineRule="auto"/>
      </w:pPr>
      <w:r>
        <w:rPr>
          <w:b/>
          <w:bCs/>
          <w:color w:val="4CAF27"/>
        </w:rPr>
        <w:t>Article 10</w:t>
      </w:r>
      <w:r>
        <w:rPr>
          <w:b/>
          <w:bCs/>
          <w:color w:val="1A2456"/>
        </w:rPr>
        <w:t xml:space="preserve">  –  Entry into Force</w:t>
      </w:r>
    </w:p>
    <w:p w14:paraId="1A86E710" w14:textId="7BCF7ED6" w:rsidR="001A2891" w:rsidRPr="006F4501" w:rsidRDefault="00000000" w:rsidP="00824A7E">
      <w:pPr>
        <w:spacing w:before="60" w:after="40" w:line="264" w:lineRule="auto"/>
        <w:jc w:val="both"/>
      </w:pPr>
      <w:r>
        <w:rPr>
          <w:color w:val="222222"/>
        </w:rPr>
        <w:t>This agreement enters into force upon signature by the authorized representatives of both Parties.</w:t>
      </w:r>
    </w:p>
    <w:p w14:paraId="445B21A9" w14:textId="77777777" w:rsidR="001A2891" w:rsidRPr="002F2F3C" w:rsidRDefault="001A2891" w:rsidP="006F4501">
      <w:pPr>
        <w:pBdr>
          <w:bottom w:val="single" w:sz="10" w:space="1" w:color="4CAF27"/>
        </w:pBdr>
        <w:spacing w:line="264" w:lineRule="auto"/>
        <w:rPr>
          <w:sz w:val="10"/>
          <w:szCs w:val="10"/>
        </w:rPr>
      </w:pPr>
    </w:p>
    <w:p w14:paraId="347DB21E" w14:textId="74CA4014" w:rsidR="001A2891" w:rsidRPr="002F2F3C" w:rsidRDefault="001A2891">
      <w:pPr>
        <w:spacing w:after="200"/>
        <w:rPr>
          <w:sz w:val="10"/>
          <w:szCs w:val="10"/>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8"/>
        <w:gridCol w:w="5210"/>
      </w:tblGrid>
      <w:tr w:rsidR="00AC037B" w:rsidRPr="006F4501" w14:paraId="39CAD6A1" w14:textId="77777777" w:rsidTr="00AC037B">
        <w:tc>
          <w:tcPr>
            <w:tcW w:w="4678"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5526F09B" w14:textId="77777777" w:rsidR="001A2891" w:rsidRPr="006F4501" w:rsidRDefault="00000000" w:rsidP="00AC037B">
            <w:pPr>
              <w:spacing w:after="80"/>
              <w:ind w:right="-392"/>
            </w:pPr>
            <w:r>
              <w:rPr>
                <w:b/>
                <w:bCs/>
                <w:color w:val="1A2456"/>
              </w:rPr>
              <w:t>For CONPEF</w:t>
            </w:r>
          </w:p>
          <w:p w14:paraId="51E93DA1" w14:textId="77777777" w:rsidR="001A2891" w:rsidRPr="006F4501" w:rsidRDefault="00000000" w:rsidP="00AC037B">
            <w:pPr>
              <w:spacing w:after="40"/>
              <w:ind w:right="-392"/>
            </w:pPr>
            <w:r>
              <w:rPr>
                <w:b/>
                <w:bCs/>
              </w:rPr>
              <w:t>Dr. Francesco Matranga</w:t>
            </w:r>
          </w:p>
          <w:p w14:paraId="7BEE22B9" w14:textId="77777777" w:rsidR="001A2891" w:rsidRPr="006F4501" w:rsidRDefault="00000000" w:rsidP="00AC037B">
            <w:pPr>
              <w:spacing w:after="160"/>
              <w:ind w:right="-392"/>
            </w:pPr>
            <w:r>
              <w:rPr>
                <w:i/>
                <w:iCs/>
                <w:color w:val="4A5568"/>
                <w:sz w:val="20"/>
                <w:szCs w:val="20"/>
              </w:rPr>
              <w:t>President</w:t>
            </w:r>
          </w:p>
          <w:p w14:paraId="79B72038" w14:textId="77777777" w:rsidR="001A2891" w:rsidRPr="006F4501" w:rsidRDefault="001A2891" w:rsidP="00AC037B">
            <w:pPr>
              <w:pBdr>
                <w:bottom w:val="single" w:sz="4" w:space="1" w:color="AAAAAA"/>
              </w:pBdr>
              <w:spacing w:before="60" w:after="30"/>
              <w:ind w:right="-392"/>
            </w:pPr>
          </w:p>
          <w:p w14:paraId="015BFEB5" w14:textId="77777777" w:rsidR="001A2891" w:rsidRPr="006F4501" w:rsidRDefault="00000000" w:rsidP="00AC037B">
            <w:pPr>
              <w:spacing w:before="30" w:after="80"/>
              <w:ind w:right="-392"/>
            </w:pPr>
            <w:r>
              <w:rPr>
                <w:color w:val="888888"/>
                <w:sz w:val="18"/>
                <w:szCs w:val="18"/>
              </w:rPr>
              <w:t>Signature / Firma</w:t>
            </w:r>
          </w:p>
          <w:p w14:paraId="41470AB2" w14:textId="77777777" w:rsidR="001A2891" w:rsidRPr="006F4501" w:rsidRDefault="001A2891" w:rsidP="00AC037B">
            <w:pPr>
              <w:pBdr>
                <w:bottom w:val="single" w:sz="4" w:space="1" w:color="AAAAAA"/>
              </w:pBdr>
              <w:spacing w:before="60" w:after="30"/>
              <w:ind w:right="-392"/>
            </w:pPr>
          </w:p>
          <w:p w14:paraId="5D721732" w14:textId="77777777" w:rsidR="001A2891" w:rsidRPr="006F4501" w:rsidRDefault="00000000" w:rsidP="00AC037B">
            <w:pPr>
              <w:spacing w:before="30"/>
              <w:ind w:right="-392"/>
            </w:pPr>
            <w:r>
              <w:rPr>
                <w:color w:val="888888"/>
                <w:sz w:val="18"/>
                <w:szCs w:val="18"/>
              </w:rPr>
              <w:t>Date / Data</w:t>
            </w:r>
          </w:p>
        </w:tc>
        <w:tc>
          <w:tcPr>
            <w:tcW w:w="5210" w:type="dxa"/>
            <w:tcBorders>
              <w:top w:val="none" w:sz="0" w:space="0" w:color="FFFFFF"/>
              <w:left w:val="none" w:sz="0" w:space="0" w:color="FFFFFF"/>
              <w:bottom w:val="none" w:sz="0" w:space="0" w:color="FFFFFF"/>
              <w:right w:val="none" w:sz="0" w:space="0" w:color="FFFFFF"/>
            </w:tcBorders>
          </w:tcPr>
          <w:p w14:paraId="28CADAB2" w14:textId="5548008D" w:rsidR="00AC037B" w:rsidRPr="006F4501" w:rsidRDefault="00AC037B" w:rsidP="00AC037B">
            <w:pPr>
              <w:spacing w:after="80"/>
              <w:ind w:left="272"/>
            </w:pPr>
            <w:r>
              <w:rPr>
                <w:b/>
                <w:bCs/>
                <w:color w:val="1A2456"/>
              </w:rPr>
              <w:t>For …..</w:t>
            </w:r>
          </w:p>
          <w:p w14:paraId="0934A39A" w14:textId="206D9843" w:rsidR="00AC037B" w:rsidRPr="006F4501" w:rsidRDefault="00AC037B" w:rsidP="00AC037B">
            <w:pPr>
              <w:spacing w:after="40"/>
              <w:ind w:left="272"/>
            </w:pPr>
            <w:r>
              <w:rPr>
                <w:b/>
                <w:bCs/>
              </w:rPr>
              <w:t>Dr. .</w:t>
            </w:r>
          </w:p>
          <w:p w14:paraId="4375029E" w14:textId="77777777" w:rsidR="00AC037B" w:rsidRPr="006F4501" w:rsidRDefault="00AC037B" w:rsidP="00AC037B">
            <w:pPr>
              <w:spacing w:after="160"/>
              <w:ind w:left="272"/>
            </w:pPr>
            <w:r>
              <w:rPr>
                <w:i/>
                <w:iCs/>
                <w:color w:val="4A5568"/>
                <w:sz w:val="20"/>
                <w:szCs w:val="20"/>
              </w:rPr>
              <w:t>President</w:t>
            </w:r>
          </w:p>
          <w:p w14:paraId="7AF23FA9" w14:textId="77777777" w:rsidR="00AC037B" w:rsidRPr="006F4501" w:rsidRDefault="00AC037B" w:rsidP="00AC037B">
            <w:pPr>
              <w:pBdr>
                <w:bottom w:val="single" w:sz="4" w:space="1" w:color="AAAAAA"/>
              </w:pBdr>
              <w:spacing w:before="60" w:after="30"/>
              <w:ind w:left="272"/>
            </w:pPr>
          </w:p>
          <w:p w14:paraId="3A81358C" w14:textId="77777777" w:rsidR="00AC037B" w:rsidRPr="006F4501" w:rsidRDefault="00AC037B" w:rsidP="00AC037B">
            <w:pPr>
              <w:spacing w:before="30" w:after="80"/>
              <w:ind w:left="272"/>
            </w:pPr>
            <w:r>
              <w:rPr>
                <w:color w:val="888888"/>
                <w:sz w:val="18"/>
                <w:szCs w:val="18"/>
              </w:rPr>
              <w:t>Signature / Firma</w:t>
            </w:r>
          </w:p>
          <w:p w14:paraId="09F01F25" w14:textId="77777777" w:rsidR="00AC037B" w:rsidRPr="006F4501" w:rsidRDefault="00AC037B" w:rsidP="00AC037B">
            <w:pPr>
              <w:pBdr>
                <w:bottom w:val="single" w:sz="4" w:space="1" w:color="AAAAAA"/>
              </w:pBdr>
              <w:spacing w:before="60" w:after="30"/>
              <w:ind w:left="272"/>
            </w:pPr>
          </w:p>
          <w:p w14:paraId="7CF0B7DF" w14:textId="5BE77567" w:rsidR="001A2891" w:rsidRPr="006F4501" w:rsidRDefault="00AC037B" w:rsidP="00AC037B">
            <w:pPr>
              <w:ind w:left="272"/>
            </w:pPr>
            <w:r>
              <w:rPr>
                <w:color w:val="888888"/>
                <w:sz w:val="18"/>
                <w:szCs w:val="18"/>
              </w:rPr>
              <w:t>Date / Data</w:t>
            </w:r>
          </w:p>
        </w:tc>
      </w:tr>
    </w:tbl>
    <w:p w14:paraId="5E703390" w14:textId="77777777" w:rsidR="00B9486C" w:rsidRDefault="00B9486C"/>
    <w:sectPr w:rsidR="00B9486C" w:rsidSect="00AE5EF4">
      <w:pgSz w:w="11906" w:h="16838"/>
      <w:pgMar w:top="588" w:right="1134" w:bottom="111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F61D9"/>
    <w:multiLevelType w:val="hybridMultilevel"/>
    <w:tmpl w:val="FC96C28A"/>
    <w:lvl w:ilvl="0" w:tplc="ADC29EF6">
      <w:start w:val="1"/>
      <w:numFmt w:val="bullet"/>
      <w:lvlText w:val="•"/>
      <w:lvlJc w:val="left"/>
      <w:pPr>
        <w:spacing w:before="60" w:after="60"/>
        <w:ind w:left="720" w:hanging="360"/>
      </w:pPr>
    </w:lvl>
    <w:lvl w:ilvl="1" w:tplc="E3C8337C">
      <w:numFmt w:val="decimal"/>
      <w:lvlText w:val=""/>
      <w:lvlJc w:val="left"/>
    </w:lvl>
    <w:lvl w:ilvl="2" w:tplc="6B7E27B8">
      <w:numFmt w:val="decimal"/>
      <w:lvlText w:val=""/>
      <w:lvlJc w:val="left"/>
    </w:lvl>
    <w:lvl w:ilvl="3" w:tplc="1180C37C">
      <w:numFmt w:val="decimal"/>
      <w:lvlText w:val=""/>
      <w:lvlJc w:val="left"/>
    </w:lvl>
    <w:lvl w:ilvl="4" w:tplc="DF8C8A62">
      <w:numFmt w:val="decimal"/>
      <w:lvlText w:val=""/>
      <w:lvlJc w:val="left"/>
    </w:lvl>
    <w:lvl w:ilvl="5" w:tplc="338CF4AA">
      <w:numFmt w:val="decimal"/>
      <w:lvlText w:val=""/>
      <w:lvlJc w:val="left"/>
    </w:lvl>
    <w:lvl w:ilvl="6" w:tplc="B0CC24A6">
      <w:numFmt w:val="decimal"/>
      <w:lvlText w:val=""/>
      <w:lvlJc w:val="left"/>
    </w:lvl>
    <w:lvl w:ilvl="7" w:tplc="62ACE5C2">
      <w:numFmt w:val="decimal"/>
      <w:lvlText w:val=""/>
      <w:lvlJc w:val="left"/>
    </w:lvl>
    <w:lvl w:ilvl="8" w:tplc="E042DF10">
      <w:numFmt w:val="decimal"/>
      <w:lvlText w:val=""/>
      <w:lvlJc w:val="left"/>
    </w:lvl>
  </w:abstractNum>
  <w:abstractNum w:abstractNumId="1" w15:restartNumberingAfterBreak="0">
    <w:nsid w:val="72015C5E"/>
    <w:multiLevelType w:val="hybridMultilevel"/>
    <w:tmpl w:val="BB7AB34A"/>
    <w:lvl w:ilvl="0" w:tplc="D24AFC46">
      <w:start w:val="1"/>
      <w:numFmt w:val="bullet"/>
      <w:lvlText w:val="●"/>
      <w:lvlJc w:val="left"/>
      <w:pPr>
        <w:ind w:left="720" w:hanging="360"/>
      </w:pPr>
    </w:lvl>
    <w:lvl w:ilvl="1" w:tplc="AC4ED666">
      <w:start w:val="1"/>
      <w:numFmt w:val="bullet"/>
      <w:lvlText w:val="○"/>
      <w:lvlJc w:val="left"/>
      <w:pPr>
        <w:ind w:left="1440" w:hanging="360"/>
      </w:pPr>
    </w:lvl>
    <w:lvl w:ilvl="2" w:tplc="87B25FE2">
      <w:start w:val="1"/>
      <w:numFmt w:val="bullet"/>
      <w:lvlText w:val="■"/>
      <w:lvlJc w:val="left"/>
      <w:pPr>
        <w:ind w:left="2160" w:hanging="360"/>
      </w:pPr>
    </w:lvl>
    <w:lvl w:ilvl="3" w:tplc="B9ACA2A6">
      <w:start w:val="1"/>
      <w:numFmt w:val="bullet"/>
      <w:lvlText w:val="●"/>
      <w:lvlJc w:val="left"/>
      <w:pPr>
        <w:ind w:left="2880" w:hanging="360"/>
      </w:pPr>
    </w:lvl>
    <w:lvl w:ilvl="4" w:tplc="31DAD770">
      <w:start w:val="1"/>
      <w:numFmt w:val="bullet"/>
      <w:lvlText w:val="○"/>
      <w:lvlJc w:val="left"/>
      <w:pPr>
        <w:ind w:left="3600" w:hanging="360"/>
      </w:pPr>
    </w:lvl>
    <w:lvl w:ilvl="5" w:tplc="985471EE">
      <w:start w:val="1"/>
      <w:numFmt w:val="bullet"/>
      <w:lvlText w:val="■"/>
      <w:lvlJc w:val="left"/>
      <w:pPr>
        <w:ind w:left="4320" w:hanging="360"/>
      </w:pPr>
    </w:lvl>
    <w:lvl w:ilvl="6" w:tplc="1A42D752">
      <w:start w:val="1"/>
      <w:numFmt w:val="bullet"/>
      <w:lvlText w:val="●"/>
      <w:lvlJc w:val="left"/>
      <w:pPr>
        <w:ind w:left="5040" w:hanging="360"/>
      </w:pPr>
    </w:lvl>
    <w:lvl w:ilvl="7" w:tplc="17A0D7A0">
      <w:start w:val="1"/>
      <w:numFmt w:val="bullet"/>
      <w:lvlText w:val="●"/>
      <w:lvlJc w:val="left"/>
      <w:pPr>
        <w:ind w:left="5760" w:hanging="360"/>
      </w:pPr>
    </w:lvl>
    <w:lvl w:ilvl="8" w:tplc="C0702F66">
      <w:start w:val="1"/>
      <w:numFmt w:val="bullet"/>
      <w:lvlText w:val="●"/>
      <w:lvlJc w:val="left"/>
      <w:pPr>
        <w:ind w:left="6480" w:hanging="360"/>
      </w:pPr>
    </w:lvl>
  </w:abstractNum>
  <w:num w:numId="1" w16cid:durableId="2020305021">
    <w:abstractNumId w:val="1"/>
    <w:lvlOverride w:ilvl="0">
      <w:startOverride w:val="1"/>
    </w:lvlOverride>
  </w:num>
  <w:num w:numId="2" w16cid:durableId="3596282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891"/>
    <w:rsid w:val="00074F4D"/>
    <w:rsid w:val="00161768"/>
    <w:rsid w:val="001A2891"/>
    <w:rsid w:val="002F2F3C"/>
    <w:rsid w:val="003177EE"/>
    <w:rsid w:val="006F4501"/>
    <w:rsid w:val="0075222A"/>
    <w:rsid w:val="00824A7E"/>
    <w:rsid w:val="008D0175"/>
    <w:rsid w:val="009E5FF8"/>
    <w:rsid w:val="009F5420"/>
    <w:rsid w:val="00AC037B"/>
    <w:rsid w:val="00AD72FA"/>
    <w:rsid w:val="00AE5EF4"/>
    <w:rsid w:val="00B56459"/>
    <w:rsid w:val="00B9486C"/>
    <w:rsid w:val="00C37C40"/>
    <w:rsid w:val="00CC1F96"/>
    <w:rsid w:val="00D653A8"/>
    <w:rsid w:val="00F01401"/>
    <w:rsid w:val="00F022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0C20DC3"/>
  <w15:docId w15:val="{04B9E82D-9E81-0347-A2F9-C9C3B45E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paragraph" w:styleId="NormaleWeb">
    <w:name w:val="Normal (Web)"/>
    <w:basedOn w:val="Normale"/>
    <w:uiPriority w:val="99"/>
    <w:unhideWhenUsed/>
    <w:rsid w:val="009E5FF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577</Words>
  <Characters>3741</Characters>
  <Application>Microsoft Office Word</Application>
  <DocSecurity>0</DocSecurity>
  <Lines>102</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Dott.ssa Anna Rita Costantino</cp:lastModifiedBy>
  <cp:revision>16</cp:revision>
  <dcterms:created xsi:type="dcterms:W3CDTF">2026-03-10T09:43:00Z</dcterms:created>
  <dcterms:modified xsi:type="dcterms:W3CDTF">2026-03-25T20:26:00Z</dcterms:modified>
</cp:coreProperties>
</file>