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466"/>
      </w:tblGrid>
      <w:tr w:rsidR="003177EE" w14:paraId="79F399EC" w14:textId="77777777" w:rsidTr="003177EE">
        <w:tc>
          <w:tcPr>
            <w:tcW w:w="26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30EB9B4A" w14:textId="77777777" w:rsidR="001A2891" w:rsidRDefault="00000000">
            <w:r>
              <w:rPr>
                <w:noProof/>
              </w:rPr>
              <w:drawing>
                <wp:inline distT="0" distB="0" distL="0" distR="0" wp14:anchorId="1176FF0C" wp14:editId="71854425">
                  <wp:extent cx="1524000" cy="9144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624" cy="91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296145BD" w14:textId="77777777" w:rsidR="00D653A8" w:rsidRPr="00F01401" w:rsidRDefault="00D653A8">
            <w:pPr>
              <w:spacing w:before="20" w:after="50"/>
              <w:rPr>
                <w:b/>
                <w:bCs/>
                <w:color w:val="1A2456"/>
                <w:sz w:val="10"/>
                <w:szCs w:val="10"/>
              </w:rPr>
            </w:pPr>
          </w:p>
          <w:p w14:paraId="59B12472" w14:textId="5AE9CED7" w:rsidR="001A2891" w:rsidRDefault="00000000">
            <w:pPr>
              <w:spacing w:before="20" w:after="50"/>
              <w:rPr>
                <w:b/>
                <w:bCs/>
                <w:color w:val="1A2456"/>
                <w:sz w:val="30"/>
                <w:szCs w:val="30"/>
              </w:rPr>
            </w:pPr>
            <w:r>
              <w:rPr>
                <w:b/>
                <w:bCs/>
                <w:color w:val="1A2456"/>
                <w:sz w:val="30"/>
                <w:szCs w:val="30"/>
              </w:rPr>
              <w:t>ACUERDO INTERNACIONAL DE COLABORACIÓN</w:t>
            </w:r>
          </w:p>
          <w:p w14:paraId="0E340CC2" w14:textId="77777777" w:rsidR="00D653A8" w:rsidRPr="00D653A8" w:rsidRDefault="00D653A8">
            <w:pPr>
              <w:spacing w:before="20" w:after="50"/>
              <w:rPr>
                <w:sz w:val="10"/>
                <w:szCs w:val="10"/>
              </w:rPr>
            </w:pPr>
          </w:p>
          <w:p w14:paraId="7BD01CF3" w14:textId="77777777" w:rsidR="001A2891" w:rsidRPr="00F01401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4A5568"/>
                <w:sz w:val="28"/>
                <w:szCs w:val="28"/>
              </w:rPr>
              <w:t>CONPEF – Red Internacional de Ciencias Forenses</w:t>
            </w:r>
          </w:p>
        </w:tc>
      </w:tr>
    </w:tbl>
    <w:p w14:paraId="699D695D" w14:textId="77777777" w:rsidR="001A2891" w:rsidRPr="00F01401" w:rsidRDefault="001A2891">
      <w:pPr>
        <w:pBdr>
          <w:bottom w:val="single" w:sz="12" w:space="1" w:color="4CAF27"/>
        </w:pBdr>
        <w:rPr>
          <w:sz w:val="10"/>
          <w:szCs w:val="10"/>
        </w:rPr>
      </w:pPr>
    </w:p>
    <w:p w14:paraId="56DFF717" w14:textId="77777777" w:rsidR="001A2891" w:rsidRPr="00074F4D" w:rsidRDefault="001A2891">
      <w:pPr>
        <w:spacing w:before="120"/>
        <w:rPr>
          <w:sz w:val="10"/>
          <w:szCs w:val="10"/>
        </w:rPr>
      </w:pPr>
    </w:p>
    <w:p w14:paraId="6917132E" w14:textId="77777777" w:rsidR="001A2891" w:rsidRDefault="00000000">
      <w:pPr>
        <w:spacing w:after="140"/>
        <w:jc w:val="center"/>
      </w:pPr>
      <w:r>
        <w:rPr>
          <w:i/>
          <w:iCs/>
          <w:color w:val="888888"/>
          <w:sz w:val="21"/>
          <w:szCs w:val="21"/>
        </w:rPr>
        <w:t>Entre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84"/>
        <w:gridCol w:w="4880"/>
      </w:tblGrid>
      <w:tr w:rsidR="00D653A8" w14:paraId="204E54BE" w14:textId="77777777" w:rsidTr="00D653A8">
        <w:tc>
          <w:tcPr>
            <w:tcW w:w="4531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547C625" w14:textId="77777777" w:rsidR="001A2891" w:rsidRDefault="00000000">
            <w:pPr>
              <w:spacing w:after="60"/>
            </w:pPr>
            <w:r>
              <w:rPr>
                <w:b/>
                <w:bCs/>
                <w:color w:val="1A2456"/>
                <w:sz w:val="26"/>
                <w:szCs w:val="26"/>
              </w:rPr>
              <w:t>CONPEF</w:t>
            </w:r>
          </w:p>
          <w:p w14:paraId="1D894BA4" w14:textId="77777777" w:rsidR="001A2891" w:rsidRDefault="00000000">
            <w:pPr>
              <w:spacing w:after="40"/>
            </w:pPr>
            <w:r>
              <w:rPr>
                <w:color w:val="4A5568"/>
                <w:sz w:val="20"/>
                <w:szCs w:val="20"/>
              </w:rPr>
              <w:t>Coordinamento Nazionale Periti ed Esperti Forensi</w:t>
            </w:r>
          </w:p>
          <w:p w14:paraId="37279005" w14:textId="77777777" w:rsidR="001A2891" w:rsidRDefault="00000000">
            <w:pPr>
              <w:spacing w:after="80"/>
            </w:pPr>
            <w:r>
              <w:rPr>
                <w:color w:val="4A5568"/>
                <w:sz w:val="20"/>
                <w:szCs w:val="20"/>
              </w:rPr>
              <w:t>Italia</w:t>
            </w:r>
          </w:p>
          <w:p w14:paraId="03CCE790" w14:textId="77777777" w:rsidR="001A2891" w:rsidRDefault="00000000">
            <w:pPr>
              <w:spacing w:after="30"/>
            </w:pPr>
            <w:r>
              <w:rPr>
                <w:i/>
                <w:iCs/>
                <w:color w:val="888888"/>
                <w:sz w:val="19"/>
                <w:szCs w:val="19"/>
              </w:rPr>
              <w:t>Representado por:</w:t>
            </w:r>
          </w:p>
          <w:p w14:paraId="66DC2752" w14:textId="77777777" w:rsidR="001A2891" w:rsidRDefault="00000000">
            <w:r>
              <w:rPr>
                <w:b/>
                <w:bCs/>
                <w:color w:val="1A2456"/>
                <w:sz w:val="20"/>
                <w:szCs w:val="20"/>
              </w:rPr>
              <w:t>Dr. Francesco Matranga – Presidente</w:t>
            </w:r>
          </w:p>
        </w:tc>
        <w:tc>
          <w:tcPr>
            <w:tcW w:w="2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DD74D8" w14:textId="77777777" w:rsidR="001A2891" w:rsidRDefault="001A2891"/>
        </w:tc>
        <w:tc>
          <w:tcPr>
            <w:tcW w:w="4880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8D84635" w14:textId="77777777" w:rsidR="001A2891" w:rsidRDefault="00000000" w:rsidP="00D653A8">
            <w:pPr>
              <w:spacing w:after="60"/>
              <w:ind w:right="-388"/>
            </w:pPr>
            <w:r>
              <w:rPr>
                <w:b/>
                <w:bCs/>
                <w:color w:val="1A2456"/>
                <w:sz w:val="26"/>
                <w:szCs w:val="26"/>
              </w:rPr>
              <w:t>[Nombre de la Institución]</w:t>
            </w:r>
          </w:p>
          <w:p w14:paraId="3C0A1A86" w14:textId="77777777" w:rsidR="001A2891" w:rsidRDefault="00000000" w:rsidP="00D653A8">
            <w:pPr>
              <w:spacing w:after="40"/>
              <w:ind w:right="-388"/>
            </w:pPr>
            <w:r>
              <w:rPr>
                <w:color w:val="4A5568"/>
                <w:sz w:val="20"/>
                <w:szCs w:val="20"/>
              </w:rPr>
              <w:t>[Denominación Jurídica Completa]</w:t>
            </w:r>
          </w:p>
          <w:p w14:paraId="6AA85427" w14:textId="77777777" w:rsidR="001A2891" w:rsidRDefault="00000000" w:rsidP="00D653A8">
            <w:pPr>
              <w:spacing w:after="80"/>
              <w:ind w:right="-388"/>
            </w:pPr>
            <w:r>
              <w:rPr>
                <w:color w:val="4A5568"/>
                <w:sz w:val="20"/>
                <w:szCs w:val="20"/>
              </w:rPr>
              <w:t>[País]</w:t>
            </w:r>
          </w:p>
          <w:p w14:paraId="56B15553" w14:textId="77777777" w:rsidR="001A2891" w:rsidRDefault="00000000" w:rsidP="00D653A8">
            <w:pPr>
              <w:spacing w:after="30"/>
              <w:ind w:right="-388"/>
            </w:pPr>
            <w:r>
              <w:rPr>
                <w:i/>
                <w:iCs/>
                <w:color w:val="888888"/>
                <w:sz w:val="19"/>
                <w:szCs w:val="19"/>
              </w:rPr>
              <w:t>Representado por:</w:t>
            </w:r>
          </w:p>
          <w:p w14:paraId="6C234656" w14:textId="77777777" w:rsidR="001A2891" w:rsidRDefault="00000000" w:rsidP="00D653A8">
            <w:pPr>
              <w:ind w:right="-388"/>
            </w:pPr>
            <w:r>
              <w:rPr>
                <w:b/>
                <w:bCs/>
                <w:color w:val="1A2456"/>
                <w:sz w:val="20"/>
                <w:szCs w:val="20"/>
              </w:rPr>
              <w:t>[Nombre – Cargo]</w:t>
            </w:r>
          </w:p>
        </w:tc>
      </w:tr>
    </w:tbl>
    <w:p w14:paraId="7815CE78" w14:textId="77777777" w:rsidR="001A2891" w:rsidRPr="00074F4D" w:rsidRDefault="001A2891">
      <w:pPr>
        <w:spacing w:before="60"/>
        <w:rPr>
          <w:sz w:val="10"/>
          <w:szCs w:val="10"/>
        </w:rPr>
      </w:pPr>
    </w:p>
    <w:p w14:paraId="779EBC70" w14:textId="77777777" w:rsidR="001A2891" w:rsidRDefault="00000000">
      <w:pPr>
        <w:spacing w:before="80" w:after="200"/>
        <w:jc w:val="center"/>
      </w:pPr>
      <w:r>
        <w:rPr>
          <w:i/>
          <w:iCs/>
          <w:color w:val="4A5568"/>
          <w:sz w:val="19"/>
          <w:szCs w:val="19"/>
        </w:rPr>
        <w:t>Hereinafter individually referred to as "Party" and collectively as "the Parties."</w:t>
      </w:r>
    </w:p>
    <w:p w14:paraId="1FB015A4" w14:textId="77777777" w:rsidR="001A2891" w:rsidRPr="00074F4D" w:rsidRDefault="001A2891">
      <w:pPr>
        <w:pBdr>
          <w:bottom w:val="single" w:sz="4" w:space="1" w:color="D0EAC0"/>
        </w:pBdr>
        <w:rPr>
          <w:sz w:val="10"/>
          <w:szCs w:val="10"/>
        </w:rPr>
      </w:pPr>
    </w:p>
    <w:p w14:paraId="413AFF48" w14:textId="77777777" w:rsidR="001A2891" w:rsidRPr="00D653A8" w:rsidRDefault="001A2891" w:rsidP="00824A7E">
      <w:pPr>
        <w:spacing w:before="60" w:after="40" w:line="264" w:lineRule="auto"/>
        <w:rPr>
          <w:sz w:val="10"/>
          <w:szCs w:val="10"/>
        </w:rPr>
      </w:pPr>
    </w:p>
    <w:p w14:paraId="0F604AAC" w14:textId="77777777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1</w:t>
      </w:r>
      <w:r>
        <w:rPr>
          <w:b/>
          <w:bCs/>
          <w:color w:val="1A2456"/>
        </w:rPr>
        <w:t xml:space="preserve">  –  Purpose of the Agreement</w:t>
      </w:r>
    </w:p>
    <w:p w14:paraId="7C1D4FF8" w14:textId="6B044260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El presente acuerdo tiene por objeto establecer un marco de cooperación científica y profesional internacional entre las Partes en el ámbito de las ciencias forenses, el análisis pericial y la prevención de errores judiciales.</w:t>
      </w:r>
    </w:p>
    <w:p w14:paraId="53ABCE01" w14:textId="5259B632" w:rsidR="006F4501" w:rsidRDefault="009E5FF8" w:rsidP="00824A7E">
      <w:pPr>
        <w:spacing w:before="60" w:after="40" w:line="264" w:lineRule="auto"/>
        <w:jc w:val="both"/>
      </w:pPr>
      <w:r>
        <w:rPr>
          <w:color w:val="222222"/>
        </w:rPr>
        <w:t>Las Partes se proponen promover la cooperación, el intercambio de conocimientos especializados y el desarrollo de enfoques metodológicos compartidos entre profesionales que operan en distintos sistemas jurídicos.</w:t>
      </w:r>
    </w:p>
    <w:p w14:paraId="4129E94A" w14:textId="77777777" w:rsidR="002F2F3C" w:rsidRPr="002F2F3C" w:rsidRDefault="002F2F3C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4A2C7341" w14:textId="61BD95D5" w:rsidR="00824A7E" w:rsidRDefault="00824A7E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2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International Collaboration</w:t>
      </w:r>
    </w:p>
    <w:p w14:paraId="76A816F6" w14:textId="77777777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Mediante el presente acuerdo, [Nombre Institución] será reconocida como:</w:t>
      </w:r>
    </w:p>
    <w:p w14:paraId="7F07F9FC" w14:textId="719BD24D" w:rsidR="00F02232" w:rsidRPr="006F4501" w:rsidRDefault="00F02232" w:rsidP="00824A7E">
      <w:pPr>
        <w:spacing w:before="60" w:after="40" w:line="264" w:lineRule="auto"/>
        <w:jc w:val="center"/>
      </w:pPr>
      <w:r>
        <w:rPr>
          <w:b/>
          <w:bCs/>
          <w:color w:val="1A2456"/>
        </w:rPr>
        <w:t>Institución Participante en la Red Internacional de Ciencias Forenses de CONPEF</w:t>
      </w:r>
    </w:p>
    <w:p w14:paraId="373A2255" w14:textId="77777777" w:rsidR="009E5FF8" w:rsidRPr="006F4501" w:rsidRDefault="00000000" w:rsidP="00824A7E">
      <w:pPr>
        <w:spacing w:before="60" w:after="40" w:line="264" w:lineRule="auto"/>
        <w:jc w:val="both"/>
        <w:rPr>
          <w:color w:val="222222"/>
        </w:rPr>
      </w:pPr>
      <w:r>
        <w:rPr>
          <w:color w:val="222222"/>
        </w:rPr>
        <w:t xml:space="preserve">Esta colaboración tiene como objetivo fortalecer el diálogo profesional y la cooperación entre las instituciones forenses a nivel mundial. </w:t>
      </w:r>
    </w:p>
    <w:p w14:paraId="2F5E9559" w14:textId="404F1C0E" w:rsidR="009E5FF8" w:rsidRDefault="009E5FF8" w:rsidP="00824A7E">
      <w:pPr>
        <w:spacing w:before="60" w:after="40" w:line="264" w:lineRule="auto"/>
        <w:jc w:val="both"/>
        <w:rPr>
          <w:b/>
          <w:bCs/>
          <w:color w:val="4CAF27"/>
        </w:rPr>
      </w:pPr>
      <w:r>
        <w:rPr>
          <w:color w:val="000000"/>
        </w:rPr>
        <w:t>Este reconocimiento tiene por único objeto identificar la participación en una red internacional de colaboración científica y no implica ninguna forma de integración institucional.</w:t>
      </w:r>
      <w:r>
        <w:rPr>
          <w:b/>
          <w:bCs/>
          <w:color w:val="4CAF27"/>
        </w:rPr>
        <w:t xml:space="preserve"> </w:t>
      </w:r>
    </w:p>
    <w:p w14:paraId="55FA5452" w14:textId="77777777" w:rsidR="002F2F3C" w:rsidRPr="002F2F3C" w:rsidRDefault="002F2F3C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7C2550F0" w14:textId="5C94DD4A" w:rsidR="008D0175" w:rsidRDefault="008D0175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3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Nature of the Collaboration</w:t>
      </w:r>
    </w:p>
    <w:p w14:paraId="387951E8" w14:textId="0C2F72BC" w:rsidR="009E5FF8" w:rsidRPr="006F4501" w:rsidRDefault="009E5FF8" w:rsidP="00824A7E">
      <w:pPr>
        <w:spacing w:before="60" w:after="40" w:line="264" w:lineRule="auto"/>
        <w:jc w:val="both"/>
        <w:rPr>
          <w:b/>
          <w:bCs/>
          <w:color w:val="4CAF27"/>
        </w:rPr>
      </w:pPr>
      <w:r>
        <w:rPr>
          <w:color w:val="000000"/>
        </w:rPr>
        <w:t>La participación en la Red Internacional CONPEF se concibe exclusivamente como una forma de colaboración científica y profesional voluntaria entre organizaciones independientes.</w:t>
      </w:r>
    </w:p>
    <w:p w14:paraId="2147FF82" w14:textId="77777777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 constituye, ni puede interpretarse como, ninguna forma de membresía, asociación, representación o afiliación institucional entre la institución participante y CONPEF.</w:t>
      </w:r>
    </w:p>
    <w:p w14:paraId="6221E9FA" w14:textId="77777777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Las instituciones participantes conservan plena autonomía e independencia jurídica. Su estatus institucional, sus reglamentos internos, sus procedimientos de acreditación y su posición respecto de cualquier registro profesional o autoridad reguladora, incluido el MIMIT, permanecen completamente inalterados.</w:t>
      </w:r>
    </w:p>
    <w:p w14:paraId="4A1A0E29" w14:textId="677652C2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Los miembros de las instituciones participantes no adquieren ningún estatus, derecho o reconocimiento dentro de CONPEF en virtud de dicha participación.</w:t>
      </w:r>
    </w:p>
    <w:p w14:paraId="770C7224" w14:textId="77777777" w:rsidR="002F2F3C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Los profesionales individuales podrán, a título estrictamente personal y voluntario, solicitar su afiliación a CONPEF si tienen intereses o actividades profesionales en Italia, de conformidad con la Ley italiana n.º 4/2013 y el reglamento interno de CONPEF. </w:t>
      </w:r>
    </w:p>
    <w:p w14:paraId="2606BB26" w14:textId="52F4090F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Dicha afiliación es completamente separada e independiente de su vinculación con su institución de origen.</w:t>
      </w:r>
    </w:p>
    <w:p w14:paraId="6F20F8E6" w14:textId="77777777" w:rsidR="008D0175" w:rsidRDefault="008D0175" w:rsidP="00824A7E">
      <w:pPr>
        <w:spacing w:before="60" w:after="40" w:line="264" w:lineRule="auto"/>
        <w:jc w:val="both"/>
        <w:rPr>
          <w:b/>
          <w:bCs/>
          <w:color w:val="4CAF27"/>
        </w:rPr>
      </w:pPr>
    </w:p>
    <w:p w14:paraId="2D954B51" w14:textId="77777777" w:rsidR="002F2F3C" w:rsidRDefault="002F2F3C" w:rsidP="00824A7E">
      <w:pPr>
        <w:spacing w:before="60" w:after="40" w:line="264" w:lineRule="auto"/>
        <w:jc w:val="both"/>
        <w:rPr>
          <w:b/>
          <w:bCs/>
          <w:color w:val="4CAF27"/>
        </w:rPr>
      </w:pPr>
    </w:p>
    <w:p w14:paraId="1B8185BB" w14:textId="77777777" w:rsidR="002F2F3C" w:rsidRDefault="002F2F3C" w:rsidP="00824A7E">
      <w:pPr>
        <w:spacing w:before="60" w:after="40" w:line="264" w:lineRule="auto"/>
        <w:jc w:val="both"/>
        <w:rPr>
          <w:b/>
          <w:bCs/>
          <w:color w:val="4CAF27"/>
        </w:rPr>
      </w:pPr>
    </w:p>
    <w:p w14:paraId="529B2323" w14:textId="2E857EAE" w:rsidR="00824A7E" w:rsidRDefault="00824A7E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4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Areas of Cooperation</w:t>
      </w:r>
    </w:p>
    <w:p w14:paraId="4DDBDAAF" w14:textId="77777777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Las Partes podrán colaborar en los siguientes ámbitos:</w:t>
      </w:r>
    </w:p>
    <w:p w14:paraId="3B785807" w14:textId="77777777" w:rsidR="00F01401" w:rsidRPr="006F4501" w:rsidRDefault="00F02232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 xml:space="preserve">Intercambio de conocimientos especializados y buenas prácticas en ciencias forenses </w:t>
      </w:r>
    </w:p>
    <w:p w14:paraId="777B85C9" w14:textId="77777777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Iniciativas conjuntas y desarrollo metodológico</w:t>
      </w:r>
    </w:p>
    <w:p w14:paraId="64ADABCA" w14:textId="77777777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Publicaciones científicas y difusión del conocimiento</w:t>
      </w:r>
    </w:p>
    <w:p w14:paraId="3CBEDAEE" w14:textId="213E0E0C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Participación en grupos de trabajo y formación profesional</w:t>
      </w:r>
    </w:p>
    <w:p w14:paraId="4DD35A6B" w14:textId="1A1C9239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Cooperación con el Observatorio Nacional sobre Errores Judiciales</w:t>
      </w:r>
    </w:p>
    <w:p w14:paraId="5A7B72B1" w14:textId="77777777" w:rsidR="00F01401" w:rsidRPr="002F2F3C" w:rsidRDefault="00F01401" w:rsidP="00824A7E">
      <w:pP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5A813E1C" w14:textId="5F68314C" w:rsidR="00824A7E" w:rsidRDefault="00824A7E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5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International Activities</w:t>
      </w:r>
    </w:p>
    <w:p w14:paraId="7146B460" w14:textId="171ED94C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Las Partes podrán colaborar en la organización y promoción de conferencias internacionales, talleres, seminarios e iniciativas profesionales relacionados con las ciencias forenses y la prevención de errores judiciales.</w:t>
      </w:r>
    </w:p>
    <w:p w14:paraId="4082A9A1" w14:textId="29476CD7" w:rsidR="001A2891" w:rsidRPr="006F4501" w:rsidRDefault="00F02232" w:rsidP="00824A7E">
      <w:pPr>
        <w:spacing w:before="60" w:after="40" w:line="264" w:lineRule="auto"/>
        <w:jc w:val="both"/>
      </w:pPr>
      <w:r>
        <w:rPr>
          <w:color w:val="222222"/>
        </w:rPr>
        <w:t>La Institución Participante podrá ser invitada a participar en el International Forensic Science Summit, evento anual de la Red.</w:t>
      </w:r>
    </w:p>
    <w:p w14:paraId="79B74F14" w14:textId="77777777" w:rsidR="00824A7E" w:rsidRPr="002F2F3C" w:rsidRDefault="00824A7E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39979F4E" w14:textId="5EF98112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6</w:t>
      </w:r>
      <w:r>
        <w:rPr>
          <w:b/>
          <w:bCs/>
          <w:color w:val="1A2456"/>
        </w:rPr>
        <w:t xml:space="preserve">  –  Institutional Visibility</w:t>
      </w:r>
    </w:p>
    <w:p w14:paraId="08C74204" w14:textId="4CF69545" w:rsidR="001A2891" w:rsidRPr="006F4501" w:rsidRDefault="00F01401" w:rsidP="00824A7E">
      <w:pPr>
        <w:spacing w:before="60" w:after="40" w:line="264" w:lineRule="auto"/>
        <w:jc w:val="both"/>
      </w:pPr>
      <w:r>
        <w:rPr>
          <w:color w:val="222222"/>
        </w:rPr>
        <w:t>La Institución Participante podrá ser incluida en la Red Internacional de Ciencias Forenses de CONPEF y figurar en las comunicaciones institucionales e iniciativas científicas promovidas por CONPEF.</w:t>
      </w:r>
    </w:p>
    <w:p w14:paraId="261B9C8A" w14:textId="77777777" w:rsidR="008D0175" w:rsidRPr="002F2F3C" w:rsidRDefault="008D0175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5F3C3C4A" w14:textId="44C0737F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7</w:t>
      </w:r>
      <w:r>
        <w:rPr>
          <w:b/>
          <w:bCs/>
          <w:color w:val="1A2456"/>
        </w:rPr>
        <w:t xml:space="preserve">  –  Institutional Independence</w:t>
      </w:r>
    </w:p>
    <w:p w14:paraId="04DFC446" w14:textId="77777777" w:rsidR="00F01401" w:rsidRPr="006F4501" w:rsidRDefault="00000000" w:rsidP="00824A7E">
      <w:pPr>
        <w:spacing w:before="60" w:after="40" w:line="264" w:lineRule="auto"/>
        <w:jc w:val="both"/>
        <w:rPr>
          <w:b/>
          <w:bCs/>
          <w:color w:val="4CAF27"/>
        </w:rPr>
      </w:pPr>
      <w:r>
        <w:rPr>
          <w:color w:val="222222"/>
        </w:rPr>
        <w:t xml:space="preserve">This agreement does not create legal, financial, or hierarchical obligations between the Parties. </w:t>
      </w:r>
      <w:r>
        <w:rPr>
          <w:color w:val="000000"/>
        </w:rPr>
        <w:t>Each Party retains full autonomy in its governance, professional standards, and institutional activities.</w:t>
      </w:r>
      <w:r>
        <w:rPr>
          <w:b/>
          <w:bCs/>
          <w:color w:val="4CAF27"/>
        </w:rPr>
        <w:t xml:space="preserve"> </w:t>
      </w:r>
    </w:p>
    <w:p w14:paraId="26F00C27" w14:textId="77777777" w:rsidR="00F01401" w:rsidRPr="002F2F3C" w:rsidRDefault="00F01401" w:rsidP="00824A7E">
      <w:pPr>
        <w:spacing w:before="60" w:after="40" w:line="264" w:lineRule="auto"/>
        <w:jc w:val="both"/>
        <w:rPr>
          <w:b/>
          <w:bCs/>
          <w:color w:val="4CAF27"/>
          <w:sz w:val="10"/>
          <w:szCs w:val="10"/>
        </w:rPr>
      </w:pPr>
    </w:p>
    <w:p w14:paraId="03093745" w14:textId="620F06E3" w:rsidR="001A2891" w:rsidRPr="006F4501" w:rsidRDefault="00000000" w:rsidP="00824A7E">
      <w:pPr>
        <w:spacing w:before="60" w:after="40" w:line="264" w:lineRule="auto"/>
        <w:jc w:val="both"/>
      </w:pPr>
      <w:r>
        <w:rPr>
          <w:b/>
          <w:bCs/>
          <w:color w:val="4CAF27"/>
        </w:rPr>
        <w:t>Article 8</w:t>
      </w:r>
      <w:r>
        <w:rPr>
          <w:b/>
          <w:bCs/>
          <w:color w:val="1A2456"/>
        </w:rPr>
        <w:t xml:space="preserve">  –  Duration </w:t>
      </w:r>
    </w:p>
    <w:p w14:paraId="139A1175" w14:textId="50C4DAEF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El presente acuerdo permanecerá vigente por un período de cinco (5) años a partir de la fecha de firma. Podrá renovarse mediante consentimiento escrito mutuo de las Partes.</w:t>
      </w:r>
    </w:p>
    <w:p w14:paraId="5E85305B" w14:textId="77777777" w:rsidR="008D0175" w:rsidRPr="002F2F3C" w:rsidRDefault="008D0175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189C829C" w14:textId="1DABAFD5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9</w:t>
      </w:r>
      <w:r>
        <w:rPr>
          <w:b/>
          <w:bCs/>
          <w:color w:val="1A2456"/>
        </w:rPr>
        <w:t xml:space="preserve">  –  Termination</w:t>
      </w:r>
    </w:p>
    <w:p w14:paraId="474B61A1" w14:textId="77777777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Cualquiera de las Partes podrá resolver el presente acuerdo en cualquier momento mediante notificación escrita a la otra Parte. La resolución no afectará a las iniciativas de colaboración en curso ya formalmente acordadas.</w:t>
      </w:r>
    </w:p>
    <w:p w14:paraId="3E1C1B03" w14:textId="77777777" w:rsidR="008D0175" w:rsidRPr="002F2F3C" w:rsidRDefault="008D0175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31ED37DA" w14:textId="369CF2D1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10</w:t>
      </w:r>
      <w:r>
        <w:rPr>
          <w:b/>
          <w:bCs/>
          <w:color w:val="1A2456"/>
        </w:rPr>
        <w:t xml:space="preserve">  –  Entry into Force</w:t>
      </w:r>
    </w:p>
    <w:p w14:paraId="1A86E710" w14:textId="7BCF7ED6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El presente acuerdo entra en vigor en el momento de su firma por los representantes autorizados de ambas Partes.</w:t>
      </w:r>
    </w:p>
    <w:p w14:paraId="445B21A9" w14:textId="77777777" w:rsidR="001A2891" w:rsidRPr="002F2F3C" w:rsidRDefault="001A2891" w:rsidP="006F4501">
      <w:pPr>
        <w:pBdr>
          <w:bottom w:val="single" w:sz="10" w:space="1" w:color="4CAF27"/>
        </w:pBdr>
        <w:spacing w:line="264" w:lineRule="auto"/>
        <w:rPr>
          <w:sz w:val="10"/>
          <w:szCs w:val="10"/>
        </w:rPr>
      </w:pPr>
    </w:p>
    <w:p w14:paraId="347DB21E" w14:textId="74CA4014" w:rsidR="001A2891" w:rsidRPr="002F2F3C" w:rsidRDefault="001A2891">
      <w:pPr>
        <w:spacing w:after="200"/>
        <w:rPr>
          <w:sz w:val="10"/>
          <w:szCs w:val="1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210"/>
      </w:tblGrid>
      <w:tr w:rsidR="00AC037B" w:rsidRPr="006F4501" w14:paraId="39CAD6A1" w14:textId="77777777" w:rsidTr="00AC037B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00" w:type="dxa"/>
            </w:tcMar>
          </w:tcPr>
          <w:p w14:paraId="5526F09B" w14:textId="77777777" w:rsidR="001A2891" w:rsidRPr="006F4501" w:rsidRDefault="00000000" w:rsidP="00AC037B">
            <w:pPr>
              <w:spacing w:after="80"/>
              <w:ind w:right="-392"/>
            </w:pPr>
            <w:r>
              <w:rPr>
                <w:b/>
                <w:bCs/>
                <w:color w:val="1A2456"/>
              </w:rPr>
              <w:t>Por CONPEF</w:t>
            </w:r>
          </w:p>
          <w:p w14:paraId="51E93DA1" w14:textId="77777777" w:rsidR="001A2891" w:rsidRPr="006F4501" w:rsidRDefault="00000000" w:rsidP="00AC037B">
            <w:pPr>
              <w:spacing w:after="40"/>
              <w:ind w:right="-392"/>
            </w:pPr>
            <w:r>
              <w:rPr>
                <w:b/>
                <w:bCs/>
              </w:rPr>
              <w:t>Dr. Francesco Matranga</w:t>
            </w:r>
          </w:p>
          <w:p w14:paraId="7BEE22B9" w14:textId="77777777" w:rsidR="001A2891" w:rsidRPr="006F4501" w:rsidRDefault="00000000" w:rsidP="00AC037B">
            <w:pPr>
              <w:spacing w:after="160"/>
              <w:ind w:right="-392"/>
            </w:pPr>
            <w:r>
              <w:rPr>
                <w:i/>
                <w:iCs/>
                <w:color w:val="4A5568"/>
                <w:sz w:val="20"/>
                <w:szCs w:val="20"/>
              </w:rPr>
              <w:t>Presidente</w:t>
            </w:r>
          </w:p>
          <w:p w14:paraId="79B72038" w14:textId="77777777" w:rsidR="001A2891" w:rsidRPr="006F450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015BFEB5" w14:textId="77777777" w:rsidR="001A2891" w:rsidRPr="006F4501" w:rsidRDefault="00000000" w:rsidP="00AC037B">
            <w:pPr>
              <w:spacing w:before="30" w:after="80"/>
              <w:ind w:right="-392"/>
            </w:pPr>
            <w:r>
              <w:rPr>
                <w:color w:val="888888"/>
                <w:sz w:val="18"/>
                <w:szCs w:val="18"/>
              </w:rPr>
              <w:t>Firma / Signature</w:t>
            </w:r>
          </w:p>
          <w:p w14:paraId="41470AB2" w14:textId="77777777" w:rsidR="001A2891" w:rsidRPr="006F450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5D721732" w14:textId="77777777" w:rsidR="001A2891" w:rsidRPr="006F4501" w:rsidRDefault="00000000" w:rsidP="00AC037B">
            <w:pPr>
              <w:spacing w:before="30"/>
              <w:ind w:right="-392"/>
            </w:pPr>
            <w:r>
              <w:rPr>
                <w:color w:val="888888"/>
                <w:sz w:val="18"/>
                <w:szCs w:val="18"/>
              </w:rPr>
              <w:t>Fecha / Data</w:t>
            </w:r>
          </w:p>
        </w:tc>
        <w:tc>
          <w:tcPr>
            <w:tcW w:w="52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8CADAB2" w14:textId="5548008D" w:rsidR="00AC037B" w:rsidRPr="006F4501" w:rsidRDefault="00AC037B" w:rsidP="00AC037B">
            <w:pPr>
              <w:spacing w:after="80"/>
              <w:ind w:left="272"/>
            </w:pPr>
            <w:r>
              <w:rPr>
                <w:b/>
                <w:bCs/>
                <w:color w:val="1A2456"/>
              </w:rPr>
              <w:t>Por …..</w:t>
            </w:r>
          </w:p>
          <w:p w14:paraId="0934A39A" w14:textId="206D9843" w:rsidR="00AC037B" w:rsidRPr="006F4501" w:rsidRDefault="00AC037B" w:rsidP="00AC037B">
            <w:pPr>
              <w:spacing w:after="40"/>
              <w:ind w:left="272"/>
            </w:pPr>
            <w:r>
              <w:rPr>
                <w:b/>
                <w:bCs/>
              </w:rPr>
              <w:t>Dr. .</w:t>
            </w:r>
          </w:p>
          <w:p w14:paraId="4375029E" w14:textId="77777777" w:rsidR="00AC037B" w:rsidRPr="006F4501" w:rsidRDefault="00AC037B" w:rsidP="00AC037B">
            <w:pPr>
              <w:spacing w:after="160"/>
              <w:ind w:left="272"/>
            </w:pPr>
            <w:r>
              <w:rPr>
                <w:i/>
                <w:iCs/>
                <w:color w:val="4A5568"/>
                <w:sz w:val="20"/>
                <w:szCs w:val="20"/>
              </w:rPr>
              <w:t>Presidente</w:t>
            </w:r>
          </w:p>
          <w:p w14:paraId="7AF23FA9" w14:textId="77777777" w:rsidR="00AC037B" w:rsidRPr="006F4501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3A81358C" w14:textId="77777777" w:rsidR="00AC037B" w:rsidRPr="006F4501" w:rsidRDefault="00AC037B" w:rsidP="00AC037B">
            <w:pPr>
              <w:spacing w:before="30" w:after="80"/>
              <w:ind w:left="272"/>
            </w:pPr>
            <w:r>
              <w:rPr>
                <w:color w:val="888888"/>
                <w:sz w:val="18"/>
                <w:szCs w:val="18"/>
              </w:rPr>
              <w:t>Firma / Signature</w:t>
            </w:r>
          </w:p>
          <w:p w14:paraId="09F01F25" w14:textId="77777777" w:rsidR="00AC037B" w:rsidRPr="006F4501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7CF0B7DF" w14:textId="5BE77567" w:rsidR="001A2891" w:rsidRPr="006F4501" w:rsidRDefault="00AC037B" w:rsidP="00AC037B">
            <w:pPr>
              <w:ind w:left="272"/>
            </w:pPr>
            <w:r>
              <w:rPr>
                <w:color w:val="888888"/>
                <w:sz w:val="18"/>
                <w:szCs w:val="18"/>
              </w:rPr>
              <w:t>Fecha / Data</w:t>
            </w:r>
          </w:p>
        </w:tc>
      </w:tr>
    </w:tbl>
    <w:p w14:paraId="5E703390" w14:textId="77777777" w:rsidR="00B9486C" w:rsidRDefault="00B9486C"/>
    <w:sectPr w:rsidR="00B9486C" w:rsidSect="00AE5EF4">
      <w:pgSz w:w="11906" w:h="16838"/>
      <w:pgMar w:top="588" w:right="1134" w:bottom="111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61D9"/>
    <w:multiLevelType w:val="hybridMultilevel"/>
    <w:tmpl w:val="FC96C28A"/>
    <w:lvl w:ilvl="0" w:tplc="ADC29EF6">
      <w:start w:val="1"/>
      <w:numFmt w:val="bullet"/>
      <w:lvlText w:val="•"/>
      <w:lvlJc w:val="left"/>
      <w:pPr>
        <w:spacing w:before="60" w:after="60"/>
        <w:ind w:left="720" w:hanging="360"/>
      </w:pPr>
    </w:lvl>
    <w:lvl w:ilvl="1" w:tplc="E3C8337C">
      <w:numFmt w:val="decimal"/>
      <w:lvlText w:val=""/>
      <w:lvlJc w:val="left"/>
    </w:lvl>
    <w:lvl w:ilvl="2" w:tplc="6B7E27B8">
      <w:numFmt w:val="decimal"/>
      <w:lvlText w:val=""/>
      <w:lvlJc w:val="left"/>
    </w:lvl>
    <w:lvl w:ilvl="3" w:tplc="1180C37C">
      <w:numFmt w:val="decimal"/>
      <w:lvlText w:val=""/>
      <w:lvlJc w:val="left"/>
    </w:lvl>
    <w:lvl w:ilvl="4" w:tplc="DF8C8A62">
      <w:numFmt w:val="decimal"/>
      <w:lvlText w:val=""/>
      <w:lvlJc w:val="left"/>
    </w:lvl>
    <w:lvl w:ilvl="5" w:tplc="338CF4AA">
      <w:numFmt w:val="decimal"/>
      <w:lvlText w:val=""/>
      <w:lvlJc w:val="left"/>
    </w:lvl>
    <w:lvl w:ilvl="6" w:tplc="B0CC24A6">
      <w:numFmt w:val="decimal"/>
      <w:lvlText w:val=""/>
      <w:lvlJc w:val="left"/>
    </w:lvl>
    <w:lvl w:ilvl="7" w:tplc="62ACE5C2">
      <w:numFmt w:val="decimal"/>
      <w:lvlText w:val=""/>
      <w:lvlJc w:val="left"/>
    </w:lvl>
    <w:lvl w:ilvl="8" w:tplc="E042DF10">
      <w:numFmt w:val="decimal"/>
      <w:lvlText w:val=""/>
      <w:lvlJc w:val="left"/>
    </w:lvl>
  </w:abstractNum>
  <w:abstractNum w:abstractNumId="1" w15:restartNumberingAfterBreak="0">
    <w:nsid w:val="72015C5E"/>
    <w:multiLevelType w:val="hybridMultilevel"/>
    <w:tmpl w:val="BB7AB34A"/>
    <w:lvl w:ilvl="0" w:tplc="D24AFC46">
      <w:start w:val="1"/>
      <w:numFmt w:val="bullet"/>
      <w:lvlText w:val="●"/>
      <w:lvlJc w:val="left"/>
      <w:pPr>
        <w:ind w:left="720" w:hanging="360"/>
      </w:pPr>
    </w:lvl>
    <w:lvl w:ilvl="1" w:tplc="AC4ED666">
      <w:start w:val="1"/>
      <w:numFmt w:val="bullet"/>
      <w:lvlText w:val="○"/>
      <w:lvlJc w:val="left"/>
      <w:pPr>
        <w:ind w:left="1440" w:hanging="360"/>
      </w:pPr>
    </w:lvl>
    <w:lvl w:ilvl="2" w:tplc="87B25FE2">
      <w:start w:val="1"/>
      <w:numFmt w:val="bullet"/>
      <w:lvlText w:val="■"/>
      <w:lvlJc w:val="left"/>
      <w:pPr>
        <w:ind w:left="2160" w:hanging="360"/>
      </w:pPr>
    </w:lvl>
    <w:lvl w:ilvl="3" w:tplc="B9ACA2A6">
      <w:start w:val="1"/>
      <w:numFmt w:val="bullet"/>
      <w:lvlText w:val="●"/>
      <w:lvlJc w:val="left"/>
      <w:pPr>
        <w:ind w:left="2880" w:hanging="360"/>
      </w:pPr>
    </w:lvl>
    <w:lvl w:ilvl="4" w:tplc="31DAD770">
      <w:start w:val="1"/>
      <w:numFmt w:val="bullet"/>
      <w:lvlText w:val="○"/>
      <w:lvlJc w:val="left"/>
      <w:pPr>
        <w:ind w:left="3600" w:hanging="360"/>
      </w:pPr>
    </w:lvl>
    <w:lvl w:ilvl="5" w:tplc="985471EE">
      <w:start w:val="1"/>
      <w:numFmt w:val="bullet"/>
      <w:lvlText w:val="■"/>
      <w:lvlJc w:val="left"/>
      <w:pPr>
        <w:ind w:left="4320" w:hanging="360"/>
      </w:pPr>
    </w:lvl>
    <w:lvl w:ilvl="6" w:tplc="1A42D752">
      <w:start w:val="1"/>
      <w:numFmt w:val="bullet"/>
      <w:lvlText w:val="●"/>
      <w:lvlJc w:val="left"/>
      <w:pPr>
        <w:ind w:left="5040" w:hanging="360"/>
      </w:pPr>
    </w:lvl>
    <w:lvl w:ilvl="7" w:tplc="17A0D7A0">
      <w:start w:val="1"/>
      <w:numFmt w:val="bullet"/>
      <w:lvlText w:val="●"/>
      <w:lvlJc w:val="left"/>
      <w:pPr>
        <w:ind w:left="5760" w:hanging="360"/>
      </w:pPr>
    </w:lvl>
    <w:lvl w:ilvl="8" w:tplc="C0702F66">
      <w:start w:val="1"/>
      <w:numFmt w:val="bullet"/>
      <w:lvlText w:val="●"/>
      <w:lvlJc w:val="left"/>
      <w:pPr>
        <w:ind w:left="6480" w:hanging="360"/>
      </w:pPr>
    </w:lvl>
  </w:abstractNum>
  <w:num w:numId="1" w16cid:durableId="2020305021">
    <w:abstractNumId w:val="1"/>
    <w:lvlOverride w:ilvl="0">
      <w:startOverride w:val="1"/>
    </w:lvlOverride>
  </w:num>
  <w:num w:numId="2" w16cid:durableId="3596282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91"/>
    <w:rsid w:val="00074F4D"/>
    <w:rsid w:val="00161768"/>
    <w:rsid w:val="001A2891"/>
    <w:rsid w:val="002F2F3C"/>
    <w:rsid w:val="003177EE"/>
    <w:rsid w:val="006F4501"/>
    <w:rsid w:val="00824A7E"/>
    <w:rsid w:val="008D0175"/>
    <w:rsid w:val="009E5FF8"/>
    <w:rsid w:val="009F5420"/>
    <w:rsid w:val="00AC037B"/>
    <w:rsid w:val="00AD72FA"/>
    <w:rsid w:val="00AE5EF4"/>
    <w:rsid w:val="00B56459"/>
    <w:rsid w:val="00B9486C"/>
    <w:rsid w:val="00C37C40"/>
    <w:rsid w:val="00CC1F96"/>
    <w:rsid w:val="00D653A8"/>
    <w:rsid w:val="00F01401"/>
    <w:rsid w:val="00F0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20DC3"/>
  <w15:docId w15:val="{04B9E82D-9E81-0347-A2F9-C9C3B45E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NormaleWeb">
    <w:name w:val="Normal (Web)"/>
    <w:basedOn w:val="Normale"/>
    <w:uiPriority w:val="99"/>
    <w:unhideWhenUsed/>
    <w:rsid w:val="009E5F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585</Words>
  <Characters>3797</Characters>
  <Application>Microsoft Office Word</Application>
  <DocSecurity>0</DocSecurity>
  <Lines>105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Dott.ssa Anna Rita Costantino</cp:lastModifiedBy>
  <cp:revision>15</cp:revision>
  <dcterms:created xsi:type="dcterms:W3CDTF">2026-03-10T09:43:00Z</dcterms:created>
  <dcterms:modified xsi:type="dcterms:W3CDTF">2026-03-25T20:05:00Z</dcterms:modified>
</cp:coreProperties>
</file>