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406D6" w14:textId="3AED1BAC" w:rsidR="004050D1" w:rsidRPr="00C22042" w:rsidRDefault="00AA5A8E" w:rsidP="00A029CB">
      <w:pPr>
        <w:spacing w:after="0" w:line="240" w:lineRule="auto"/>
        <w:rPr>
          <w:rFonts w:ascii="Calibri" w:eastAsia="Calibri" w:hAnsi="Calibri" w:cs="Calibri"/>
          <w:b/>
          <w:color w:val="FFFFFF"/>
          <w:sz w:val="48"/>
          <w:szCs w:val="24"/>
        </w:rPr>
      </w:pPr>
      <w:r w:rsidRPr="00C26F56">
        <w:rPr>
          <w:rFonts w:ascii="Calibri" w:eastAsia="Calibri" w:hAnsi="Calibri" w:cs="Calibri"/>
          <w:b/>
          <w:bCs/>
          <w:noProof/>
          <w:sz w:val="24"/>
          <w:szCs w:val="24"/>
        </w:rPr>
        <w:drawing>
          <wp:anchor distT="0" distB="0" distL="114300" distR="114300" simplePos="0" relativeHeight="251659264" behindDoc="1" locked="0" layoutInCell="1" allowOverlap="1" wp14:anchorId="72335BE1" wp14:editId="625F14D2">
            <wp:simplePos x="0" y="0"/>
            <wp:positionH relativeFrom="margin">
              <wp:posOffset>-780758</wp:posOffset>
            </wp:positionH>
            <wp:positionV relativeFrom="paragraph">
              <wp:posOffset>-863600</wp:posOffset>
            </wp:positionV>
            <wp:extent cx="7342213" cy="1040765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DAS 2 logo.pdf"/>
                    <pic:cNvPicPr/>
                  </pic:nvPicPr>
                  <pic:blipFill>
                    <a:blip r:embed="rId8">
                      <a:extLst>
                        <a:ext uri="{28A0092B-C50C-407E-A947-70E740481C1C}">
                          <a14:useLocalDpi xmlns:a14="http://schemas.microsoft.com/office/drawing/2010/main" val="0"/>
                        </a:ext>
                      </a:extLst>
                    </a:blip>
                    <a:stretch>
                      <a:fillRect/>
                    </a:stretch>
                  </pic:blipFill>
                  <pic:spPr>
                    <a:xfrm>
                      <a:off x="0" y="0"/>
                      <a:ext cx="7342213" cy="10407650"/>
                    </a:xfrm>
                    <a:prstGeom prst="rect">
                      <a:avLst/>
                    </a:prstGeom>
                  </pic:spPr>
                </pic:pic>
              </a:graphicData>
            </a:graphic>
            <wp14:sizeRelH relativeFrom="page">
              <wp14:pctWidth>0</wp14:pctWidth>
            </wp14:sizeRelH>
            <wp14:sizeRelV relativeFrom="page">
              <wp14:pctHeight>0</wp14:pctHeight>
            </wp14:sizeRelV>
          </wp:anchor>
        </w:drawing>
      </w:r>
      <w:r w:rsidR="003A3506" w:rsidRPr="00C26F56">
        <w:rPr>
          <w:rFonts w:ascii="Calibri" w:eastAsia="Calibri" w:hAnsi="Calibri" w:cs="Calibri"/>
          <w:b/>
          <w:bCs/>
          <w:color w:val="FFFFFF"/>
          <w:sz w:val="72"/>
          <w:szCs w:val="24"/>
        </w:rPr>
        <w:t>Green Infrastructure</w:t>
      </w:r>
      <w:r w:rsidRPr="00C26F56">
        <w:rPr>
          <w:rFonts w:ascii="Calibri" w:eastAsia="Calibri" w:hAnsi="Calibri" w:cs="Calibri"/>
          <w:b/>
          <w:bCs/>
          <w:color w:val="FFFFFF"/>
          <w:sz w:val="72"/>
          <w:szCs w:val="24"/>
        </w:rPr>
        <w:t xml:space="preserve"> </w:t>
      </w:r>
      <w:r w:rsidR="00A44A74" w:rsidRPr="00C26F56">
        <w:rPr>
          <w:rFonts w:ascii="Calibri" w:eastAsia="Calibri" w:hAnsi="Calibri" w:cs="Calibri"/>
          <w:b/>
          <w:bCs/>
          <w:color w:val="FFFFFF"/>
          <w:sz w:val="72"/>
          <w:szCs w:val="24"/>
        </w:rPr>
        <w:t>Statement</w:t>
      </w:r>
      <w:r w:rsidRPr="00C26F56">
        <w:rPr>
          <w:rFonts w:ascii="Calibri" w:eastAsia="Calibri" w:hAnsi="Calibri" w:cs="Calibri"/>
          <w:color w:val="FFFFFF"/>
          <w:sz w:val="72"/>
          <w:szCs w:val="24"/>
        </w:rPr>
        <w:t xml:space="preserve"> </w:t>
      </w:r>
      <w:r w:rsidRPr="00C26F56">
        <w:rPr>
          <w:rFonts w:ascii="Calibri" w:eastAsia="Calibri" w:hAnsi="Calibri" w:cs="Calibri"/>
          <w:color w:val="FFFFFF"/>
          <w:sz w:val="48"/>
          <w:szCs w:val="24"/>
        </w:rPr>
        <w:br/>
      </w:r>
      <w:r w:rsidR="00BC202F">
        <w:rPr>
          <w:rFonts w:ascii="Calibri" w:eastAsia="Calibri" w:hAnsi="Calibri" w:cs="Calibri"/>
          <w:bCs/>
          <w:color w:val="FFFFFF"/>
          <w:sz w:val="40"/>
          <w:szCs w:val="20"/>
        </w:rPr>
        <w:t>Sloper Road</w:t>
      </w:r>
      <w:r w:rsidR="00552922" w:rsidRPr="00C26F56">
        <w:rPr>
          <w:rFonts w:ascii="Calibri" w:eastAsia="Calibri" w:hAnsi="Calibri" w:cs="Calibri"/>
          <w:bCs/>
          <w:color w:val="FFFFFF"/>
          <w:sz w:val="40"/>
          <w:szCs w:val="20"/>
        </w:rPr>
        <w:t>, Cardiff, CF1</w:t>
      </w:r>
      <w:r w:rsidR="00BC202F">
        <w:rPr>
          <w:rFonts w:ascii="Calibri" w:eastAsia="Calibri" w:hAnsi="Calibri" w:cs="Calibri"/>
          <w:bCs/>
          <w:color w:val="FFFFFF"/>
          <w:sz w:val="40"/>
          <w:szCs w:val="20"/>
        </w:rPr>
        <w:t>1 8AB</w:t>
      </w:r>
    </w:p>
    <w:p w14:paraId="009AB1F4" w14:textId="77777777" w:rsidR="004050D1" w:rsidRPr="00C26F56" w:rsidRDefault="004050D1" w:rsidP="00AA5A8E">
      <w:pPr>
        <w:spacing w:after="0" w:line="240" w:lineRule="auto"/>
        <w:rPr>
          <w:rFonts w:ascii="Calibri" w:eastAsia="Calibri" w:hAnsi="Calibri" w:cs="Calibri"/>
          <w:bCs/>
          <w:color w:val="FFFFFF"/>
          <w:sz w:val="48"/>
          <w:szCs w:val="24"/>
        </w:rPr>
      </w:pPr>
    </w:p>
    <w:p w14:paraId="4ABBDE96" w14:textId="0581332A" w:rsidR="00AA5A8E" w:rsidRPr="00C26F56" w:rsidRDefault="00BC202F" w:rsidP="00AA5A8E">
      <w:pPr>
        <w:spacing w:after="0" w:line="240" w:lineRule="auto"/>
        <w:rPr>
          <w:rFonts w:ascii="Calibri" w:eastAsia="Calibri" w:hAnsi="Calibri" w:cs="Calibri"/>
          <w:bCs/>
          <w:color w:val="FFFFFF"/>
          <w:sz w:val="52"/>
          <w:szCs w:val="28"/>
        </w:rPr>
      </w:pPr>
      <w:r>
        <w:rPr>
          <w:rFonts w:ascii="Calibri" w:eastAsia="Calibri" w:hAnsi="Calibri" w:cs="Calibri"/>
          <w:bCs/>
          <w:color w:val="FFFFFF"/>
          <w:sz w:val="32"/>
          <w:szCs w:val="16"/>
        </w:rPr>
        <w:t xml:space="preserve">November </w:t>
      </w:r>
      <w:r w:rsidR="003A3506" w:rsidRPr="00C26F56">
        <w:rPr>
          <w:rFonts w:ascii="Calibri" w:eastAsia="Calibri" w:hAnsi="Calibri" w:cs="Calibri"/>
          <w:bCs/>
          <w:color w:val="FFFFFF"/>
          <w:sz w:val="32"/>
          <w:szCs w:val="16"/>
        </w:rPr>
        <w:t>2024</w:t>
      </w:r>
    </w:p>
    <w:p w14:paraId="73EB682C" w14:textId="4BE4E1BB" w:rsidR="00D92D02" w:rsidRPr="00D92D02" w:rsidRDefault="00D92D02" w:rsidP="00D92D02">
      <w:pPr>
        <w:spacing w:before="120" w:after="120" w:line="276" w:lineRule="auto"/>
        <w:jc w:val="both"/>
        <w:rPr>
          <w:rFonts w:ascii="Calibri" w:eastAsia="Calibri" w:hAnsi="Calibri" w:cs="Calibri"/>
        </w:rPr>
      </w:pPr>
      <w:r w:rsidRPr="00D92D02">
        <w:rPr>
          <w:rFonts w:ascii="Calibri" w:eastAsia="Calibri" w:hAnsi="Calibri" w:cs="Calibri"/>
        </w:rPr>
        <w:tab/>
      </w:r>
    </w:p>
    <w:p w14:paraId="29084849" w14:textId="77777777" w:rsidR="00D92D02" w:rsidRPr="00D92D02" w:rsidRDefault="00D92D02" w:rsidP="00D92D02">
      <w:pPr>
        <w:spacing w:before="120" w:after="120" w:line="276" w:lineRule="auto"/>
        <w:jc w:val="both"/>
        <w:rPr>
          <w:rFonts w:ascii="Calibri" w:eastAsia="Calibri" w:hAnsi="Calibri" w:cs="Calibri"/>
        </w:rPr>
      </w:pPr>
    </w:p>
    <w:p w14:paraId="3DC9EC5D" w14:textId="77777777" w:rsidR="00D92D02" w:rsidRPr="00D92D02" w:rsidRDefault="00D92D02" w:rsidP="00D92D02">
      <w:pPr>
        <w:spacing w:before="120" w:after="120" w:line="276" w:lineRule="auto"/>
        <w:jc w:val="both"/>
        <w:rPr>
          <w:rFonts w:ascii="Calibri" w:eastAsia="Calibri" w:hAnsi="Calibri" w:cs="Calibri"/>
        </w:rPr>
      </w:pPr>
    </w:p>
    <w:p w14:paraId="067D8F72" w14:textId="77777777" w:rsidR="00D92D02" w:rsidRPr="00D92D02" w:rsidRDefault="00D92D02" w:rsidP="00D92D02">
      <w:pPr>
        <w:spacing w:before="120" w:after="120" w:line="276" w:lineRule="auto"/>
        <w:jc w:val="both"/>
        <w:rPr>
          <w:rFonts w:ascii="Calibri" w:eastAsia="Calibri" w:hAnsi="Calibri" w:cs="Calibri"/>
        </w:rPr>
      </w:pPr>
      <w:r w:rsidRPr="00D92D02">
        <w:rPr>
          <w:rFonts w:ascii="Calibri" w:eastAsia="Calibri" w:hAnsi="Calibri" w:cs="Calibri"/>
        </w:rPr>
        <w:tab/>
      </w:r>
    </w:p>
    <w:p w14:paraId="19F4ABDC" w14:textId="77777777" w:rsidR="00D92D02" w:rsidRPr="00D92D02" w:rsidRDefault="00D92D02" w:rsidP="00D92D02">
      <w:pPr>
        <w:spacing w:before="120" w:after="120" w:line="276" w:lineRule="auto"/>
        <w:jc w:val="both"/>
        <w:rPr>
          <w:rFonts w:ascii="Calibri" w:eastAsia="Calibri" w:hAnsi="Calibri" w:cs="Calibri"/>
        </w:rPr>
      </w:pPr>
    </w:p>
    <w:p w14:paraId="5A71C72D" w14:textId="77777777" w:rsidR="00D92D02" w:rsidRPr="00D92D02" w:rsidRDefault="00D92D02" w:rsidP="00D92D02">
      <w:pPr>
        <w:spacing w:before="120" w:after="120" w:line="276" w:lineRule="auto"/>
        <w:jc w:val="both"/>
        <w:rPr>
          <w:rFonts w:ascii="Calibri" w:eastAsia="Calibri" w:hAnsi="Calibri" w:cs="Calibri"/>
        </w:rPr>
      </w:pPr>
    </w:p>
    <w:p w14:paraId="59F2E249" w14:textId="77777777" w:rsidR="00D92D02" w:rsidRPr="00D92D02" w:rsidRDefault="00D92D02" w:rsidP="00D92D02">
      <w:pPr>
        <w:spacing w:before="120" w:after="120" w:line="276" w:lineRule="auto"/>
        <w:jc w:val="both"/>
        <w:rPr>
          <w:rFonts w:ascii="Calibri" w:eastAsia="Calibri" w:hAnsi="Calibri" w:cs="Calibri"/>
        </w:rPr>
      </w:pPr>
    </w:p>
    <w:p w14:paraId="55DFFBA9" w14:textId="77777777" w:rsidR="00D92D02" w:rsidRPr="00D92D02" w:rsidRDefault="00D92D02" w:rsidP="00D92D02">
      <w:pPr>
        <w:spacing w:before="120" w:after="120" w:line="276" w:lineRule="auto"/>
        <w:jc w:val="both"/>
        <w:rPr>
          <w:rFonts w:ascii="Calibri" w:eastAsia="Calibri" w:hAnsi="Calibri" w:cs="Calibri"/>
        </w:rPr>
      </w:pPr>
    </w:p>
    <w:p w14:paraId="0CC666E0" w14:textId="77777777" w:rsidR="00D92D02" w:rsidRPr="00D92D02" w:rsidRDefault="00D92D02" w:rsidP="00D92D02">
      <w:pPr>
        <w:spacing w:before="120" w:after="120" w:line="276" w:lineRule="auto"/>
        <w:jc w:val="both"/>
        <w:rPr>
          <w:rFonts w:ascii="Calibri" w:eastAsia="Calibri" w:hAnsi="Calibri" w:cs="Calibri"/>
        </w:rPr>
      </w:pPr>
    </w:p>
    <w:p w14:paraId="3265691B" w14:textId="77777777" w:rsidR="00D92D02" w:rsidRPr="00D92D02" w:rsidRDefault="00D92D02" w:rsidP="00D92D02">
      <w:pPr>
        <w:spacing w:before="120" w:after="120" w:line="276" w:lineRule="auto"/>
        <w:jc w:val="both"/>
        <w:rPr>
          <w:rFonts w:ascii="Calibri" w:eastAsia="Calibri" w:hAnsi="Calibri" w:cs="Calibri"/>
        </w:rPr>
      </w:pPr>
    </w:p>
    <w:p w14:paraId="777E0074" w14:textId="77777777" w:rsidR="00D92D02" w:rsidRPr="00D92D02" w:rsidRDefault="00D92D02" w:rsidP="00D92D02">
      <w:pPr>
        <w:spacing w:before="120" w:after="120" w:line="276" w:lineRule="auto"/>
        <w:jc w:val="both"/>
        <w:rPr>
          <w:rFonts w:ascii="Calibri" w:eastAsia="Calibri" w:hAnsi="Calibri" w:cs="Calibri"/>
        </w:rPr>
      </w:pPr>
    </w:p>
    <w:p w14:paraId="37E46591" w14:textId="77777777" w:rsidR="00D92D02" w:rsidRPr="00D92D02" w:rsidRDefault="00D92D02" w:rsidP="00D92D02">
      <w:pPr>
        <w:spacing w:before="120" w:after="120" w:line="276" w:lineRule="auto"/>
        <w:jc w:val="both"/>
        <w:rPr>
          <w:rFonts w:ascii="Calibri" w:eastAsia="Calibri" w:hAnsi="Calibri" w:cs="Calibri"/>
        </w:rPr>
      </w:pPr>
    </w:p>
    <w:p w14:paraId="5019363B" w14:textId="77777777" w:rsidR="00D92D02" w:rsidRPr="00D92D02" w:rsidRDefault="00D92D02" w:rsidP="00D92D02">
      <w:pPr>
        <w:spacing w:before="120" w:after="120" w:line="276" w:lineRule="auto"/>
        <w:jc w:val="both"/>
        <w:rPr>
          <w:rFonts w:ascii="Calibri" w:eastAsia="Calibri" w:hAnsi="Calibri" w:cs="Calibri"/>
        </w:rPr>
      </w:pPr>
    </w:p>
    <w:p w14:paraId="72424501" w14:textId="77777777" w:rsidR="00D92D02" w:rsidRPr="00D92D02" w:rsidRDefault="00D92D02" w:rsidP="00D92D02">
      <w:pPr>
        <w:spacing w:before="120" w:after="120" w:line="276" w:lineRule="auto"/>
        <w:jc w:val="both"/>
        <w:rPr>
          <w:rFonts w:ascii="Calibri" w:eastAsia="Calibri" w:hAnsi="Calibri" w:cs="Calibri"/>
        </w:rPr>
      </w:pPr>
    </w:p>
    <w:p w14:paraId="735E33D1" w14:textId="77777777" w:rsidR="00D92D02" w:rsidRPr="00D92D02" w:rsidRDefault="00D92D02" w:rsidP="00D92D02">
      <w:pPr>
        <w:spacing w:before="120" w:after="120" w:line="276" w:lineRule="auto"/>
        <w:jc w:val="both"/>
        <w:rPr>
          <w:rFonts w:ascii="Calibri" w:eastAsia="Calibri" w:hAnsi="Calibri" w:cs="Calibri"/>
        </w:rPr>
      </w:pPr>
    </w:p>
    <w:p w14:paraId="7FF6CDE3" w14:textId="77777777" w:rsidR="00D92D02" w:rsidRDefault="00D92D02" w:rsidP="00D92D02">
      <w:pPr>
        <w:spacing w:before="120" w:after="120" w:line="276" w:lineRule="auto"/>
        <w:jc w:val="both"/>
        <w:rPr>
          <w:rFonts w:ascii="Calibri" w:eastAsia="Calibri" w:hAnsi="Calibri" w:cs="Calibri"/>
        </w:rPr>
      </w:pPr>
    </w:p>
    <w:p w14:paraId="3A456C22" w14:textId="77777777" w:rsidR="00D92D02" w:rsidRPr="00D92D02" w:rsidRDefault="00D92D02" w:rsidP="00D92D02">
      <w:pPr>
        <w:spacing w:before="120" w:after="120" w:line="276" w:lineRule="auto"/>
        <w:jc w:val="both"/>
        <w:rPr>
          <w:rFonts w:ascii="Calibri" w:eastAsia="Calibri" w:hAnsi="Calibri" w:cs="Calibri"/>
        </w:rPr>
      </w:pPr>
    </w:p>
    <w:p w14:paraId="14523922" w14:textId="77777777" w:rsidR="00D92D02" w:rsidRPr="00D92D02" w:rsidRDefault="00D92D02" w:rsidP="00D92D02">
      <w:pPr>
        <w:spacing w:before="120" w:after="120" w:line="276" w:lineRule="auto"/>
        <w:jc w:val="both"/>
        <w:rPr>
          <w:rFonts w:ascii="Calibri" w:eastAsia="Calibri" w:hAnsi="Calibri" w:cs="Calibri"/>
        </w:rPr>
      </w:pPr>
    </w:p>
    <w:p w14:paraId="31668C98" w14:textId="77777777" w:rsidR="00D92D02" w:rsidRPr="00D92D02" w:rsidRDefault="00D92D02" w:rsidP="00D92D02">
      <w:pPr>
        <w:spacing w:before="120" w:after="120" w:line="276" w:lineRule="auto"/>
        <w:jc w:val="both"/>
        <w:rPr>
          <w:rFonts w:ascii="Calibri" w:eastAsia="Calibri" w:hAnsi="Calibri" w:cs="Calibri"/>
        </w:rPr>
      </w:pPr>
    </w:p>
    <w:p w14:paraId="3B230DEE" w14:textId="77777777" w:rsidR="00C07FBF" w:rsidRDefault="00C07FBF" w:rsidP="00C07FBF">
      <w:pPr>
        <w:spacing w:before="120" w:after="120" w:line="276" w:lineRule="auto"/>
        <w:rPr>
          <w:rFonts w:ascii="Calibri" w:eastAsia="Calibri" w:hAnsi="Calibri" w:cs="Calibri"/>
          <w:noProof/>
          <w:lang w:eastAsia="en-GB"/>
        </w:rPr>
      </w:pPr>
    </w:p>
    <w:p w14:paraId="293B552C" w14:textId="1B687495" w:rsidR="000D5576" w:rsidRPr="00A0212B" w:rsidRDefault="000D5576" w:rsidP="00A0212B">
      <w:pPr>
        <w:spacing w:before="120" w:after="120" w:line="276" w:lineRule="auto"/>
        <w:rPr>
          <w:rFonts w:ascii="Calibri" w:eastAsia="Calibri" w:hAnsi="Calibri" w:cs="Calibri"/>
        </w:rPr>
      </w:pPr>
    </w:p>
    <w:tbl>
      <w:tblPr>
        <w:tblStyle w:val="TableGrid"/>
        <w:tblpPr w:leftFromText="181" w:rightFromText="181" w:vertAnchor="page" w:horzAnchor="margin" w:tblpXSpec="center" w:tblpY="1430"/>
        <w:tblW w:w="10485" w:type="dxa"/>
        <w:tblLook w:val="04A0" w:firstRow="1" w:lastRow="0" w:firstColumn="1" w:lastColumn="0" w:noHBand="0" w:noVBand="1"/>
      </w:tblPr>
      <w:tblGrid>
        <w:gridCol w:w="1580"/>
        <w:gridCol w:w="8905"/>
      </w:tblGrid>
      <w:tr w:rsidR="000D5576" w:rsidRPr="00F543DF" w14:paraId="287B8611" w14:textId="77777777" w:rsidTr="00FA1733">
        <w:tc>
          <w:tcPr>
            <w:tcW w:w="10485" w:type="dxa"/>
            <w:gridSpan w:val="2"/>
            <w:shd w:val="clear" w:color="auto" w:fill="70AD47" w:themeFill="accent6"/>
          </w:tcPr>
          <w:p w14:paraId="332668C1" w14:textId="7E665D76" w:rsidR="000D5576" w:rsidRPr="00A44A74" w:rsidRDefault="00A44A74" w:rsidP="000B4D2B">
            <w:pPr>
              <w:rPr>
                <w:b/>
                <w:color w:val="FFFFFF" w:themeColor="background1"/>
                <w:sz w:val="24"/>
                <w:szCs w:val="24"/>
              </w:rPr>
            </w:pPr>
            <w:r w:rsidRPr="00A44A74">
              <w:rPr>
                <w:b/>
                <w:color w:val="FFFFFF" w:themeColor="background1"/>
                <w:sz w:val="24"/>
                <w:szCs w:val="24"/>
              </w:rPr>
              <w:lastRenderedPageBreak/>
              <w:t>Introduction</w:t>
            </w:r>
          </w:p>
          <w:p w14:paraId="38B8E6D0" w14:textId="67E0B902" w:rsidR="003379DB" w:rsidRPr="00F543DF" w:rsidRDefault="003379DB" w:rsidP="000B4D2B">
            <w:pPr>
              <w:rPr>
                <w:b/>
                <w:color w:val="FFFFFF" w:themeColor="background1"/>
              </w:rPr>
            </w:pPr>
          </w:p>
        </w:tc>
      </w:tr>
      <w:tr w:rsidR="000D5576" w14:paraId="17EA8A04" w14:textId="77777777" w:rsidTr="00955146">
        <w:tc>
          <w:tcPr>
            <w:tcW w:w="1580" w:type="dxa"/>
            <w:shd w:val="clear" w:color="auto" w:fill="70AD47" w:themeFill="accent6"/>
          </w:tcPr>
          <w:p w14:paraId="3294D085" w14:textId="4A4BB9D9" w:rsidR="000D5576" w:rsidRDefault="00A44A74" w:rsidP="000B4D2B">
            <w:r w:rsidRPr="00A44A74">
              <w:rPr>
                <w:color w:val="FFFFFF" w:themeColor="background1"/>
              </w:rPr>
              <w:t>Client</w:t>
            </w:r>
          </w:p>
        </w:tc>
        <w:tc>
          <w:tcPr>
            <w:tcW w:w="8905" w:type="dxa"/>
          </w:tcPr>
          <w:p w14:paraId="3F53A3B2" w14:textId="304A5D6E" w:rsidR="003131A9" w:rsidRPr="003131A9" w:rsidRDefault="003131A9" w:rsidP="003131A9">
            <w:r w:rsidRPr="003131A9">
              <w:t xml:space="preserve">This statement has been prepared on behalf of </w:t>
            </w:r>
            <w:r w:rsidR="00552922">
              <w:t>Pink Storage.</w:t>
            </w:r>
          </w:p>
          <w:p w14:paraId="1210571C" w14:textId="7A4EB638" w:rsidR="003379DB" w:rsidRDefault="003379DB" w:rsidP="000B4D2B"/>
        </w:tc>
      </w:tr>
      <w:tr w:rsidR="00552922" w14:paraId="0E23F18E" w14:textId="77777777" w:rsidTr="00955146">
        <w:tc>
          <w:tcPr>
            <w:tcW w:w="1580" w:type="dxa"/>
            <w:shd w:val="clear" w:color="auto" w:fill="70AD47" w:themeFill="accent6"/>
          </w:tcPr>
          <w:p w14:paraId="34D34959" w14:textId="77777777" w:rsidR="00552922" w:rsidRPr="00F23C06" w:rsidRDefault="00552922" w:rsidP="00552922">
            <w:pPr>
              <w:rPr>
                <w:color w:val="FFFFFF" w:themeColor="background1"/>
              </w:rPr>
            </w:pPr>
            <w:r w:rsidRPr="00F23C06">
              <w:rPr>
                <w:color w:val="FFFFFF" w:themeColor="background1"/>
              </w:rPr>
              <w:t>Scope</w:t>
            </w:r>
          </w:p>
          <w:p w14:paraId="28B1A1FE" w14:textId="77777777" w:rsidR="00552922" w:rsidRDefault="00552922" w:rsidP="00552922"/>
        </w:tc>
        <w:tc>
          <w:tcPr>
            <w:tcW w:w="8905" w:type="dxa"/>
          </w:tcPr>
          <w:p w14:paraId="47B368DF" w14:textId="276AC502" w:rsidR="00552922" w:rsidRPr="00A4497B" w:rsidRDefault="00552922" w:rsidP="00552922">
            <w:pPr>
              <w:spacing w:line="276" w:lineRule="auto"/>
              <w:jc w:val="both"/>
            </w:pPr>
            <w:r w:rsidRPr="00A53375">
              <w:rPr>
                <w:rFonts w:ascii="Calibri" w:hAnsi="Calibri" w:cs="Calibri"/>
              </w:rPr>
              <w:t>This</w:t>
            </w:r>
            <w:r>
              <w:rPr>
                <w:rFonts w:ascii="Calibri" w:hAnsi="Calibri" w:cs="Calibri"/>
              </w:rPr>
              <w:t xml:space="preserve"> </w:t>
            </w:r>
            <w:r w:rsidR="00785E0F">
              <w:rPr>
                <w:rFonts w:ascii="Calibri" w:hAnsi="Calibri" w:cs="Calibri"/>
              </w:rPr>
              <w:t xml:space="preserve">Green Infrastructure </w:t>
            </w:r>
            <w:r w:rsidRPr="00A53375">
              <w:rPr>
                <w:rFonts w:ascii="Calibri" w:hAnsi="Calibri" w:cs="Calibri"/>
              </w:rPr>
              <w:t xml:space="preserve">Statement accompanies </w:t>
            </w:r>
            <w:r w:rsidR="00A4497B">
              <w:t>the submission of a retrospective Full Planning Application for “use as a self-storage facility (Use Class B8 Storage and Distribution) together with the siting of shipping containers and associated infrastructure” at Sloper Road, Cardiff.</w:t>
            </w:r>
          </w:p>
          <w:p w14:paraId="3D876469" w14:textId="27003176" w:rsidR="00552922" w:rsidRDefault="00552922" w:rsidP="00552922"/>
        </w:tc>
      </w:tr>
      <w:tr w:rsidR="007C039B" w14:paraId="0D015DB1" w14:textId="77777777" w:rsidTr="00955146">
        <w:tc>
          <w:tcPr>
            <w:tcW w:w="1580" w:type="dxa"/>
            <w:shd w:val="clear" w:color="auto" w:fill="70AD47" w:themeFill="accent6"/>
          </w:tcPr>
          <w:p w14:paraId="37D88123" w14:textId="52EECF82" w:rsidR="007C039B" w:rsidRDefault="002F05DA" w:rsidP="000B4D2B">
            <w:pPr>
              <w:rPr>
                <w:color w:val="FFFFFF" w:themeColor="background1"/>
              </w:rPr>
            </w:pPr>
            <w:r>
              <w:rPr>
                <w:color w:val="FFFFFF" w:themeColor="background1"/>
              </w:rPr>
              <w:t>Context</w:t>
            </w:r>
          </w:p>
          <w:p w14:paraId="0B9F66E1" w14:textId="77777777" w:rsidR="005F3E4D" w:rsidRDefault="005F3E4D" w:rsidP="000B4D2B">
            <w:pPr>
              <w:rPr>
                <w:color w:val="FFFFFF" w:themeColor="background1"/>
              </w:rPr>
            </w:pPr>
          </w:p>
          <w:p w14:paraId="4790E16B" w14:textId="77777777" w:rsidR="005F3E4D" w:rsidRDefault="005F3E4D" w:rsidP="000B4D2B">
            <w:pPr>
              <w:rPr>
                <w:color w:val="FFFFFF" w:themeColor="background1"/>
              </w:rPr>
            </w:pPr>
          </w:p>
          <w:p w14:paraId="323FEA59" w14:textId="7CA3580B" w:rsidR="005F3E4D" w:rsidRPr="00F23C06" w:rsidRDefault="005F3E4D" w:rsidP="000B4D2B">
            <w:pPr>
              <w:rPr>
                <w:color w:val="FFFFFF" w:themeColor="background1"/>
              </w:rPr>
            </w:pPr>
          </w:p>
        </w:tc>
        <w:tc>
          <w:tcPr>
            <w:tcW w:w="8905" w:type="dxa"/>
          </w:tcPr>
          <w:p w14:paraId="4949E2B4" w14:textId="349F8D0A" w:rsidR="008917B6" w:rsidRDefault="008917B6" w:rsidP="00785E0F">
            <w:pPr>
              <w:jc w:val="both"/>
            </w:pPr>
            <w:r>
              <w:t xml:space="preserve">Green Infrastructure Statement </w:t>
            </w:r>
            <w:r w:rsidR="00785E0F">
              <w:t xml:space="preserve">are required to </w:t>
            </w:r>
            <w:r>
              <w:t>be submitted with all applications</w:t>
            </w:r>
            <w:r w:rsidR="00785E0F">
              <w:t xml:space="preserve"> for planning permission in Wales</w:t>
            </w:r>
            <w:r>
              <w:t xml:space="preserve">. The statement </w:t>
            </w:r>
            <w:r w:rsidR="00785E0F">
              <w:t>should</w:t>
            </w:r>
            <w:r>
              <w:t xml:space="preserve"> be proportionate to the scale and nature of the development proposed and </w:t>
            </w:r>
            <w:r w:rsidR="00785E0F">
              <w:t xml:space="preserve">should </w:t>
            </w:r>
            <w:r>
              <w:t>describe how green infrastructure has been incorporated into the proposal.</w:t>
            </w:r>
          </w:p>
          <w:p w14:paraId="4D4226E6" w14:textId="77777777" w:rsidR="005A5E48" w:rsidRDefault="005A5E48" w:rsidP="00785E0F">
            <w:pPr>
              <w:jc w:val="both"/>
            </w:pPr>
          </w:p>
          <w:p w14:paraId="5C7DDE46" w14:textId="29E65303" w:rsidR="005A5E48" w:rsidRDefault="005A5E48" w:rsidP="00785E0F">
            <w:pPr>
              <w:jc w:val="both"/>
            </w:pPr>
            <w:r>
              <w:t>This Green Infrastructure Statement should be read in conjunction with the Planning Statement</w:t>
            </w:r>
            <w:r w:rsidR="00A82D29">
              <w:t>, Design and Access Statement</w:t>
            </w:r>
            <w:r>
              <w:t xml:space="preserve"> and architectural plans. </w:t>
            </w:r>
          </w:p>
          <w:p w14:paraId="590E19D1" w14:textId="58A1D00A" w:rsidR="007C039B" w:rsidRPr="001E2BA1" w:rsidRDefault="007C039B" w:rsidP="00785E0F">
            <w:pPr>
              <w:jc w:val="both"/>
            </w:pPr>
          </w:p>
        </w:tc>
      </w:tr>
      <w:tr w:rsidR="000D5576" w14:paraId="237D5201" w14:textId="77777777" w:rsidTr="00FA1733">
        <w:tc>
          <w:tcPr>
            <w:tcW w:w="10485" w:type="dxa"/>
            <w:gridSpan w:val="2"/>
            <w:shd w:val="clear" w:color="auto" w:fill="70AD47" w:themeFill="accent6"/>
          </w:tcPr>
          <w:p w14:paraId="13F68D29" w14:textId="77777777" w:rsidR="000D5576" w:rsidRPr="00F543DF" w:rsidRDefault="000D5576" w:rsidP="000B4D2B">
            <w:pPr>
              <w:rPr>
                <w:b/>
                <w:color w:val="FFFFFF" w:themeColor="background1"/>
                <w:sz w:val="24"/>
                <w:szCs w:val="24"/>
              </w:rPr>
            </w:pPr>
            <w:r w:rsidRPr="00F543DF">
              <w:rPr>
                <w:b/>
                <w:color w:val="FFFFFF" w:themeColor="background1"/>
                <w:sz w:val="24"/>
                <w:szCs w:val="24"/>
              </w:rPr>
              <w:t>Site Details</w:t>
            </w:r>
          </w:p>
          <w:p w14:paraId="749216B0" w14:textId="77777777" w:rsidR="000D5576" w:rsidRDefault="000D5576" w:rsidP="000B4D2B">
            <w:pPr>
              <w:rPr>
                <w:b/>
                <w:sz w:val="24"/>
                <w:szCs w:val="24"/>
                <w:u w:val="single"/>
              </w:rPr>
            </w:pPr>
          </w:p>
        </w:tc>
      </w:tr>
      <w:tr w:rsidR="000D5576" w14:paraId="1292AC84" w14:textId="77777777" w:rsidTr="00955146">
        <w:tc>
          <w:tcPr>
            <w:tcW w:w="1580" w:type="dxa"/>
            <w:shd w:val="clear" w:color="auto" w:fill="70AD47" w:themeFill="accent6"/>
          </w:tcPr>
          <w:p w14:paraId="19BFB1C7" w14:textId="77777777" w:rsidR="000D5576" w:rsidRDefault="000D5576" w:rsidP="000B4D2B">
            <w:r w:rsidRPr="00F23C06">
              <w:rPr>
                <w:color w:val="FFFFFF" w:themeColor="background1"/>
              </w:rPr>
              <w:t>Site Address</w:t>
            </w:r>
          </w:p>
        </w:tc>
        <w:tc>
          <w:tcPr>
            <w:tcW w:w="8905" w:type="dxa"/>
          </w:tcPr>
          <w:p w14:paraId="699A6BE5" w14:textId="11DFA7C7" w:rsidR="00AC1506" w:rsidRPr="00AC1506" w:rsidRDefault="00BC202F" w:rsidP="00AC1506">
            <w:pPr>
              <w:ind w:left="2880" w:hanging="2880"/>
              <w:rPr>
                <w:rFonts w:cs="Arial"/>
                <w:bCs/>
              </w:rPr>
            </w:pPr>
            <w:r>
              <w:rPr>
                <w:rFonts w:cs="Arial"/>
                <w:bCs/>
              </w:rPr>
              <w:t>Sloper Road, Cardiff, CF11 8AB</w:t>
            </w:r>
          </w:p>
          <w:p w14:paraId="18D3DB59" w14:textId="14890A64" w:rsidR="000D5576" w:rsidRDefault="000D5576" w:rsidP="000B4D2B"/>
        </w:tc>
      </w:tr>
      <w:tr w:rsidR="000D5576" w14:paraId="040F0CE9" w14:textId="77777777" w:rsidTr="00955146">
        <w:tc>
          <w:tcPr>
            <w:tcW w:w="1580" w:type="dxa"/>
            <w:shd w:val="clear" w:color="auto" w:fill="70AD47" w:themeFill="accent6"/>
          </w:tcPr>
          <w:p w14:paraId="1FF10CDC" w14:textId="4692DA26" w:rsidR="000D5576" w:rsidRDefault="004B2E51" w:rsidP="000B4D2B">
            <w:r>
              <w:rPr>
                <w:color w:val="FFFFFF" w:themeColor="background1"/>
              </w:rPr>
              <w:t xml:space="preserve">Site </w:t>
            </w:r>
            <w:r w:rsidR="000D5576" w:rsidRPr="00F23C06">
              <w:rPr>
                <w:color w:val="FFFFFF" w:themeColor="background1"/>
              </w:rPr>
              <w:t>Location</w:t>
            </w:r>
          </w:p>
        </w:tc>
        <w:tc>
          <w:tcPr>
            <w:tcW w:w="8905" w:type="dxa"/>
          </w:tcPr>
          <w:p w14:paraId="7D8723A4" w14:textId="0CC77644" w:rsidR="000D5576" w:rsidRDefault="000D5576" w:rsidP="000B4D2B">
            <w:pPr>
              <w:rPr>
                <w:i/>
                <w:noProof/>
                <w:sz w:val="20"/>
                <w:szCs w:val="20"/>
              </w:rPr>
            </w:pPr>
            <w:r w:rsidRPr="00114F21">
              <w:rPr>
                <w:i/>
                <w:noProof/>
                <w:sz w:val="20"/>
                <w:szCs w:val="20"/>
              </w:rPr>
              <w:t xml:space="preserve">Fig.1 </w:t>
            </w:r>
            <w:r w:rsidR="006A6136">
              <w:rPr>
                <w:i/>
                <w:noProof/>
                <w:sz w:val="20"/>
                <w:szCs w:val="20"/>
              </w:rPr>
              <w:t>Site Location Plan</w:t>
            </w:r>
          </w:p>
          <w:p w14:paraId="4C70ABCF" w14:textId="77777777" w:rsidR="0040399C" w:rsidRDefault="0040399C" w:rsidP="000B4D2B"/>
          <w:p w14:paraId="317EB511" w14:textId="768ABD85" w:rsidR="000D5576" w:rsidRDefault="00BC202F" w:rsidP="000B4D2B">
            <w:r w:rsidRPr="00BC202F">
              <w:rPr>
                <w:noProof/>
              </w:rPr>
              <w:drawing>
                <wp:inline distT="0" distB="0" distL="0" distR="0" wp14:anchorId="43959379" wp14:editId="0AC03C97">
                  <wp:extent cx="3919993" cy="2639833"/>
                  <wp:effectExtent l="0" t="0" r="4445" b="8255"/>
                  <wp:docPr id="3059479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947918" name=""/>
                          <pic:cNvPicPr/>
                        </pic:nvPicPr>
                        <pic:blipFill rotWithShape="1">
                          <a:blip r:embed="rId9"/>
                          <a:srcRect r="8572" b="15515"/>
                          <a:stretch/>
                        </pic:blipFill>
                        <pic:spPr bwMode="auto">
                          <a:xfrm>
                            <a:off x="0" y="0"/>
                            <a:ext cx="3946660" cy="2657791"/>
                          </a:xfrm>
                          <a:prstGeom prst="rect">
                            <a:avLst/>
                          </a:prstGeom>
                          <a:ln>
                            <a:noFill/>
                          </a:ln>
                          <a:extLst>
                            <a:ext uri="{53640926-AAD7-44D8-BBD7-CCE9431645EC}">
                              <a14:shadowObscured xmlns:a14="http://schemas.microsoft.com/office/drawing/2010/main"/>
                            </a:ext>
                          </a:extLst>
                        </pic:spPr>
                      </pic:pic>
                    </a:graphicData>
                  </a:graphic>
                </wp:inline>
              </w:drawing>
            </w:r>
          </w:p>
          <w:p w14:paraId="7E1B9AD0" w14:textId="0DCAC296" w:rsidR="006A6136" w:rsidRDefault="006A6136" w:rsidP="000B4D2B"/>
        </w:tc>
      </w:tr>
      <w:tr w:rsidR="000D5576" w14:paraId="23CF5440" w14:textId="77777777" w:rsidTr="00955146">
        <w:tc>
          <w:tcPr>
            <w:tcW w:w="1580" w:type="dxa"/>
            <w:shd w:val="clear" w:color="auto" w:fill="70AD47" w:themeFill="accent6"/>
          </w:tcPr>
          <w:p w14:paraId="506EF71F" w14:textId="77777777" w:rsidR="000D5576" w:rsidRPr="00F23C06" w:rsidRDefault="000D5576" w:rsidP="0049031A">
            <w:pPr>
              <w:jc w:val="both"/>
              <w:rPr>
                <w:color w:val="FFFFFF" w:themeColor="background1"/>
              </w:rPr>
            </w:pPr>
            <w:r w:rsidRPr="00F23C06">
              <w:rPr>
                <w:color w:val="FFFFFF" w:themeColor="background1"/>
              </w:rPr>
              <w:t>Site Description</w:t>
            </w:r>
          </w:p>
          <w:p w14:paraId="4C0B4E1B" w14:textId="77777777" w:rsidR="000D5576" w:rsidRDefault="000D5576" w:rsidP="0049031A">
            <w:pPr>
              <w:jc w:val="both"/>
            </w:pPr>
          </w:p>
        </w:tc>
        <w:tc>
          <w:tcPr>
            <w:tcW w:w="8905" w:type="dxa"/>
          </w:tcPr>
          <w:p w14:paraId="3824A907" w14:textId="19FE5115" w:rsidR="006A3633" w:rsidRDefault="006D57B4" w:rsidP="00B64D06">
            <w:pPr>
              <w:jc w:val="both"/>
            </w:pPr>
            <w:r w:rsidRPr="006D57B4">
              <w:t xml:space="preserve">The Pink Storage Facility (the ‘Site’) is broadly square in shape and </w:t>
            </w:r>
            <w:proofErr w:type="gramStart"/>
            <w:r w:rsidRPr="006D57B4">
              <w:t>is located in</w:t>
            </w:r>
            <w:proofErr w:type="gramEnd"/>
            <w:r w:rsidRPr="006D57B4">
              <w:t xml:space="preserve"> a mixed-use residential and industrial area. The Site was previously used for bus and coach storage associated with Cardiff Bus and Coach Station, which is located on Sloper Road within </w:t>
            </w:r>
            <w:proofErr w:type="gramStart"/>
            <w:r w:rsidRPr="006D57B4">
              <w:t>close proximity</w:t>
            </w:r>
            <w:proofErr w:type="gramEnd"/>
            <w:r w:rsidRPr="006D57B4">
              <w:t xml:space="preserve"> of the Site. With this previous use having ceased in December 2021, the Site is now used as a self-storage with individual shipping containers and associated infrastructure located across majority of the Site. The Site is surfaced in hard standing (primarily tarmacadam), with a pre-existing coach shed located near the front of the site that now houses several storage units. To the northern, southern and western boundaries the Site is enclosed by palisade fencing. To the east the Site is bound by green wooden fencing, with the entrance restricted by a mesh gate that is operated by a key code.</w:t>
            </w:r>
          </w:p>
          <w:p w14:paraId="3360CE19" w14:textId="769A43CB" w:rsidR="00637AE8" w:rsidRDefault="00564DDD" w:rsidP="001C0FFD">
            <w:pPr>
              <w:jc w:val="both"/>
            </w:pPr>
            <w:r>
              <w:t>Beyond the immediate site boundaries, existing residential properties lie to the east at the, to the west lies the Cardiff City Stadium and industrial and commercial businesses lie to the north and south.</w:t>
            </w:r>
          </w:p>
        </w:tc>
      </w:tr>
      <w:tr w:rsidR="000D5576" w:rsidRPr="00587C62" w14:paraId="76B2A4E7" w14:textId="77777777" w:rsidTr="00FA1733">
        <w:tc>
          <w:tcPr>
            <w:tcW w:w="10485" w:type="dxa"/>
            <w:gridSpan w:val="2"/>
            <w:shd w:val="clear" w:color="auto" w:fill="70AD47" w:themeFill="accent6"/>
          </w:tcPr>
          <w:p w14:paraId="3E2A00AA" w14:textId="00C6A865" w:rsidR="000D5576" w:rsidRPr="00F543DF" w:rsidRDefault="00FE5E4E" w:rsidP="0049031A">
            <w:pPr>
              <w:jc w:val="both"/>
              <w:rPr>
                <w:b/>
                <w:color w:val="FFFFFF" w:themeColor="background1"/>
                <w:sz w:val="24"/>
                <w:szCs w:val="24"/>
              </w:rPr>
            </w:pPr>
            <w:r>
              <w:rPr>
                <w:b/>
                <w:color w:val="FFFFFF" w:themeColor="background1"/>
                <w:sz w:val="24"/>
                <w:szCs w:val="24"/>
              </w:rPr>
              <w:lastRenderedPageBreak/>
              <w:t>National</w:t>
            </w:r>
            <w:r w:rsidR="000D5576" w:rsidRPr="00F543DF">
              <w:rPr>
                <w:b/>
                <w:color w:val="FFFFFF" w:themeColor="background1"/>
                <w:sz w:val="24"/>
                <w:szCs w:val="24"/>
              </w:rPr>
              <w:t xml:space="preserve"> Planning Policy</w:t>
            </w:r>
          </w:p>
          <w:p w14:paraId="6C6841D6" w14:textId="77777777" w:rsidR="000D5576" w:rsidRPr="00587C62" w:rsidRDefault="000D5576" w:rsidP="0049031A">
            <w:pPr>
              <w:jc w:val="both"/>
              <w:rPr>
                <w:sz w:val="24"/>
                <w:szCs w:val="24"/>
              </w:rPr>
            </w:pPr>
          </w:p>
        </w:tc>
      </w:tr>
      <w:tr w:rsidR="00A0212B" w14:paraId="39187318" w14:textId="77777777" w:rsidTr="00955146">
        <w:tc>
          <w:tcPr>
            <w:tcW w:w="1580" w:type="dxa"/>
            <w:shd w:val="clear" w:color="auto" w:fill="70AD47" w:themeFill="accent6"/>
          </w:tcPr>
          <w:p w14:paraId="07663E53" w14:textId="59523710" w:rsidR="00A0212B" w:rsidRDefault="00EF3D3C" w:rsidP="0049031A">
            <w:pPr>
              <w:jc w:val="both"/>
              <w:rPr>
                <w:color w:val="FFFFFF" w:themeColor="background1"/>
              </w:rPr>
            </w:pPr>
            <w:r>
              <w:rPr>
                <w:color w:val="FFFFFF" w:themeColor="background1"/>
              </w:rPr>
              <w:t>Planning Policy Wales (Edition 12</w:t>
            </w:r>
            <w:r w:rsidR="00A86799">
              <w:rPr>
                <w:color w:val="FFFFFF" w:themeColor="background1"/>
              </w:rPr>
              <w:t xml:space="preserve"> 2024)</w:t>
            </w:r>
          </w:p>
        </w:tc>
        <w:tc>
          <w:tcPr>
            <w:tcW w:w="8905" w:type="dxa"/>
          </w:tcPr>
          <w:p w14:paraId="4ECA3981" w14:textId="046879C9" w:rsidR="00EC7AF1" w:rsidRPr="00D127FD" w:rsidRDefault="00D127FD" w:rsidP="0049031A">
            <w:pPr>
              <w:jc w:val="both"/>
              <w:rPr>
                <w:b/>
                <w:bCs/>
              </w:rPr>
            </w:pPr>
            <w:r w:rsidRPr="00D127FD">
              <w:rPr>
                <w:b/>
                <w:bCs/>
              </w:rPr>
              <w:t>Planning Policy Wales (Edition 12) - February 2024</w:t>
            </w:r>
          </w:p>
          <w:p w14:paraId="59E2FF20" w14:textId="77777777" w:rsidR="002F3B9E" w:rsidRDefault="002F3B9E" w:rsidP="0049031A">
            <w:pPr>
              <w:jc w:val="both"/>
            </w:pPr>
          </w:p>
          <w:p w14:paraId="48E3E44E" w14:textId="77777777" w:rsidR="005B0546" w:rsidRDefault="005B0546" w:rsidP="0049031A">
            <w:pPr>
              <w:jc w:val="both"/>
            </w:pPr>
            <w:r>
              <w:t xml:space="preserve">PPW aims to contribute towards the delivery of sustainable development, embedding the principles of the Well-being of Future Generations (Wales) Act 2015. PPW ingrains Placemaking Wales Charter and how sustainable development can be achieved through implementing placemaking. </w:t>
            </w:r>
          </w:p>
          <w:p w14:paraId="305F37A1" w14:textId="77777777" w:rsidR="005B0546" w:rsidRDefault="005B0546" w:rsidP="0049031A">
            <w:pPr>
              <w:jc w:val="both"/>
            </w:pPr>
          </w:p>
          <w:p w14:paraId="6807805B" w14:textId="69BA6FC8" w:rsidR="00D127FD" w:rsidRDefault="005B0546" w:rsidP="0049031A">
            <w:pPr>
              <w:jc w:val="both"/>
            </w:pPr>
            <w:r>
              <w:t>Section 6.2 sets out green infrastructure should be given early consideration in development proposals and how it should be integrated into developments.</w:t>
            </w:r>
          </w:p>
          <w:p w14:paraId="4288DA21" w14:textId="77777777" w:rsidR="005B0546" w:rsidRDefault="005B0546" w:rsidP="0049031A">
            <w:pPr>
              <w:jc w:val="both"/>
            </w:pPr>
          </w:p>
          <w:p w14:paraId="551E761B" w14:textId="77777777" w:rsidR="008A5F03" w:rsidRDefault="005D67D6" w:rsidP="0049031A">
            <w:pPr>
              <w:jc w:val="both"/>
            </w:pPr>
            <w:r>
              <w:t>“</w:t>
            </w:r>
            <w:proofErr w:type="gramStart"/>
            <w:r>
              <w:t>the</w:t>
            </w:r>
            <w:proofErr w:type="gramEnd"/>
            <w:r>
              <w:t xml:space="preserve"> network of natural and semi</w:t>
            </w:r>
            <w:r>
              <w:noBreakHyphen/>
              <w:t>natural features, green spaces, rivers and lakes that intersperse and connect places. Component elements of green infrastructure can function at different scales and some components, such as trees and woodland, are often universally present and function at all levels. At the landscape scale green infrastructure can comprise entire ecosystems such as wetlands, waterways, peatlands and mountain ranges or be connected networks of mosaic habitats, including grasslands.</w:t>
            </w:r>
            <w:r w:rsidR="008A5F03">
              <w:t>”</w:t>
            </w:r>
          </w:p>
          <w:p w14:paraId="5054F1B2" w14:textId="77777777" w:rsidR="008A5F03" w:rsidRDefault="008A5F03" w:rsidP="0049031A">
            <w:pPr>
              <w:jc w:val="both"/>
            </w:pPr>
          </w:p>
          <w:p w14:paraId="01839BAF" w14:textId="69C57725" w:rsidR="005B0546" w:rsidRDefault="008A5F03" w:rsidP="0049031A">
            <w:pPr>
              <w:jc w:val="both"/>
            </w:pPr>
            <w:r>
              <w:t>“</w:t>
            </w:r>
            <w:r w:rsidR="005D67D6">
              <w:t>At a local scale, it might comprise parks, fields, ponds, natural green spaces, public rights of way, allotments, cemeteries and gardens or may be designed or managed features such as sustainable drainage systems. At smaller scales, individual urban interventions such as street trees, hedgerows, roadside verges, and green roofs/walls can all contribute to green infrastructure networks”</w:t>
            </w:r>
          </w:p>
          <w:p w14:paraId="3C713379" w14:textId="77777777" w:rsidR="005D67D6" w:rsidRDefault="005D67D6" w:rsidP="0049031A">
            <w:pPr>
              <w:jc w:val="both"/>
            </w:pPr>
          </w:p>
          <w:p w14:paraId="49547F9E" w14:textId="77777777" w:rsidR="005D67D6" w:rsidRDefault="005D67D6" w:rsidP="0049031A">
            <w:pPr>
              <w:jc w:val="both"/>
            </w:pPr>
            <w:r>
              <w:t xml:space="preserve">Within 6.2.11 it goes on to state that the “quality of the built environment should be enhanced by integrating green infrastructure into development” and the Green Infrastructure Statement will be “an effective way of demonstrating positive multi-functional outcomes which are appropriate for the site in question and must be used for demonstrating how the </w:t>
            </w:r>
            <w:proofErr w:type="gramStart"/>
            <w:r>
              <w:t>step-wise</w:t>
            </w:r>
            <w:proofErr w:type="gramEnd"/>
            <w:r>
              <w:t xml:space="preserve"> approach has been applied” </w:t>
            </w:r>
          </w:p>
          <w:p w14:paraId="19CD5458" w14:textId="77777777" w:rsidR="005D67D6" w:rsidRDefault="005D67D6" w:rsidP="0049031A">
            <w:pPr>
              <w:jc w:val="both"/>
            </w:pPr>
          </w:p>
          <w:p w14:paraId="20B2BAC1" w14:textId="49B0AC43" w:rsidR="005D67D6" w:rsidRDefault="005D67D6" w:rsidP="0049031A">
            <w:pPr>
              <w:jc w:val="both"/>
            </w:pPr>
            <w:r>
              <w:t xml:space="preserve">This series of updated policy has a stronger emphasis on taking a proactive approach to green infrastructure and references the Building with Nature Standards - Delivering High Quality Green Infrastructure in Wales as an example of good practice to ensure that appropriate considerations have been </w:t>
            </w:r>
            <w:proofErr w:type="gramStart"/>
            <w:r>
              <w:t>taken into account</w:t>
            </w:r>
            <w:proofErr w:type="gramEnd"/>
            <w:r>
              <w:t>.</w:t>
            </w:r>
          </w:p>
          <w:p w14:paraId="50F3AC44" w14:textId="77777777" w:rsidR="005D67D6" w:rsidRDefault="005D67D6" w:rsidP="0049031A">
            <w:pPr>
              <w:jc w:val="both"/>
            </w:pPr>
          </w:p>
          <w:p w14:paraId="31C3C91F" w14:textId="2F47D35A" w:rsidR="007E3765" w:rsidRDefault="006F57BD" w:rsidP="0049031A">
            <w:pPr>
              <w:jc w:val="both"/>
            </w:pPr>
            <w:r>
              <w:t xml:space="preserve">The green infrastructure statement should be an effective way of demonstrating positive multi-functional outcomes which are appropriate to the site in question and must be used for demonstrating how the </w:t>
            </w:r>
            <w:proofErr w:type="gramStart"/>
            <w:r>
              <w:t>step-wise</w:t>
            </w:r>
            <w:proofErr w:type="gramEnd"/>
            <w:r>
              <w:t xml:space="preserve"> approach (Paragraph 6.4.15 of Planning Policy Wales) has been applied. This is the means of demonstrating the steps which have been taken towards securing a net benefit for biodiversity. </w:t>
            </w:r>
          </w:p>
          <w:p w14:paraId="376FB29F" w14:textId="77777777" w:rsidR="007E3765" w:rsidRDefault="007E3765" w:rsidP="0049031A">
            <w:pPr>
              <w:jc w:val="both"/>
            </w:pPr>
          </w:p>
          <w:p w14:paraId="53243C7A" w14:textId="77777777" w:rsidR="007E3765" w:rsidRDefault="007E3765" w:rsidP="0049031A">
            <w:pPr>
              <w:jc w:val="both"/>
            </w:pPr>
            <w:r>
              <w:t>The Step Wise approach has been summarised below:</w:t>
            </w:r>
          </w:p>
          <w:p w14:paraId="2FDAB9B8" w14:textId="77777777" w:rsidR="003408CE" w:rsidRDefault="003408CE" w:rsidP="0049031A">
            <w:pPr>
              <w:jc w:val="both"/>
            </w:pPr>
          </w:p>
          <w:p w14:paraId="3030EF6F" w14:textId="77777777" w:rsidR="007E3765" w:rsidRDefault="007E3765" w:rsidP="0049031A">
            <w:pPr>
              <w:pStyle w:val="ListParagraph"/>
              <w:numPr>
                <w:ilvl w:val="0"/>
                <w:numId w:val="21"/>
              </w:numPr>
              <w:jc w:val="both"/>
            </w:pPr>
            <w:r>
              <w:t xml:space="preserve">Avoid </w:t>
            </w:r>
          </w:p>
          <w:p w14:paraId="605E4A5E" w14:textId="77777777" w:rsidR="007E3765" w:rsidRDefault="007E3765" w:rsidP="0049031A">
            <w:pPr>
              <w:pStyle w:val="ListParagraph"/>
              <w:numPr>
                <w:ilvl w:val="0"/>
                <w:numId w:val="21"/>
              </w:numPr>
              <w:jc w:val="both"/>
            </w:pPr>
            <w:r>
              <w:t xml:space="preserve">Minimise </w:t>
            </w:r>
          </w:p>
          <w:p w14:paraId="1C57D836" w14:textId="77777777" w:rsidR="007E3765" w:rsidRDefault="007E3765" w:rsidP="0049031A">
            <w:pPr>
              <w:pStyle w:val="ListParagraph"/>
              <w:numPr>
                <w:ilvl w:val="0"/>
                <w:numId w:val="21"/>
              </w:numPr>
              <w:jc w:val="both"/>
            </w:pPr>
            <w:r>
              <w:t xml:space="preserve">Mitigate/Restore </w:t>
            </w:r>
          </w:p>
          <w:p w14:paraId="710E3DD8" w14:textId="77777777" w:rsidR="007E3765" w:rsidRDefault="007E3765" w:rsidP="0049031A">
            <w:pPr>
              <w:pStyle w:val="ListParagraph"/>
              <w:numPr>
                <w:ilvl w:val="0"/>
                <w:numId w:val="21"/>
              </w:numPr>
              <w:jc w:val="both"/>
            </w:pPr>
            <w:r>
              <w:t>Compensate</w:t>
            </w:r>
          </w:p>
          <w:p w14:paraId="4EC27C66" w14:textId="77777777" w:rsidR="007E3765" w:rsidRDefault="007E3765" w:rsidP="0049031A">
            <w:pPr>
              <w:jc w:val="both"/>
            </w:pPr>
          </w:p>
          <w:p w14:paraId="15089275" w14:textId="0AB31A87" w:rsidR="007E3765" w:rsidRPr="007E3765" w:rsidRDefault="005E149D" w:rsidP="0049031A">
            <w:pPr>
              <w:jc w:val="both"/>
              <w:rPr>
                <w:i/>
                <w:iCs/>
                <w:sz w:val="20"/>
                <w:szCs w:val="20"/>
              </w:rPr>
            </w:pPr>
            <w:r w:rsidRPr="008A5F03">
              <w:rPr>
                <w:noProof/>
              </w:rPr>
              <w:lastRenderedPageBreak/>
              <w:drawing>
                <wp:anchor distT="0" distB="0" distL="114300" distR="114300" simplePos="0" relativeHeight="251661312" behindDoc="0" locked="0" layoutInCell="1" allowOverlap="1" wp14:anchorId="50559805" wp14:editId="735B7BF4">
                  <wp:simplePos x="0" y="0"/>
                  <wp:positionH relativeFrom="column">
                    <wp:posOffset>34290</wp:posOffset>
                  </wp:positionH>
                  <wp:positionV relativeFrom="paragraph">
                    <wp:posOffset>279400</wp:posOffset>
                  </wp:positionV>
                  <wp:extent cx="5150115" cy="2806844"/>
                  <wp:effectExtent l="0" t="0" r="0" b="0"/>
                  <wp:wrapTopAndBottom/>
                  <wp:docPr id="1454574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57448" name=""/>
                          <pic:cNvPicPr/>
                        </pic:nvPicPr>
                        <pic:blipFill>
                          <a:blip r:embed="rId10">
                            <a:extLst>
                              <a:ext uri="{28A0092B-C50C-407E-A947-70E740481C1C}">
                                <a14:useLocalDpi xmlns:a14="http://schemas.microsoft.com/office/drawing/2010/main" val="0"/>
                              </a:ext>
                            </a:extLst>
                          </a:blip>
                          <a:stretch>
                            <a:fillRect/>
                          </a:stretch>
                        </pic:blipFill>
                        <pic:spPr>
                          <a:xfrm>
                            <a:off x="0" y="0"/>
                            <a:ext cx="5150115" cy="2806844"/>
                          </a:xfrm>
                          <a:prstGeom prst="rect">
                            <a:avLst/>
                          </a:prstGeom>
                        </pic:spPr>
                      </pic:pic>
                    </a:graphicData>
                  </a:graphic>
                </wp:anchor>
              </w:drawing>
            </w:r>
            <w:r w:rsidR="007E3765" w:rsidRPr="007E3765">
              <w:rPr>
                <w:i/>
                <w:iCs/>
                <w:sz w:val="20"/>
                <w:szCs w:val="20"/>
              </w:rPr>
              <w:t xml:space="preserve">Fig.2 </w:t>
            </w:r>
            <w:r w:rsidRPr="005E149D">
              <w:rPr>
                <w:i/>
                <w:iCs/>
                <w:sz w:val="20"/>
                <w:szCs w:val="20"/>
              </w:rPr>
              <w:t>Summary of the Step Wise Approach - Planning Policy Wales Edition 12, Page 148</w:t>
            </w:r>
          </w:p>
          <w:p w14:paraId="3601F706" w14:textId="6E59EBAC" w:rsidR="008A5F03" w:rsidRDefault="008A5F03" w:rsidP="0049031A">
            <w:pPr>
              <w:jc w:val="both"/>
            </w:pPr>
          </w:p>
          <w:p w14:paraId="31314AD9" w14:textId="77777777" w:rsidR="00FC24C1" w:rsidRPr="003408CE" w:rsidRDefault="00FC24C1" w:rsidP="0049031A">
            <w:pPr>
              <w:jc w:val="both"/>
              <w:rPr>
                <w:u w:val="single"/>
              </w:rPr>
            </w:pPr>
            <w:r w:rsidRPr="003408CE">
              <w:rPr>
                <w:u w:val="single"/>
              </w:rPr>
              <w:t xml:space="preserve">Avoid </w:t>
            </w:r>
          </w:p>
          <w:p w14:paraId="02C18657" w14:textId="274E966C" w:rsidR="00FC24C1" w:rsidRDefault="00FC24C1" w:rsidP="0049031A">
            <w:pPr>
              <w:jc w:val="both"/>
            </w:pPr>
            <w:r>
              <w:t xml:space="preserve">Aim to maintain biodiversity by avoiding loss or damage to biodiversity (i.e. the variety of species and their abundance). Consider whether the development is really needed, whether it could be located elsewhere, sited or designed differently, or incorporate or be replaced in part by a </w:t>
            </w:r>
            <w:r w:rsidR="00E32467">
              <w:t>nature-based</w:t>
            </w:r>
            <w:r>
              <w:t xml:space="preserve"> solution. </w:t>
            </w:r>
          </w:p>
          <w:p w14:paraId="4B885D16" w14:textId="77777777" w:rsidR="00FC24C1" w:rsidRDefault="00FC24C1" w:rsidP="0049031A">
            <w:pPr>
              <w:jc w:val="both"/>
            </w:pPr>
          </w:p>
          <w:p w14:paraId="6E80A873" w14:textId="77777777" w:rsidR="00FC24C1" w:rsidRPr="003408CE" w:rsidRDefault="00FC24C1" w:rsidP="0049031A">
            <w:pPr>
              <w:jc w:val="both"/>
              <w:rPr>
                <w:u w:val="single"/>
              </w:rPr>
            </w:pPr>
            <w:r w:rsidRPr="003408CE">
              <w:rPr>
                <w:u w:val="single"/>
              </w:rPr>
              <w:t xml:space="preserve">Minimise </w:t>
            </w:r>
          </w:p>
          <w:p w14:paraId="55E3BA49" w14:textId="77777777" w:rsidR="00B437BF" w:rsidRDefault="00FC24C1" w:rsidP="0049031A">
            <w:pPr>
              <w:jc w:val="both"/>
            </w:pPr>
            <w:r>
              <w:t xml:space="preserve">When all options for avoiding loss or damage to biodiversity have been exhausted, development should seek to minimise the initial impact on biodiversity and ecosystems on the site by: </w:t>
            </w:r>
          </w:p>
          <w:p w14:paraId="1D6FCD4F" w14:textId="77777777" w:rsidR="00384249" w:rsidRDefault="00384249" w:rsidP="0049031A">
            <w:pPr>
              <w:jc w:val="both"/>
            </w:pPr>
          </w:p>
          <w:p w14:paraId="53B4263E" w14:textId="621ADF8E" w:rsidR="00B437BF" w:rsidRDefault="00FC24C1" w:rsidP="0049031A">
            <w:pPr>
              <w:pStyle w:val="ListParagraph"/>
              <w:numPr>
                <w:ilvl w:val="0"/>
                <w:numId w:val="26"/>
              </w:numPr>
              <w:jc w:val="both"/>
            </w:pPr>
            <w:r>
              <w:t xml:space="preserve">maintaining the largest possible area of existing habitat supporting biodiversity and functioning ecosystems </w:t>
            </w:r>
          </w:p>
          <w:p w14:paraId="52087CE6" w14:textId="022DA2C5" w:rsidR="00B437BF" w:rsidRDefault="00FC24C1" w:rsidP="0049031A">
            <w:pPr>
              <w:pStyle w:val="ListParagraph"/>
              <w:numPr>
                <w:ilvl w:val="0"/>
                <w:numId w:val="26"/>
              </w:numPr>
              <w:jc w:val="both"/>
            </w:pPr>
            <w:r>
              <w:t xml:space="preserve">retaining existing features (e.g. trees, hedgerows, ponds), and </w:t>
            </w:r>
          </w:p>
          <w:p w14:paraId="7C4E8EB2" w14:textId="56EF163F" w:rsidR="00D127FD" w:rsidRDefault="00FC24C1" w:rsidP="0049031A">
            <w:pPr>
              <w:pStyle w:val="ListParagraph"/>
              <w:numPr>
                <w:ilvl w:val="0"/>
                <w:numId w:val="26"/>
              </w:numPr>
              <w:jc w:val="both"/>
            </w:pPr>
            <w:r>
              <w:t>using innovative solutions to avoid damage and maintain existing biodiversity features and ecosystems.</w:t>
            </w:r>
          </w:p>
          <w:p w14:paraId="293E8E46" w14:textId="77777777" w:rsidR="003408CE" w:rsidRDefault="003408CE" w:rsidP="0049031A">
            <w:pPr>
              <w:jc w:val="both"/>
            </w:pPr>
          </w:p>
          <w:p w14:paraId="1AC38FDB" w14:textId="77777777" w:rsidR="003408CE" w:rsidRPr="00C237C0" w:rsidRDefault="003408CE" w:rsidP="0049031A">
            <w:pPr>
              <w:jc w:val="both"/>
              <w:rPr>
                <w:u w:val="single"/>
              </w:rPr>
            </w:pPr>
            <w:r w:rsidRPr="00C237C0">
              <w:rPr>
                <w:u w:val="single"/>
              </w:rPr>
              <w:t xml:space="preserve">Mitigate </w:t>
            </w:r>
          </w:p>
          <w:p w14:paraId="5B963200" w14:textId="77777777" w:rsidR="00B437BF" w:rsidRDefault="003408CE" w:rsidP="0049031A">
            <w:pPr>
              <w:jc w:val="both"/>
            </w:pPr>
            <w:r>
              <w:t xml:space="preserve">Where after measures to minimise impact, biodiversity and ecosystems could still be damaged, the proposed development should aim to mitigate that damage - ‘like for like’ in the case of priority habitats and species and in every case seek to build ecosystem resilience within the site and where possible the wider area. </w:t>
            </w:r>
          </w:p>
          <w:p w14:paraId="747FD743" w14:textId="77777777" w:rsidR="00B437BF" w:rsidRDefault="00B437BF" w:rsidP="0049031A">
            <w:pPr>
              <w:jc w:val="both"/>
            </w:pPr>
          </w:p>
          <w:p w14:paraId="6B0ADD46" w14:textId="4296CEFF" w:rsidR="003408CE" w:rsidRDefault="003408CE" w:rsidP="0049031A">
            <w:pPr>
              <w:jc w:val="both"/>
            </w:pPr>
            <w:r>
              <w:t xml:space="preserve">Having mitigated loss, a scheme of enhancements should be provided to ensure a net benefit for biodiversity. These could include on-site habitat creation and/or could be part of the development itself using biodiverse </w:t>
            </w:r>
            <w:r w:rsidR="007D54F8">
              <w:t>nature-based</w:t>
            </w:r>
            <w:r>
              <w:t xml:space="preserve"> solutions such as SUDS, green roofs, woodland expansion, and wetland creation. Improving ecosystem resilience through the DECCA attributes, particularly improving connectivity to the immediate surroundings would be a key contribution to on-site mitigation and enhancement.</w:t>
            </w:r>
          </w:p>
          <w:p w14:paraId="0CB78321" w14:textId="77777777" w:rsidR="00D127FD" w:rsidRDefault="00D127FD" w:rsidP="0049031A">
            <w:pPr>
              <w:jc w:val="both"/>
            </w:pPr>
          </w:p>
          <w:p w14:paraId="23B1A703" w14:textId="77777777" w:rsidR="003408CE" w:rsidRPr="00C237C0" w:rsidRDefault="003408CE" w:rsidP="0049031A">
            <w:pPr>
              <w:jc w:val="both"/>
              <w:rPr>
                <w:u w:val="single"/>
              </w:rPr>
            </w:pPr>
            <w:r w:rsidRPr="00C237C0">
              <w:rPr>
                <w:u w:val="single"/>
              </w:rPr>
              <w:t xml:space="preserve">Compensate </w:t>
            </w:r>
          </w:p>
          <w:p w14:paraId="186F1FCD" w14:textId="1F6B51BB" w:rsidR="00B437BF" w:rsidRDefault="003408CE" w:rsidP="0049031A">
            <w:pPr>
              <w:jc w:val="both"/>
            </w:pPr>
            <w:r>
              <w:t xml:space="preserve">When all other options have been exhausted, and where modifications, alternative sites, conditions or obligations are not sufficient to secure biodiversity outcomes, off site compensation </w:t>
            </w:r>
            <w:r>
              <w:lastRenderedPageBreak/>
              <w:t xml:space="preserve">for unavoidable damage must be sought. Compensation measures should be guided by place-based evidence and the priorities as set out in </w:t>
            </w:r>
            <w:proofErr w:type="spellStart"/>
            <w:r>
              <w:t>SoNaRR</w:t>
            </w:r>
            <w:proofErr w:type="spellEnd"/>
            <w:r>
              <w:t>, the Area Statement and/or Green Infrastructure Assessment and must be secured and established far enough in advance before the loss of biodiversity on site.</w:t>
            </w:r>
          </w:p>
          <w:p w14:paraId="78719971" w14:textId="56B389C6" w:rsidR="00DD4CA5" w:rsidRDefault="00DD4CA5" w:rsidP="0049031A">
            <w:pPr>
              <w:jc w:val="both"/>
            </w:pPr>
          </w:p>
        </w:tc>
      </w:tr>
      <w:tr w:rsidR="00D63846" w14:paraId="636E812E" w14:textId="77777777" w:rsidTr="00955146">
        <w:tc>
          <w:tcPr>
            <w:tcW w:w="1580" w:type="dxa"/>
            <w:shd w:val="clear" w:color="auto" w:fill="70AD47" w:themeFill="accent6"/>
          </w:tcPr>
          <w:p w14:paraId="2673E2BD" w14:textId="77777777" w:rsidR="00D63846" w:rsidRDefault="00EF3D3C" w:rsidP="0049031A">
            <w:pPr>
              <w:jc w:val="both"/>
              <w:rPr>
                <w:color w:val="FFFFFF" w:themeColor="background1"/>
              </w:rPr>
            </w:pPr>
            <w:r>
              <w:rPr>
                <w:color w:val="FFFFFF" w:themeColor="background1"/>
              </w:rPr>
              <w:lastRenderedPageBreak/>
              <w:t>Future Wales: The National Plan</w:t>
            </w:r>
          </w:p>
          <w:p w14:paraId="6E20BFF6" w14:textId="77777777" w:rsidR="00EF3D3C" w:rsidRDefault="00EF3D3C" w:rsidP="0049031A">
            <w:pPr>
              <w:jc w:val="both"/>
              <w:rPr>
                <w:color w:val="FFFFFF" w:themeColor="background1"/>
              </w:rPr>
            </w:pPr>
          </w:p>
          <w:p w14:paraId="57F4BE87" w14:textId="754E484B" w:rsidR="00EF3D3C" w:rsidRDefault="00EF3D3C" w:rsidP="0049031A">
            <w:pPr>
              <w:jc w:val="both"/>
              <w:rPr>
                <w:color w:val="FFFFFF" w:themeColor="background1"/>
              </w:rPr>
            </w:pPr>
          </w:p>
        </w:tc>
        <w:tc>
          <w:tcPr>
            <w:tcW w:w="8905" w:type="dxa"/>
          </w:tcPr>
          <w:p w14:paraId="38A6D0A3" w14:textId="28A5DA6D" w:rsidR="00F96DDC" w:rsidRDefault="000A3175" w:rsidP="0049031A">
            <w:pPr>
              <w:jc w:val="both"/>
              <w:rPr>
                <w:b/>
                <w:bCs/>
              </w:rPr>
            </w:pPr>
            <w:r>
              <w:rPr>
                <w:b/>
                <w:bCs/>
              </w:rPr>
              <w:t>Future Wales – The National Plan</w:t>
            </w:r>
          </w:p>
          <w:p w14:paraId="4AF5E1B5" w14:textId="77777777" w:rsidR="000A3175" w:rsidRDefault="000A3175" w:rsidP="0049031A">
            <w:pPr>
              <w:jc w:val="both"/>
              <w:rPr>
                <w:b/>
                <w:bCs/>
              </w:rPr>
            </w:pPr>
          </w:p>
          <w:p w14:paraId="0DDAFC28" w14:textId="4A221E38" w:rsidR="000A3175" w:rsidRDefault="000A3175" w:rsidP="0049031A">
            <w:pPr>
              <w:jc w:val="both"/>
            </w:pPr>
            <w:r>
              <w:t>The National Plan provides a strategy for addressing key national priorities through the planning system, including achieving climate-resilience, developing strong ecosystems and improving the health and well</w:t>
            </w:r>
            <w:r>
              <w:noBreakHyphen/>
              <w:t xml:space="preserve">being of our communities. It also embeds the principles of the Well-being of Future Generations (Wales) Act 2015. </w:t>
            </w:r>
          </w:p>
          <w:p w14:paraId="5B277C02" w14:textId="77777777" w:rsidR="00D80C58" w:rsidRDefault="00D80C58" w:rsidP="0049031A">
            <w:pPr>
              <w:jc w:val="both"/>
            </w:pPr>
          </w:p>
          <w:p w14:paraId="0FAB8D22" w14:textId="1B2433E0" w:rsidR="00D80C58" w:rsidRPr="00CF7D4D" w:rsidRDefault="00D80C58" w:rsidP="0049031A">
            <w:pPr>
              <w:jc w:val="both"/>
              <w:rPr>
                <w:i/>
                <w:iCs/>
                <w:sz w:val="20"/>
                <w:szCs w:val="20"/>
              </w:rPr>
            </w:pPr>
            <w:r w:rsidRPr="00CF7D4D">
              <w:rPr>
                <w:i/>
                <w:iCs/>
                <w:noProof/>
                <w:sz w:val="20"/>
                <w:szCs w:val="20"/>
              </w:rPr>
              <w:drawing>
                <wp:anchor distT="0" distB="0" distL="114300" distR="114300" simplePos="0" relativeHeight="251662336" behindDoc="0" locked="0" layoutInCell="1" allowOverlap="1" wp14:anchorId="78A5BF41" wp14:editId="36FA3E28">
                  <wp:simplePos x="0" y="0"/>
                  <wp:positionH relativeFrom="column">
                    <wp:posOffset>8890</wp:posOffset>
                  </wp:positionH>
                  <wp:positionV relativeFrom="paragraph">
                    <wp:posOffset>200660</wp:posOffset>
                  </wp:positionV>
                  <wp:extent cx="3244850" cy="2978150"/>
                  <wp:effectExtent l="0" t="0" r="0" b="0"/>
                  <wp:wrapSquare wrapText="bothSides"/>
                  <wp:docPr id="19092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240369" name=""/>
                          <pic:cNvPicPr/>
                        </pic:nvPicPr>
                        <pic:blipFill>
                          <a:blip r:embed="rId11">
                            <a:extLst>
                              <a:ext uri="{28A0092B-C50C-407E-A947-70E740481C1C}">
                                <a14:useLocalDpi xmlns:a14="http://schemas.microsoft.com/office/drawing/2010/main" val="0"/>
                              </a:ext>
                            </a:extLst>
                          </a:blip>
                          <a:stretch>
                            <a:fillRect/>
                          </a:stretch>
                        </pic:blipFill>
                        <pic:spPr>
                          <a:xfrm>
                            <a:off x="0" y="0"/>
                            <a:ext cx="3244850" cy="2978150"/>
                          </a:xfrm>
                          <a:prstGeom prst="rect">
                            <a:avLst/>
                          </a:prstGeom>
                        </pic:spPr>
                      </pic:pic>
                    </a:graphicData>
                  </a:graphic>
                </wp:anchor>
              </w:drawing>
            </w:r>
            <w:r w:rsidRPr="00CF7D4D">
              <w:rPr>
                <w:i/>
                <w:iCs/>
                <w:sz w:val="20"/>
                <w:szCs w:val="20"/>
              </w:rPr>
              <w:t xml:space="preserve">Fig.3 </w:t>
            </w:r>
            <w:r w:rsidR="00CF7D4D" w:rsidRPr="00CF7D4D">
              <w:rPr>
                <w:i/>
                <w:iCs/>
                <w:sz w:val="20"/>
                <w:szCs w:val="20"/>
              </w:rPr>
              <w:t>The seven well-being goals from Well-being of Future Generations (Wales) Act, 2015</w:t>
            </w:r>
          </w:p>
          <w:p w14:paraId="498A3587" w14:textId="77777777" w:rsidR="000A3175" w:rsidRDefault="000A3175" w:rsidP="0049031A">
            <w:pPr>
              <w:jc w:val="both"/>
            </w:pPr>
          </w:p>
          <w:p w14:paraId="34C85286" w14:textId="77777777" w:rsidR="00C81213" w:rsidRDefault="00C81213" w:rsidP="0049031A">
            <w:pPr>
              <w:jc w:val="both"/>
            </w:pPr>
          </w:p>
          <w:p w14:paraId="11BAE899" w14:textId="4D5E46A0" w:rsidR="00CF7D4D" w:rsidRDefault="000A3175" w:rsidP="0049031A">
            <w:pPr>
              <w:jc w:val="both"/>
            </w:pPr>
            <w:r>
              <w:t>The key policy in relation biodiversity and green infrastructure is Policy 9 – Resilient Ecological Networks and Green Infrastructure. It states, “action towards securing the maintenance and enhancement of biodiversity (to provide a net benefit</w:t>
            </w:r>
            <w:proofErr w:type="gramStart"/>
            <w:r>
              <w:t>)</w:t>
            </w:r>
            <w:r w:rsidR="00CF7D4D">
              <w:t>..</w:t>
            </w:r>
            <w:proofErr w:type="gramEnd"/>
            <w:r w:rsidR="00CF7D4D">
              <w:t>”</w:t>
            </w:r>
          </w:p>
          <w:p w14:paraId="416A7C12" w14:textId="77777777" w:rsidR="00CF7D4D" w:rsidRDefault="00CF7D4D" w:rsidP="0049031A">
            <w:pPr>
              <w:jc w:val="both"/>
            </w:pPr>
          </w:p>
          <w:p w14:paraId="2668524F" w14:textId="2F8B20B5" w:rsidR="000A3175" w:rsidRPr="000A3175" w:rsidRDefault="000A3175" w:rsidP="0049031A">
            <w:pPr>
              <w:jc w:val="both"/>
            </w:pPr>
            <w:r>
              <w:t xml:space="preserve"> </w:t>
            </w:r>
            <w:r w:rsidR="00CF7D4D">
              <w:t>“T</w:t>
            </w:r>
            <w:r>
              <w:t>he resilience of ecosystems and green infrastructure assets must be demonstrated as part of development proposals through innovative, nature-based approaches to site planning and the design of the built environment.”</w:t>
            </w:r>
          </w:p>
          <w:p w14:paraId="6752EA8E" w14:textId="77777777" w:rsidR="00692AFE" w:rsidRDefault="00692AFE" w:rsidP="0049031A">
            <w:pPr>
              <w:jc w:val="both"/>
            </w:pPr>
          </w:p>
          <w:p w14:paraId="14A65A1B" w14:textId="77777777" w:rsidR="00C81213" w:rsidRDefault="00C81213" w:rsidP="0049031A">
            <w:pPr>
              <w:jc w:val="both"/>
              <w:rPr>
                <w:b/>
                <w:bCs/>
              </w:rPr>
            </w:pPr>
          </w:p>
          <w:p w14:paraId="5DFD410C" w14:textId="77777777" w:rsidR="00C81213" w:rsidRDefault="00C81213" w:rsidP="0049031A">
            <w:pPr>
              <w:jc w:val="both"/>
            </w:pPr>
          </w:p>
          <w:p w14:paraId="4CDB7B79" w14:textId="74CC559C" w:rsidR="00C81213" w:rsidRDefault="00C81213" w:rsidP="0049031A">
            <w:pPr>
              <w:jc w:val="both"/>
            </w:pPr>
            <w:r>
              <w:t xml:space="preserve">The Wellbeing of Future Generations Act requires public bodies to carry out sustainable development. The principle of sustainable development is “the process of improving the economic, social, environmental and cultural well-being of Wales.” </w:t>
            </w:r>
          </w:p>
          <w:p w14:paraId="1B1CBD9B" w14:textId="77777777" w:rsidR="00C81213" w:rsidRDefault="00C81213" w:rsidP="0049031A">
            <w:pPr>
              <w:jc w:val="both"/>
            </w:pPr>
          </w:p>
          <w:p w14:paraId="38A2A552" w14:textId="77777777" w:rsidR="00C81213" w:rsidRDefault="00C81213" w:rsidP="0049031A">
            <w:pPr>
              <w:jc w:val="both"/>
            </w:pPr>
            <w:r>
              <w:t>The principle is made up of five ways of working, including looking to the long-term; taking an integrated approach; involving a diversity of the population; working collaboratively; and preventing issues. It sets out seven well-being goals including resilience and being globally responsible.</w:t>
            </w:r>
          </w:p>
          <w:p w14:paraId="633E2DC3" w14:textId="3696A518" w:rsidR="00D80C58" w:rsidRDefault="00D80C58" w:rsidP="0049031A">
            <w:pPr>
              <w:jc w:val="both"/>
            </w:pPr>
          </w:p>
        </w:tc>
      </w:tr>
      <w:tr w:rsidR="00F477F5" w14:paraId="399FDBE8" w14:textId="77777777" w:rsidTr="00955146">
        <w:tc>
          <w:tcPr>
            <w:tcW w:w="1580" w:type="dxa"/>
            <w:shd w:val="clear" w:color="auto" w:fill="70AD47" w:themeFill="accent6"/>
          </w:tcPr>
          <w:p w14:paraId="72E37C92" w14:textId="77777777" w:rsidR="00A86799" w:rsidRDefault="00EF3D3C" w:rsidP="00CF05C1">
            <w:pPr>
              <w:rPr>
                <w:color w:val="FFFFFF" w:themeColor="background1"/>
              </w:rPr>
            </w:pPr>
            <w:r>
              <w:rPr>
                <w:color w:val="FFFFFF" w:themeColor="background1"/>
              </w:rPr>
              <w:t xml:space="preserve">Environment Wales Act </w:t>
            </w:r>
            <w:r w:rsidR="00A86799">
              <w:rPr>
                <w:color w:val="FFFFFF" w:themeColor="background1"/>
              </w:rPr>
              <w:t>(2016)</w:t>
            </w:r>
          </w:p>
          <w:p w14:paraId="137CB464" w14:textId="488B32E2" w:rsidR="00A86799" w:rsidRDefault="00A86799" w:rsidP="0049031A">
            <w:pPr>
              <w:jc w:val="both"/>
              <w:rPr>
                <w:color w:val="FFFFFF" w:themeColor="background1"/>
              </w:rPr>
            </w:pPr>
          </w:p>
        </w:tc>
        <w:tc>
          <w:tcPr>
            <w:tcW w:w="8905" w:type="dxa"/>
          </w:tcPr>
          <w:p w14:paraId="46CBDF1C" w14:textId="77777777" w:rsidR="00384249" w:rsidRDefault="00384249" w:rsidP="0049031A">
            <w:pPr>
              <w:jc w:val="both"/>
              <w:rPr>
                <w:b/>
                <w:bCs/>
              </w:rPr>
            </w:pPr>
            <w:r w:rsidRPr="00384249">
              <w:rPr>
                <w:b/>
                <w:bCs/>
              </w:rPr>
              <w:t xml:space="preserve">Environment (Wales) Act 2016 </w:t>
            </w:r>
          </w:p>
          <w:p w14:paraId="75B5757D" w14:textId="77777777" w:rsidR="00384249" w:rsidRDefault="00384249" w:rsidP="0049031A">
            <w:pPr>
              <w:jc w:val="both"/>
              <w:rPr>
                <w:b/>
                <w:bCs/>
              </w:rPr>
            </w:pPr>
          </w:p>
          <w:p w14:paraId="637A0AB1" w14:textId="77777777" w:rsidR="00F22CDF" w:rsidRDefault="00384249" w:rsidP="0049031A">
            <w:pPr>
              <w:jc w:val="both"/>
            </w:pPr>
            <w:r>
              <w:t xml:space="preserve">This legislation is intended to work alongside the Well-being of Future Generations Act. It included a new biodiversity duty to reverse the decline of biodiversity and to secure long-term resilience. Section 6 states “A public authority must seek to maintain and enhance biodiversity… and in so doing promote the resilience of ecosystems”. </w:t>
            </w:r>
          </w:p>
          <w:p w14:paraId="55DCD89B" w14:textId="77777777" w:rsidR="00F22CDF" w:rsidRDefault="00F22CDF" w:rsidP="0049031A">
            <w:pPr>
              <w:jc w:val="both"/>
            </w:pPr>
          </w:p>
          <w:p w14:paraId="0E552EAB" w14:textId="1A56C545" w:rsidR="00384249" w:rsidRDefault="00384249" w:rsidP="0049031A">
            <w:pPr>
              <w:jc w:val="both"/>
            </w:pPr>
            <w:r>
              <w:t>In relation to resilience of ecosystems, the following</w:t>
            </w:r>
            <w:r w:rsidR="00F22CDF">
              <w:t xml:space="preserve"> should</w:t>
            </w:r>
            <w:r>
              <w:t xml:space="preserve"> be </w:t>
            </w:r>
            <w:proofErr w:type="gramStart"/>
            <w:r>
              <w:t>taken into account</w:t>
            </w:r>
            <w:proofErr w:type="gramEnd"/>
            <w:r>
              <w:t xml:space="preserve">: </w:t>
            </w:r>
          </w:p>
          <w:p w14:paraId="1CD96442" w14:textId="584ED3C0" w:rsidR="00384249" w:rsidRDefault="00384249" w:rsidP="0049031A">
            <w:pPr>
              <w:pStyle w:val="ListParagraph"/>
              <w:numPr>
                <w:ilvl w:val="0"/>
                <w:numId w:val="27"/>
              </w:numPr>
              <w:jc w:val="both"/>
            </w:pPr>
            <w:r>
              <w:t xml:space="preserve">diversity between and within </w:t>
            </w:r>
            <w:proofErr w:type="gramStart"/>
            <w:r>
              <w:t>ecosystems;</w:t>
            </w:r>
            <w:proofErr w:type="gramEnd"/>
            <w:r>
              <w:t xml:space="preserve"> </w:t>
            </w:r>
          </w:p>
          <w:p w14:paraId="11936C89" w14:textId="21028274" w:rsidR="00384249" w:rsidRDefault="00384249" w:rsidP="0049031A">
            <w:pPr>
              <w:pStyle w:val="ListParagraph"/>
              <w:numPr>
                <w:ilvl w:val="0"/>
                <w:numId w:val="27"/>
              </w:numPr>
              <w:jc w:val="both"/>
            </w:pPr>
            <w:r>
              <w:t xml:space="preserve">the connections between and within </w:t>
            </w:r>
            <w:proofErr w:type="gramStart"/>
            <w:r>
              <w:t>ecosystems;</w:t>
            </w:r>
            <w:proofErr w:type="gramEnd"/>
            <w:r>
              <w:t xml:space="preserve"> </w:t>
            </w:r>
          </w:p>
          <w:p w14:paraId="1D8030E3" w14:textId="02086D96" w:rsidR="00384249" w:rsidRDefault="00384249" w:rsidP="0049031A">
            <w:pPr>
              <w:pStyle w:val="ListParagraph"/>
              <w:numPr>
                <w:ilvl w:val="0"/>
                <w:numId w:val="27"/>
              </w:numPr>
              <w:jc w:val="both"/>
            </w:pPr>
            <w:r>
              <w:lastRenderedPageBreak/>
              <w:t xml:space="preserve">the scale of </w:t>
            </w:r>
            <w:proofErr w:type="gramStart"/>
            <w:r>
              <w:t>ecosystems;</w:t>
            </w:r>
            <w:proofErr w:type="gramEnd"/>
            <w:r>
              <w:t xml:space="preserve"> </w:t>
            </w:r>
          </w:p>
          <w:p w14:paraId="0A0F7BB5" w14:textId="1AFE60CB" w:rsidR="00384249" w:rsidRDefault="00384249" w:rsidP="0049031A">
            <w:pPr>
              <w:pStyle w:val="ListParagraph"/>
              <w:numPr>
                <w:ilvl w:val="0"/>
                <w:numId w:val="27"/>
              </w:numPr>
              <w:jc w:val="both"/>
            </w:pPr>
            <w:r>
              <w:t>the condition of ecosystems (including their structure and functioning</w:t>
            </w:r>
            <w:proofErr w:type="gramStart"/>
            <w:r>
              <w:t>);</w:t>
            </w:r>
            <w:proofErr w:type="gramEnd"/>
            <w:r>
              <w:t xml:space="preserve"> </w:t>
            </w:r>
          </w:p>
          <w:p w14:paraId="501AE77C" w14:textId="3C6C1CBE" w:rsidR="00937AE2" w:rsidRPr="000D14C7" w:rsidRDefault="00384249" w:rsidP="0049031A">
            <w:pPr>
              <w:pStyle w:val="ListParagraph"/>
              <w:numPr>
                <w:ilvl w:val="0"/>
                <w:numId w:val="27"/>
              </w:numPr>
              <w:jc w:val="both"/>
            </w:pPr>
            <w:r>
              <w:t>the adaptability of ecosystems.</w:t>
            </w:r>
          </w:p>
          <w:p w14:paraId="32211142" w14:textId="08745E58" w:rsidR="008D764F" w:rsidRPr="003B60A5" w:rsidRDefault="008D764F" w:rsidP="0049031A">
            <w:pPr>
              <w:jc w:val="both"/>
              <w:rPr>
                <w:u w:val="single"/>
              </w:rPr>
            </w:pPr>
          </w:p>
        </w:tc>
      </w:tr>
      <w:tr w:rsidR="00B21F7D" w14:paraId="2B7A62AF" w14:textId="77777777" w:rsidTr="00F05D3A">
        <w:tc>
          <w:tcPr>
            <w:tcW w:w="10485" w:type="dxa"/>
            <w:gridSpan w:val="2"/>
            <w:shd w:val="clear" w:color="auto" w:fill="70AD47" w:themeFill="accent6"/>
          </w:tcPr>
          <w:p w14:paraId="7F85103A" w14:textId="77777777" w:rsidR="00B21F7D" w:rsidRDefault="00B21F7D" w:rsidP="0049031A">
            <w:pPr>
              <w:jc w:val="both"/>
              <w:rPr>
                <w:b/>
                <w:bCs/>
                <w:color w:val="FFFFFF" w:themeColor="background1"/>
                <w:sz w:val="24"/>
                <w:szCs w:val="24"/>
              </w:rPr>
            </w:pPr>
            <w:r w:rsidRPr="00B21F7D">
              <w:rPr>
                <w:b/>
                <w:bCs/>
                <w:color w:val="FFFFFF" w:themeColor="background1"/>
                <w:sz w:val="24"/>
                <w:szCs w:val="24"/>
              </w:rPr>
              <w:lastRenderedPageBreak/>
              <w:t>Local Planning Policy</w:t>
            </w:r>
          </w:p>
          <w:p w14:paraId="5132F8AA" w14:textId="29D1A50B" w:rsidR="0049031A" w:rsidRPr="00384249" w:rsidRDefault="0049031A" w:rsidP="0049031A">
            <w:pPr>
              <w:jc w:val="both"/>
              <w:rPr>
                <w:b/>
                <w:bCs/>
              </w:rPr>
            </w:pPr>
          </w:p>
        </w:tc>
      </w:tr>
      <w:tr w:rsidR="00B21F7D" w14:paraId="582AD3C8" w14:textId="77777777" w:rsidTr="00955146">
        <w:tc>
          <w:tcPr>
            <w:tcW w:w="1580" w:type="dxa"/>
            <w:shd w:val="clear" w:color="auto" w:fill="70AD47" w:themeFill="accent6"/>
          </w:tcPr>
          <w:p w14:paraId="26429576" w14:textId="24F51493" w:rsidR="00B21F7D" w:rsidRDefault="007F561A" w:rsidP="0049031A">
            <w:pPr>
              <w:jc w:val="both"/>
              <w:rPr>
                <w:color w:val="FFFFFF" w:themeColor="background1"/>
              </w:rPr>
            </w:pPr>
            <w:r>
              <w:rPr>
                <w:color w:val="FFFFFF" w:themeColor="background1"/>
              </w:rPr>
              <w:t xml:space="preserve">Cardiff’s </w:t>
            </w:r>
            <w:r w:rsidR="00540F0C">
              <w:rPr>
                <w:color w:val="FFFFFF" w:themeColor="background1"/>
              </w:rPr>
              <w:t>Local Development Plan</w:t>
            </w:r>
            <w:r>
              <w:rPr>
                <w:color w:val="FFFFFF" w:themeColor="background1"/>
              </w:rPr>
              <w:t xml:space="preserve"> </w:t>
            </w:r>
            <w:r w:rsidR="00540F0C">
              <w:rPr>
                <w:color w:val="FFFFFF" w:themeColor="background1"/>
              </w:rPr>
              <w:t>2010-2025</w:t>
            </w:r>
          </w:p>
        </w:tc>
        <w:tc>
          <w:tcPr>
            <w:tcW w:w="8905" w:type="dxa"/>
          </w:tcPr>
          <w:p w14:paraId="228DE562" w14:textId="3858CB4B" w:rsidR="00B21F7D" w:rsidRPr="00540F0C" w:rsidRDefault="007F561A" w:rsidP="0049031A">
            <w:pPr>
              <w:jc w:val="both"/>
              <w:rPr>
                <w:b/>
                <w:bCs/>
              </w:rPr>
            </w:pPr>
            <w:r>
              <w:rPr>
                <w:b/>
                <w:bCs/>
              </w:rPr>
              <w:t>Cardiff</w:t>
            </w:r>
            <w:r w:rsidR="00540F0C" w:rsidRPr="00540F0C">
              <w:rPr>
                <w:b/>
                <w:bCs/>
              </w:rPr>
              <w:t xml:space="preserve"> Local Development Plan 2010-2025</w:t>
            </w:r>
          </w:p>
          <w:p w14:paraId="454DDC7F" w14:textId="60EA506B" w:rsidR="00B21F7D" w:rsidRDefault="00B21F7D" w:rsidP="0049031A">
            <w:pPr>
              <w:jc w:val="both"/>
              <w:rPr>
                <w:b/>
                <w:bCs/>
              </w:rPr>
            </w:pPr>
          </w:p>
          <w:p w14:paraId="4E64B02E" w14:textId="77777777" w:rsidR="007F561A" w:rsidRDefault="007F561A" w:rsidP="0049031A">
            <w:pPr>
              <w:jc w:val="both"/>
            </w:pPr>
            <w:r w:rsidRPr="007F561A">
              <w:t xml:space="preserve">The Cardiff Local Development Plan was adopted in January 2016. In relation to green infrastructure, Policy KP16: Green Infrastructure states: </w:t>
            </w:r>
          </w:p>
          <w:p w14:paraId="6702F294" w14:textId="77777777" w:rsidR="007F561A" w:rsidRDefault="007F561A" w:rsidP="0049031A">
            <w:pPr>
              <w:jc w:val="both"/>
            </w:pPr>
          </w:p>
          <w:p w14:paraId="1ADAC916" w14:textId="7720F99E" w:rsidR="007F561A" w:rsidRDefault="007F561A" w:rsidP="0049031A">
            <w:pPr>
              <w:jc w:val="both"/>
            </w:pPr>
            <w:r w:rsidRPr="007F561A">
              <w:t>“Cardiff’s distinctive natural heritage provides a network of green infrastructure which will be protected, enhanced and managed to ensure the integrity and connectivity of this multi-functional green resource is maintained.</w:t>
            </w:r>
          </w:p>
          <w:p w14:paraId="243F1722" w14:textId="77777777" w:rsidR="007F561A" w:rsidRDefault="007F561A" w:rsidP="0049031A">
            <w:pPr>
              <w:jc w:val="both"/>
            </w:pPr>
          </w:p>
          <w:p w14:paraId="1224F0F4" w14:textId="77777777" w:rsidR="007F561A" w:rsidRDefault="007F561A" w:rsidP="0049031A">
            <w:pPr>
              <w:jc w:val="both"/>
            </w:pPr>
            <w:r w:rsidRPr="007F561A">
              <w:t xml:space="preserve">Proposed development should therefore demonstrate how green infrastructure has been considered and integrated into the proposals. If development results in overall loss of green infrastructure, appropriate compensation will be required. </w:t>
            </w:r>
          </w:p>
          <w:p w14:paraId="5FCF599D" w14:textId="77777777" w:rsidR="007F561A" w:rsidRDefault="007F561A" w:rsidP="0049031A">
            <w:pPr>
              <w:jc w:val="both"/>
            </w:pPr>
            <w:r w:rsidRPr="007F561A">
              <w:t xml:space="preserve">Natural heritage assets that are key to Cardiff’s character, value, distinctiveness, and sense of place. </w:t>
            </w:r>
          </w:p>
          <w:p w14:paraId="6A040EFA" w14:textId="77777777" w:rsidR="007F561A" w:rsidRDefault="007F561A" w:rsidP="0049031A">
            <w:pPr>
              <w:jc w:val="both"/>
            </w:pPr>
          </w:p>
          <w:p w14:paraId="142CB848" w14:textId="77777777" w:rsidR="007F561A" w:rsidRDefault="007F561A" w:rsidP="0049031A">
            <w:pPr>
              <w:jc w:val="both"/>
            </w:pPr>
            <w:r w:rsidRPr="007F561A">
              <w:t xml:space="preserve">They include the City’s: […] </w:t>
            </w:r>
          </w:p>
          <w:p w14:paraId="16219225" w14:textId="77777777" w:rsidR="007F561A" w:rsidRDefault="007F561A" w:rsidP="007F561A">
            <w:pPr>
              <w:pStyle w:val="ListParagraph"/>
              <w:numPr>
                <w:ilvl w:val="0"/>
                <w:numId w:val="38"/>
              </w:numPr>
              <w:jc w:val="both"/>
            </w:pPr>
            <w:r w:rsidRPr="007F561A">
              <w:t>Biodiversity interests including designated sites and the connectivity of priority habitats and species (EN5, EN6 and EN7</w:t>
            </w:r>
            <w:proofErr w:type="gramStart"/>
            <w:r w:rsidRPr="007F561A">
              <w:t>);</w:t>
            </w:r>
            <w:proofErr w:type="gramEnd"/>
            <w:r w:rsidRPr="007F561A">
              <w:t xml:space="preserve"> </w:t>
            </w:r>
          </w:p>
          <w:p w14:paraId="580C5603" w14:textId="77777777" w:rsidR="007F561A" w:rsidRDefault="007F561A" w:rsidP="007F561A">
            <w:pPr>
              <w:pStyle w:val="ListParagraph"/>
              <w:numPr>
                <w:ilvl w:val="0"/>
                <w:numId w:val="38"/>
              </w:numPr>
              <w:jc w:val="both"/>
            </w:pPr>
            <w:r w:rsidRPr="007F561A">
              <w:t>Trees (including street trees), woodlands and hedgerows (EN8</w:t>
            </w:r>
            <w:proofErr w:type="gramStart"/>
            <w:r w:rsidRPr="007F561A">
              <w:t>);</w:t>
            </w:r>
            <w:proofErr w:type="gramEnd"/>
            <w:r w:rsidRPr="007F561A">
              <w:t xml:space="preserve"> </w:t>
            </w:r>
          </w:p>
          <w:p w14:paraId="680CD7CC" w14:textId="77777777" w:rsidR="007F561A" w:rsidRDefault="007F561A" w:rsidP="007F561A">
            <w:pPr>
              <w:pStyle w:val="ListParagraph"/>
              <w:numPr>
                <w:ilvl w:val="0"/>
                <w:numId w:val="38"/>
              </w:numPr>
              <w:jc w:val="both"/>
            </w:pPr>
            <w:r w:rsidRPr="007F561A">
              <w:t>Strategic recreational routes, cycleways, and the public rights of way network (T5, T6 and T8</w:t>
            </w:r>
            <w:proofErr w:type="gramStart"/>
            <w:r w:rsidRPr="007F561A">
              <w:t>);</w:t>
            </w:r>
            <w:proofErr w:type="gramEnd"/>
            <w:r w:rsidRPr="007F561A">
              <w:t xml:space="preserve"> </w:t>
            </w:r>
          </w:p>
          <w:p w14:paraId="69B911F0" w14:textId="6B2213AC" w:rsidR="007F561A" w:rsidRDefault="007F561A" w:rsidP="007F561A">
            <w:pPr>
              <w:pStyle w:val="ListParagraph"/>
              <w:numPr>
                <w:ilvl w:val="0"/>
                <w:numId w:val="38"/>
              </w:numPr>
              <w:jc w:val="both"/>
            </w:pPr>
            <w:r w:rsidRPr="007F561A">
              <w:t>Parks, playing fields, green play areas and open spaces (C4 and C5); and</w:t>
            </w:r>
          </w:p>
          <w:p w14:paraId="6CA1B699" w14:textId="77777777" w:rsidR="007F561A" w:rsidRDefault="007F561A" w:rsidP="007F561A">
            <w:pPr>
              <w:pStyle w:val="ListParagraph"/>
              <w:numPr>
                <w:ilvl w:val="0"/>
                <w:numId w:val="38"/>
              </w:numPr>
              <w:jc w:val="both"/>
            </w:pPr>
            <w:r w:rsidRPr="007F561A">
              <w:t>Growing spaces including allotments, community orchards and larger gardens; and</w:t>
            </w:r>
          </w:p>
          <w:p w14:paraId="64CB402F" w14:textId="5B169802" w:rsidR="002D2D30" w:rsidRPr="006825C7" w:rsidRDefault="007F561A" w:rsidP="0049031A">
            <w:pPr>
              <w:pStyle w:val="ListParagraph"/>
              <w:numPr>
                <w:ilvl w:val="0"/>
                <w:numId w:val="38"/>
              </w:numPr>
              <w:jc w:val="both"/>
            </w:pPr>
            <w:r w:rsidRPr="007F561A">
              <w:t xml:space="preserve"> Holistic integrated surface water management systems (EN10).”</w:t>
            </w:r>
          </w:p>
          <w:p w14:paraId="636C98B2" w14:textId="77777777" w:rsidR="00B21F7D" w:rsidRPr="00384249" w:rsidRDefault="00B21F7D" w:rsidP="007F561A">
            <w:pPr>
              <w:jc w:val="both"/>
              <w:rPr>
                <w:b/>
                <w:bCs/>
              </w:rPr>
            </w:pPr>
          </w:p>
        </w:tc>
      </w:tr>
      <w:tr w:rsidR="00FB412A" w14:paraId="15B17D58" w14:textId="77777777" w:rsidTr="00955146">
        <w:tc>
          <w:tcPr>
            <w:tcW w:w="1580" w:type="dxa"/>
            <w:shd w:val="clear" w:color="auto" w:fill="70AD47" w:themeFill="accent6"/>
          </w:tcPr>
          <w:p w14:paraId="2AA618F4" w14:textId="77777777" w:rsidR="00FB412A" w:rsidRDefault="00FB412A" w:rsidP="0049031A">
            <w:pPr>
              <w:jc w:val="both"/>
              <w:rPr>
                <w:color w:val="FFFFFF" w:themeColor="background1"/>
              </w:rPr>
            </w:pPr>
            <w:r>
              <w:rPr>
                <w:color w:val="FFFFFF" w:themeColor="background1"/>
              </w:rPr>
              <w:t>Supplementary Planning Guidance</w:t>
            </w:r>
          </w:p>
          <w:p w14:paraId="4D303CD4" w14:textId="41603277" w:rsidR="00FB412A" w:rsidRDefault="00FB412A" w:rsidP="0049031A">
            <w:pPr>
              <w:jc w:val="both"/>
              <w:rPr>
                <w:color w:val="FFFFFF" w:themeColor="background1"/>
              </w:rPr>
            </w:pPr>
          </w:p>
        </w:tc>
        <w:tc>
          <w:tcPr>
            <w:tcW w:w="8905" w:type="dxa"/>
          </w:tcPr>
          <w:p w14:paraId="66E56A74" w14:textId="5D9A9AB8" w:rsidR="00FB412A" w:rsidRPr="009111DF" w:rsidRDefault="00E32BF3" w:rsidP="0049031A">
            <w:pPr>
              <w:jc w:val="both"/>
            </w:pPr>
            <w:r w:rsidRPr="009111DF">
              <w:t xml:space="preserve">The </w:t>
            </w:r>
            <w:r w:rsidR="006825C7" w:rsidRPr="009111DF">
              <w:t>Cardiff</w:t>
            </w:r>
            <w:r w:rsidRPr="009111DF">
              <w:t xml:space="preserve"> Local Development Plan is supplemented by a series of Supplementary Planning Guidance (SPG)</w:t>
            </w:r>
            <w:r w:rsidR="00D3514A" w:rsidRPr="009111DF">
              <w:t xml:space="preserve">.  These provide applicants and decision makers with further information on how the policies of the </w:t>
            </w:r>
            <w:r w:rsidR="006825C7" w:rsidRPr="009111DF">
              <w:t>Cardiff</w:t>
            </w:r>
            <w:r w:rsidR="00D3514A" w:rsidRPr="009111DF">
              <w:t xml:space="preserve"> Local development Plan (LDP) will be applied.</w:t>
            </w:r>
          </w:p>
          <w:p w14:paraId="6B0FC7A5" w14:textId="77777777" w:rsidR="00D3514A" w:rsidRPr="009111DF" w:rsidRDefault="00D3514A" w:rsidP="0049031A">
            <w:pPr>
              <w:jc w:val="both"/>
            </w:pPr>
            <w:r w:rsidRPr="009111DF">
              <w:t>The following SPG are of relevance to Green Infrastructure:</w:t>
            </w:r>
          </w:p>
          <w:p w14:paraId="1DE0E3CE" w14:textId="77777777" w:rsidR="007C0420" w:rsidRPr="009111DF" w:rsidRDefault="007C0420" w:rsidP="006825C7">
            <w:pPr>
              <w:jc w:val="both"/>
            </w:pPr>
          </w:p>
          <w:p w14:paraId="130638F3" w14:textId="66F5AE40" w:rsidR="006825C7" w:rsidRPr="009111DF" w:rsidRDefault="006825C7" w:rsidP="006825C7">
            <w:pPr>
              <w:jc w:val="both"/>
              <w:rPr>
                <w:u w:val="single"/>
              </w:rPr>
            </w:pPr>
            <w:r w:rsidRPr="009111DF">
              <w:rPr>
                <w:u w:val="single"/>
              </w:rPr>
              <w:t>Cardiff Green Infrastructure SPG (2017)</w:t>
            </w:r>
          </w:p>
          <w:p w14:paraId="55DC7B0A" w14:textId="5DFCBAA8" w:rsidR="006B3FEE" w:rsidRPr="009111DF" w:rsidRDefault="006B3FEE" w:rsidP="006825C7">
            <w:pPr>
              <w:jc w:val="both"/>
            </w:pPr>
            <w:r w:rsidRPr="009111DF">
              <w:t>Cardiff Green Infrastructure SPG provides further guidance to Policy KP16: Green Infrastructure.</w:t>
            </w:r>
          </w:p>
          <w:p w14:paraId="4568A040" w14:textId="77777777" w:rsidR="006B3FEE" w:rsidRPr="009111DF" w:rsidRDefault="006B3FEE" w:rsidP="006825C7">
            <w:pPr>
              <w:jc w:val="both"/>
            </w:pPr>
          </w:p>
          <w:p w14:paraId="1529531A" w14:textId="506384DE" w:rsidR="006B3FEE" w:rsidRPr="009111DF" w:rsidRDefault="006B3FEE" w:rsidP="006825C7">
            <w:pPr>
              <w:jc w:val="both"/>
            </w:pPr>
            <w:r w:rsidRPr="009111DF">
              <w:t>The definition of green infrastructure in accordance with the Supplementary Planning Guidance is:</w:t>
            </w:r>
          </w:p>
          <w:p w14:paraId="6918927B" w14:textId="77777777" w:rsidR="006B3FEE" w:rsidRPr="009111DF" w:rsidRDefault="006B3FEE" w:rsidP="006825C7">
            <w:pPr>
              <w:jc w:val="both"/>
            </w:pPr>
          </w:p>
          <w:p w14:paraId="38479D13" w14:textId="77777777" w:rsidR="006B3FEE" w:rsidRPr="009111DF" w:rsidRDefault="006B3FEE" w:rsidP="006825C7">
            <w:pPr>
              <w:jc w:val="both"/>
              <w:rPr>
                <w:i/>
                <w:iCs/>
              </w:rPr>
            </w:pPr>
            <w:r w:rsidRPr="009111DF">
              <w:t>“</w:t>
            </w:r>
            <w:r w:rsidRPr="009111DF">
              <w:rPr>
                <w:i/>
                <w:iCs/>
              </w:rPr>
              <w:t>Green infrastructure is a network of multi-functional, connected green spaces that make the best use of land and provide green open space for all, helping wildlife to flourish, and delivering a wide range of economic, health and community benefits”.</w:t>
            </w:r>
          </w:p>
          <w:p w14:paraId="0E7F73E0" w14:textId="77777777" w:rsidR="00E3419E" w:rsidRPr="009111DF" w:rsidRDefault="00E3419E" w:rsidP="006825C7">
            <w:pPr>
              <w:jc w:val="both"/>
              <w:rPr>
                <w:i/>
                <w:iCs/>
              </w:rPr>
            </w:pPr>
          </w:p>
          <w:p w14:paraId="1EA24C2A" w14:textId="06EDD068" w:rsidR="00E3419E" w:rsidRPr="009111DF" w:rsidRDefault="00E3419E" w:rsidP="006825C7">
            <w:pPr>
              <w:jc w:val="both"/>
            </w:pPr>
            <w:r w:rsidRPr="009111DF">
              <w:t>Section 2.1.5 states for ‘Major developments’:</w:t>
            </w:r>
          </w:p>
          <w:p w14:paraId="5C13B848" w14:textId="694E451A" w:rsidR="00E3419E" w:rsidRPr="009111DF" w:rsidRDefault="00E3419E" w:rsidP="00E3419E">
            <w:pPr>
              <w:pStyle w:val="ListParagraph"/>
              <w:numPr>
                <w:ilvl w:val="0"/>
                <w:numId w:val="39"/>
              </w:numPr>
              <w:jc w:val="both"/>
            </w:pPr>
            <w:r w:rsidRPr="009111DF">
              <w:t xml:space="preserve">New major developments should include a Green Infrastructure Statement which should be appropriate to the scale of the development </w:t>
            </w:r>
          </w:p>
          <w:p w14:paraId="60D7DC13" w14:textId="46481F33" w:rsidR="00E3419E" w:rsidRPr="009111DF" w:rsidRDefault="00E3419E" w:rsidP="00E3419E">
            <w:pPr>
              <w:pStyle w:val="ListParagraph"/>
              <w:numPr>
                <w:ilvl w:val="0"/>
                <w:numId w:val="39"/>
              </w:numPr>
              <w:jc w:val="both"/>
            </w:pPr>
            <w:r w:rsidRPr="009111DF">
              <w:t>The Green Infrastructure Statement should take account of all the elements of green infrastructure as set out in Policy KP6</w:t>
            </w:r>
          </w:p>
          <w:p w14:paraId="0BB29A17" w14:textId="15FDF0A9" w:rsidR="00E3419E" w:rsidRPr="009111DF" w:rsidRDefault="00E3419E" w:rsidP="00E3419E">
            <w:pPr>
              <w:pStyle w:val="ListParagraph"/>
              <w:numPr>
                <w:ilvl w:val="0"/>
                <w:numId w:val="39"/>
              </w:numPr>
              <w:jc w:val="both"/>
            </w:pPr>
            <w:r w:rsidRPr="009111DF">
              <w:lastRenderedPageBreak/>
              <w:t xml:space="preserve">Green infrastructure should be considered in terms of the phasing of the development and in conjunction with adjacent developments to achieve connectivity </w:t>
            </w:r>
          </w:p>
          <w:p w14:paraId="7310C05C" w14:textId="7D2EC64E" w:rsidR="006B3FEE" w:rsidRPr="009111DF" w:rsidRDefault="006B3FEE" w:rsidP="006825C7">
            <w:pPr>
              <w:jc w:val="both"/>
            </w:pPr>
          </w:p>
          <w:p w14:paraId="33A3E96D" w14:textId="23333761" w:rsidR="006B3FEE" w:rsidRPr="009111DF" w:rsidRDefault="00E3419E" w:rsidP="006825C7">
            <w:pPr>
              <w:jc w:val="both"/>
            </w:pPr>
            <w:r w:rsidRPr="009111DF">
              <w:t xml:space="preserve">Section 2.2.1 states “For all major developments, the existing green infrastructure resource in and around the site…must be described and assessed.” Section goes on to state “The likely impact of the proposals upon green infrastructure features must be assessed. This should include a holistic assessment of </w:t>
            </w:r>
            <w:proofErr w:type="gramStart"/>
            <w:r w:rsidRPr="009111DF">
              <w:t>all of</w:t>
            </w:r>
            <w:proofErr w:type="gramEnd"/>
            <w:r w:rsidRPr="009111DF">
              <w:t xml:space="preserve"> the elements of green infrastructure, including the synergies and trade-offs between them.” Section 3.1.1 states “Where the green infrastructure resource at a site has been identified, and the impacts of a proposed development have been assessed, the subsequent mitigation approach should take into account all relevant elements of green infrastructure”.</w:t>
            </w:r>
          </w:p>
          <w:p w14:paraId="4E9A6F6D" w14:textId="7F8A5F1F" w:rsidR="00E3419E" w:rsidRPr="009111DF" w:rsidRDefault="00E3419E" w:rsidP="00E3419E">
            <w:pPr>
              <w:jc w:val="both"/>
              <w:rPr>
                <w:u w:val="single"/>
              </w:rPr>
            </w:pPr>
          </w:p>
        </w:tc>
      </w:tr>
      <w:tr w:rsidR="00955146" w14:paraId="2B487D09" w14:textId="77777777" w:rsidTr="00FA1733">
        <w:tc>
          <w:tcPr>
            <w:tcW w:w="10485" w:type="dxa"/>
            <w:gridSpan w:val="2"/>
            <w:shd w:val="clear" w:color="auto" w:fill="70AD47" w:themeFill="accent6"/>
          </w:tcPr>
          <w:p w14:paraId="36E74F5F" w14:textId="77777777" w:rsidR="00955146" w:rsidRPr="009111DF" w:rsidRDefault="00955146" w:rsidP="0049031A">
            <w:pPr>
              <w:jc w:val="both"/>
              <w:rPr>
                <w:b/>
                <w:color w:val="FFFFFF" w:themeColor="background1"/>
                <w:sz w:val="24"/>
                <w:szCs w:val="24"/>
              </w:rPr>
            </w:pPr>
            <w:r w:rsidRPr="009111DF">
              <w:rPr>
                <w:b/>
                <w:color w:val="FFFFFF" w:themeColor="background1"/>
                <w:sz w:val="24"/>
                <w:szCs w:val="24"/>
              </w:rPr>
              <w:lastRenderedPageBreak/>
              <w:t>Existing Green Infrastructure</w:t>
            </w:r>
          </w:p>
          <w:p w14:paraId="55BF69BE" w14:textId="3FC9C4E3" w:rsidR="00955146" w:rsidRPr="009111DF" w:rsidRDefault="00955146" w:rsidP="0049031A">
            <w:pPr>
              <w:jc w:val="both"/>
              <w:rPr>
                <w:b/>
                <w:color w:val="FFFFFF" w:themeColor="background1"/>
              </w:rPr>
            </w:pPr>
          </w:p>
        </w:tc>
      </w:tr>
      <w:tr w:rsidR="00955146" w14:paraId="31ACA09B" w14:textId="77777777" w:rsidTr="00955146">
        <w:tc>
          <w:tcPr>
            <w:tcW w:w="1580" w:type="dxa"/>
            <w:shd w:val="clear" w:color="auto" w:fill="70AD47" w:themeFill="accent6"/>
          </w:tcPr>
          <w:p w14:paraId="0199D485" w14:textId="383DC594" w:rsidR="00955146" w:rsidRPr="0049031A" w:rsidRDefault="00955146" w:rsidP="0049031A">
            <w:pPr>
              <w:jc w:val="both"/>
              <w:rPr>
                <w:bCs/>
                <w:color w:val="FFFFFF" w:themeColor="background1"/>
              </w:rPr>
            </w:pPr>
            <w:r w:rsidRPr="0049031A">
              <w:rPr>
                <w:bCs/>
                <w:color w:val="FFFFFF" w:themeColor="background1"/>
              </w:rPr>
              <w:t xml:space="preserve">Existing Assets </w:t>
            </w:r>
          </w:p>
          <w:p w14:paraId="4A1252A1" w14:textId="77777777" w:rsidR="00955146" w:rsidRDefault="00955146" w:rsidP="0049031A">
            <w:pPr>
              <w:jc w:val="both"/>
              <w:rPr>
                <w:b/>
                <w:color w:val="FFFFFF" w:themeColor="background1"/>
                <w:sz w:val="24"/>
                <w:szCs w:val="24"/>
              </w:rPr>
            </w:pPr>
          </w:p>
          <w:p w14:paraId="27A4A3A0" w14:textId="77777777" w:rsidR="00955146" w:rsidRDefault="00955146" w:rsidP="0049031A">
            <w:pPr>
              <w:jc w:val="both"/>
              <w:rPr>
                <w:b/>
                <w:color w:val="FFFFFF" w:themeColor="background1"/>
                <w:sz w:val="24"/>
                <w:szCs w:val="24"/>
              </w:rPr>
            </w:pPr>
          </w:p>
        </w:tc>
        <w:tc>
          <w:tcPr>
            <w:tcW w:w="8905" w:type="dxa"/>
            <w:shd w:val="clear" w:color="auto" w:fill="auto"/>
          </w:tcPr>
          <w:p w14:paraId="0D6FA4BE" w14:textId="57A672C8" w:rsidR="00110652" w:rsidRDefault="00E839CB" w:rsidP="00E3419E">
            <w:pPr>
              <w:jc w:val="both"/>
              <w:rPr>
                <w:bCs/>
              </w:rPr>
            </w:pPr>
            <w:r>
              <w:rPr>
                <w:bCs/>
              </w:rPr>
              <w:t xml:space="preserve">This Green Infrastructure Statement </w:t>
            </w:r>
            <w:r w:rsidR="0015419D">
              <w:rPr>
                <w:bCs/>
              </w:rPr>
              <w:t>was</w:t>
            </w:r>
            <w:r>
              <w:rPr>
                <w:bCs/>
              </w:rPr>
              <w:t xml:space="preserve"> informed by a site w</w:t>
            </w:r>
            <w:r w:rsidR="0015419D">
              <w:rPr>
                <w:bCs/>
              </w:rPr>
              <w:t>alkover</w:t>
            </w:r>
            <w:r w:rsidR="008C67C3" w:rsidRPr="009111DF">
              <w:rPr>
                <w:bCs/>
              </w:rPr>
              <w:t xml:space="preserve"> </w:t>
            </w:r>
            <w:r w:rsidR="00B9381A">
              <w:rPr>
                <w:bCs/>
              </w:rPr>
              <w:t xml:space="preserve">to </w:t>
            </w:r>
            <w:r w:rsidR="008C67C3" w:rsidRPr="009111DF">
              <w:rPr>
                <w:bCs/>
              </w:rPr>
              <w:t>confirm the</w:t>
            </w:r>
            <w:r w:rsidR="0015419D">
              <w:rPr>
                <w:bCs/>
              </w:rPr>
              <w:t xml:space="preserve"> existing</w:t>
            </w:r>
            <w:r w:rsidR="008C67C3" w:rsidRPr="009111DF">
              <w:rPr>
                <w:bCs/>
              </w:rPr>
              <w:t xml:space="preserve"> green infrastructure </w:t>
            </w:r>
            <w:r w:rsidR="00351578">
              <w:rPr>
                <w:bCs/>
              </w:rPr>
              <w:t>elements</w:t>
            </w:r>
            <w:r w:rsidR="008C67C3" w:rsidRPr="009111DF">
              <w:rPr>
                <w:bCs/>
              </w:rPr>
              <w:t xml:space="preserve"> </w:t>
            </w:r>
            <w:r w:rsidR="00760C71">
              <w:rPr>
                <w:bCs/>
              </w:rPr>
              <w:t>on</w:t>
            </w:r>
            <w:r w:rsidR="008C67C3" w:rsidRPr="009111DF">
              <w:rPr>
                <w:bCs/>
              </w:rPr>
              <w:t xml:space="preserve"> the site and i</w:t>
            </w:r>
            <w:r w:rsidR="00760C71">
              <w:rPr>
                <w:bCs/>
              </w:rPr>
              <w:t>n the</w:t>
            </w:r>
            <w:r w:rsidR="008C67C3" w:rsidRPr="009111DF">
              <w:rPr>
                <w:bCs/>
              </w:rPr>
              <w:t xml:space="preserve"> surrounding </w:t>
            </w:r>
            <w:r w:rsidR="00760C71">
              <w:rPr>
                <w:bCs/>
              </w:rPr>
              <w:t>area</w:t>
            </w:r>
            <w:r w:rsidR="008C67C3" w:rsidRPr="009111DF">
              <w:rPr>
                <w:bCs/>
              </w:rPr>
              <w:t xml:space="preserve">. </w:t>
            </w:r>
            <w:r w:rsidR="0015419D">
              <w:rPr>
                <w:bCs/>
              </w:rPr>
              <w:t xml:space="preserve">As identified above, the application site itself is entirely </w:t>
            </w:r>
            <w:r w:rsidR="00A4630F">
              <w:rPr>
                <w:bCs/>
              </w:rPr>
              <w:t>hard standing</w:t>
            </w:r>
            <w:r w:rsidR="009A2222">
              <w:rPr>
                <w:bCs/>
              </w:rPr>
              <w:t xml:space="preserve">, however </w:t>
            </w:r>
            <w:r w:rsidR="00760C71">
              <w:rPr>
                <w:bCs/>
              </w:rPr>
              <w:t xml:space="preserve">existing green infrastructure </w:t>
            </w:r>
            <w:r w:rsidR="00351578">
              <w:rPr>
                <w:bCs/>
              </w:rPr>
              <w:t>elements</w:t>
            </w:r>
            <w:r w:rsidR="00760C71">
              <w:rPr>
                <w:bCs/>
              </w:rPr>
              <w:t xml:space="preserve"> in the </w:t>
            </w:r>
            <w:r w:rsidR="00521860">
              <w:rPr>
                <w:bCs/>
              </w:rPr>
              <w:t xml:space="preserve">immediate locality of the site include: </w:t>
            </w:r>
          </w:p>
          <w:p w14:paraId="20D2B17C" w14:textId="77777777" w:rsidR="00110652" w:rsidRDefault="00110652" w:rsidP="00E3419E">
            <w:pPr>
              <w:jc w:val="both"/>
              <w:rPr>
                <w:bCs/>
              </w:rPr>
            </w:pPr>
          </w:p>
          <w:p w14:paraId="0F112B97" w14:textId="302BD75E" w:rsidR="00110652" w:rsidRPr="00110652" w:rsidRDefault="00110652" w:rsidP="00110652">
            <w:pPr>
              <w:pStyle w:val="ListParagraph"/>
              <w:numPr>
                <w:ilvl w:val="0"/>
                <w:numId w:val="40"/>
              </w:numPr>
              <w:jc w:val="both"/>
              <w:rPr>
                <w:bCs/>
              </w:rPr>
            </w:pPr>
            <w:r>
              <w:rPr>
                <w:bCs/>
              </w:rPr>
              <w:t>Hedgerows and shrubs outside the development boundary on the northern, western and southern boundaries</w:t>
            </w:r>
          </w:p>
          <w:p w14:paraId="29344A0D" w14:textId="26E84F6A" w:rsidR="00540DEB" w:rsidRPr="00637AE8" w:rsidRDefault="00540DEB" w:rsidP="00637AE8">
            <w:pPr>
              <w:jc w:val="both"/>
              <w:rPr>
                <w:bCs/>
              </w:rPr>
            </w:pPr>
          </w:p>
          <w:p w14:paraId="611C79FC" w14:textId="77777777" w:rsidR="00540DEB" w:rsidRPr="009111DF" w:rsidRDefault="00540DEB" w:rsidP="00E3419E">
            <w:pPr>
              <w:jc w:val="both"/>
              <w:rPr>
                <w:bCs/>
              </w:rPr>
            </w:pPr>
            <w:r w:rsidRPr="009111DF">
              <w:rPr>
                <w:bCs/>
              </w:rPr>
              <w:t xml:space="preserve">The green infrastructure elements are described briefly below, identifying and accessing </w:t>
            </w:r>
            <w:r w:rsidR="0042007E" w:rsidRPr="009111DF">
              <w:rPr>
                <w:bCs/>
              </w:rPr>
              <w:t>existing or potentially important elements. It summarises the Stepwise approach Step A – Identify and Assess.</w:t>
            </w:r>
          </w:p>
          <w:p w14:paraId="0F006929" w14:textId="77777777" w:rsidR="0042007E" w:rsidRDefault="0042007E" w:rsidP="00E3419E">
            <w:pPr>
              <w:jc w:val="both"/>
              <w:rPr>
                <w:bCs/>
              </w:rPr>
            </w:pPr>
          </w:p>
          <w:p w14:paraId="328A350E" w14:textId="07C72FCB" w:rsidR="00E61B91" w:rsidRPr="00E61B91" w:rsidRDefault="00E61B91" w:rsidP="00E3419E">
            <w:pPr>
              <w:jc w:val="both"/>
              <w:rPr>
                <w:bCs/>
                <w:u w:val="single"/>
              </w:rPr>
            </w:pPr>
            <w:r w:rsidRPr="00E61B91">
              <w:rPr>
                <w:bCs/>
                <w:u w:val="single"/>
              </w:rPr>
              <w:t xml:space="preserve">Ecology </w:t>
            </w:r>
          </w:p>
          <w:p w14:paraId="21631D7C" w14:textId="2223B2E1" w:rsidR="005D27F7" w:rsidRDefault="00E61B91" w:rsidP="00E3419E">
            <w:pPr>
              <w:jc w:val="both"/>
              <w:rPr>
                <w:bCs/>
              </w:rPr>
            </w:pPr>
            <w:r>
              <w:rPr>
                <w:bCs/>
              </w:rPr>
              <w:t xml:space="preserve">No ecology surveys are required for the site given that there are no ecology habitats within the site. The application relates to </w:t>
            </w:r>
            <w:r w:rsidR="00640886">
              <w:rPr>
                <w:bCs/>
              </w:rPr>
              <w:t xml:space="preserve">a </w:t>
            </w:r>
            <w:r>
              <w:rPr>
                <w:bCs/>
              </w:rPr>
              <w:t xml:space="preserve">use of land </w:t>
            </w:r>
            <w:r w:rsidR="00640886">
              <w:rPr>
                <w:bCs/>
              </w:rPr>
              <w:t>together with operational development comprising of the siting of storage units</w:t>
            </w:r>
            <w:r w:rsidR="00277AA9">
              <w:rPr>
                <w:bCs/>
              </w:rPr>
              <w:t xml:space="preserve"> on the previously existing hardstanding</w:t>
            </w:r>
            <w:r w:rsidR="00640886">
              <w:rPr>
                <w:bCs/>
              </w:rPr>
              <w:t xml:space="preserve"> </w:t>
            </w:r>
            <w:r>
              <w:rPr>
                <w:bCs/>
              </w:rPr>
              <w:t xml:space="preserve">(i.e. no physical works have been undertaken </w:t>
            </w:r>
            <w:r w:rsidR="00277AA9">
              <w:rPr>
                <w:bCs/>
              </w:rPr>
              <w:t xml:space="preserve">to the ground </w:t>
            </w:r>
            <w:r>
              <w:rPr>
                <w:bCs/>
              </w:rPr>
              <w:t>and none are proposed which could impact on off-site habitats)</w:t>
            </w:r>
            <w:r w:rsidR="00BA23F1">
              <w:rPr>
                <w:bCs/>
              </w:rPr>
              <w:t>. As such, off-site ecological value has been retained, and appropriate measures were taken during the formation phase of the development to ensure pollution control.</w:t>
            </w:r>
          </w:p>
          <w:p w14:paraId="48E16C61" w14:textId="77777777" w:rsidR="00BA23F1" w:rsidRDefault="00BA23F1" w:rsidP="00E3419E">
            <w:pPr>
              <w:jc w:val="both"/>
              <w:rPr>
                <w:bCs/>
              </w:rPr>
            </w:pPr>
          </w:p>
          <w:p w14:paraId="3DEA59E3" w14:textId="687E29F6" w:rsidR="00BA23F1" w:rsidRDefault="00BA23F1" w:rsidP="00E3419E">
            <w:pPr>
              <w:jc w:val="both"/>
              <w:rPr>
                <w:bCs/>
                <w:u w:val="single"/>
              </w:rPr>
            </w:pPr>
            <w:r w:rsidRPr="00BA23F1">
              <w:rPr>
                <w:bCs/>
                <w:u w:val="single"/>
              </w:rPr>
              <w:t>Trees</w:t>
            </w:r>
          </w:p>
          <w:p w14:paraId="289DB582" w14:textId="53286C23" w:rsidR="00BA23F1" w:rsidRDefault="00BA23F1" w:rsidP="00E3419E">
            <w:pPr>
              <w:jc w:val="both"/>
              <w:rPr>
                <w:bCs/>
              </w:rPr>
            </w:pPr>
            <w:r>
              <w:rPr>
                <w:bCs/>
              </w:rPr>
              <w:t>No tree survey is required for the site, due to the development site being entirely hard standing and no physical works to the ground having been undertaken/proposed. Small hedgerows and shrubs line the northern, western and southern boundaries</w:t>
            </w:r>
            <w:r w:rsidR="00AE54D7">
              <w:rPr>
                <w:bCs/>
              </w:rPr>
              <w:t xml:space="preserve">. However, </w:t>
            </w:r>
            <w:r w:rsidR="00A4630F">
              <w:rPr>
                <w:bCs/>
              </w:rPr>
              <w:t>these collections of shrubs</w:t>
            </w:r>
            <w:r w:rsidR="00AE54D7">
              <w:rPr>
                <w:bCs/>
              </w:rPr>
              <w:t xml:space="preserve"> do not lie in the vicinity </w:t>
            </w:r>
            <w:r w:rsidR="00CC089F">
              <w:rPr>
                <w:bCs/>
              </w:rPr>
              <w:t>of boundary lines of the Site and were retained and safeguarded as part of the construction process of the shipping containers.</w:t>
            </w:r>
          </w:p>
          <w:p w14:paraId="29FC5DD7" w14:textId="77777777" w:rsidR="00CC089F" w:rsidRDefault="00CC089F" w:rsidP="00E3419E">
            <w:pPr>
              <w:jc w:val="both"/>
              <w:rPr>
                <w:bCs/>
              </w:rPr>
            </w:pPr>
          </w:p>
          <w:p w14:paraId="5329C703" w14:textId="22E2F4FC" w:rsidR="00CC089F" w:rsidRDefault="00CC089F" w:rsidP="00E3419E">
            <w:pPr>
              <w:jc w:val="both"/>
              <w:rPr>
                <w:bCs/>
                <w:u w:val="single"/>
              </w:rPr>
            </w:pPr>
            <w:r>
              <w:rPr>
                <w:bCs/>
                <w:u w:val="single"/>
              </w:rPr>
              <w:t xml:space="preserve">Drainage </w:t>
            </w:r>
          </w:p>
          <w:p w14:paraId="7C19FC0B" w14:textId="7B361E9D" w:rsidR="00CC089F" w:rsidRDefault="00CC089F" w:rsidP="0013164C">
            <w:pPr>
              <w:jc w:val="both"/>
              <w:rPr>
                <w:bCs/>
              </w:rPr>
            </w:pPr>
            <w:r>
              <w:rPr>
                <w:bCs/>
              </w:rPr>
              <w:t xml:space="preserve">The site </w:t>
            </w:r>
            <w:r w:rsidR="00BB4D5E">
              <w:rPr>
                <w:bCs/>
              </w:rPr>
              <w:t>will be</w:t>
            </w:r>
            <w:r w:rsidR="00277AA9">
              <w:rPr>
                <w:bCs/>
              </w:rPr>
              <w:t xml:space="preserve"> subject to</w:t>
            </w:r>
            <w:r w:rsidR="0013164C">
              <w:rPr>
                <w:bCs/>
              </w:rPr>
              <w:t xml:space="preserve"> Sustainable Drainage requirements as part of a separate SABs application,</w:t>
            </w:r>
            <w:r w:rsidR="00BB4D5E">
              <w:rPr>
                <w:bCs/>
              </w:rPr>
              <w:t xml:space="preserve"> </w:t>
            </w:r>
            <w:r w:rsidR="0095603C">
              <w:rPr>
                <w:bCs/>
              </w:rPr>
              <w:t>which will be submitted in due course.</w:t>
            </w:r>
          </w:p>
          <w:p w14:paraId="338EAA47" w14:textId="77777777" w:rsidR="000B0716" w:rsidRDefault="000B0716" w:rsidP="00E3419E">
            <w:pPr>
              <w:jc w:val="both"/>
              <w:rPr>
                <w:bCs/>
              </w:rPr>
            </w:pPr>
          </w:p>
          <w:p w14:paraId="42205D02" w14:textId="7EE9CB1C" w:rsidR="000B0716" w:rsidRDefault="000B0716" w:rsidP="00E3419E">
            <w:pPr>
              <w:jc w:val="both"/>
              <w:rPr>
                <w:bCs/>
                <w:u w:val="single"/>
              </w:rPr>
            </w:pPr>
            <w:r>
              <w:rPr>
                <w:bCs/>
                <w:u w:val="single"/>
              </w:rPr>
              <w:t>Landscape</w:t>
            </w:r>
          </w:p>
          <w:p w14:paraId="5ED573B0" w14:textId="57545560" w:rsidR="004648FC" w:rsidRDefault="000B0716" w:rsidP="00637AE8">
            <w:pPr>
              <w:jc w:val="both"/>
              <w:rPr>
                <w:bCs/>
              </w:rPr>
            </w:pPr>
            <w:r>
              <w:rPr>
                <w:bCs/>
              </w:rPr>
              <w:t xml:space="preserve">The site held </w:t>
            </w:r>
            <w:r w:rsidR="00B41ECF">
              <w:rPr>
                <w:bCs/>
              </w:rPr>
              <w:t>no</w:t>
            </w:r>
            <w:r>
              <w:rPr>
                <w:bCs/>
              </w:rPr>
              <w:t xml:space="preserve"> landscape and amenity value due </w:t>
            </w:r>
            <w:r w:rsidR="007E3463">
              <w:rPr>
                <w:bCs/>
              </w:rPr>
              <w:t xml:space="preserve">to </w:t>
            </w:r>
            <w:r w:rsidR="001F0D44">
              <w:rPr>
                <w:bCs/>
              </w:rPr>
              <w:t>its previous use as a storage site as a bus and coach store.</w:t>
            </w:r>
          </w:p>
          <w:p w14:paraId="755F220B" w14:textId="77777777" w:rsidR="009D04EB" w:rsidRDefault="009D04EB" w:rsidP="00637AE8">
            <w:pPr>
              <w:jc w:val="both"/>
              <w:rPr>
                <w:bCs/>
              </w:rPr>
            </w:pPr>
          </w:p>
          <w:p w14:paraId="5E3B11D2" w14:textId="77777777" w:rsidR="0095603C" w:rsidRDefault="0095603C" w:rsidP="00637AE8">
            <w:pPr>
              <w:jc w:val="both"/>
              <w:rPr>
                <w:bCs/>
              </w:rPr>
            </w:pPr>
          </w:p>
          <w:p w14:paraId="58ABDF79" w14:textId="77777777" w:rsidR="0095603C" w:rsidRDefault="0095603C" w:rsidP="00637AE8">
            <w:pPr>
              <w:jc w:val="both"/>
              <w:rPr>
                <w:bCs/>
              </w:rPr>
            </w:pPr>
          </w:p>
          <w:p w14:paraId="100F2FE2" w14:textId="45F0622E" w:rsidR="0095603C" w:rsidRPr="009D04EB" w:rsidRDefault="0095603C" w:rsidP="00637AE8">
            <w:pPr>
              <w:jc w:val="both"/>
              <w:rPr>
                <w:bCs/>
              </w:rPr>
            </w:pPr>
          </w:p>
        </w:tc>
      </w:tr>
      <w:tr w:rsidR="0055075A" w14:paraId="7DF9F4F1" w14:textId="77777777" w:rsidTr="00FA1733">
        <w:tc>
          <w:tcPr>
            <w:tcW w:w="10485" w:type="dxa"/>
            <w:gridSpan w:val="2"/>
            <w:shd w:val="clear" w:color="auto" w:fill="70AD47" w:themeFill="accent6"/>
          </w:tcPr>
          <w:p w14:paraId="593C3A35" w14:textId="77777777" w:rsidR="0055075A" w:rsidRDefault="005A1948" w:rsidP="0049031A">
            <w:pPr>
              <w:jc w:val="both"/>
              <w:rPr>
                <w:b/>
                <w:color w:val="FFFFFF" w:themeColor="background1"/>
                <w:sz w:val="24"/>
                <w:szCs w:val="24"/>
              </w:rPr>
            </w:pPr>
            <w:r>
              <w:rPr>
                <w:b/>
                <w:color w:val="FFFFFF" w:themeColor="background1"/>
                <w:sz w:val="24"/>
                <w:szCs w:val="24"/>
              </w:rPr>
              <w:lastRenderedPageBreak/>
              <w:t>Assessment</w:t>
            </w:r>
          </w:p>
          <w:p w14:paraId="6B88E65A" w14:textId="324DA1A7" w:rsidR="0049031A" w:rsidRDefault="0049031A" w:rsidP="0049031A">
            <w:pPr>
              <w:jc w:val="both"/>
              <w:rPr>
                <w:b/>
                <w:color w:val="FFFFFF" w:themeColor="background1"/>
                <w:sz w:val="24"/>
                <w:szCs w:val="24"/>
              </w:rPr>
            </w:pPr>
          </w:p>
        </w:tc>
      </w:tr>
      <w:tr w:rsidR="005A1948" w:rsidRPr="0049031A" w14:paraId="6140CA68" w14:textId="77777777" w:rsidTr="00C1028C">
        <w:tc>
          <w:tcPr>
            <w:tcW w:w="1580" w:type="dxa"/>
            <w:shd w:val="clear" w:color="auto" w:fill="70AD47" w:themeFill="accent6"/>
          </w:tcPr>
          <w:p w14:paraId="7410AB04" w14:textId="6BB622A7" w:rsidR="005A1948" w:rsidRPr="0049031A" w:rsidRDefault="009C7368" w:rsidP="0049031A">
            <w:pPr>
              <w:jc w:val="both"/>
              <w:rPr>
                <w:bCs/>
                <w:color w:val="FFFFFF" w:themeColor="background1"/>
              </w:rPr>
            </w:pPr>
            <w:r w:rsidRPr="0049031A">
              <w:rPr>
                <w:bCs/>
                <w:color w:val="FFFFFF" w:themeColor="background1"/>
              </w:rPr>
              <w:t xml:space="preserve">Green Infrastructure </w:t>
            </w:r>
            <w:r w:rsidR="00A860BC" w:rsidRPr="0049031A">
              <w:rPr>
                <w:bCs/>
                <w:color w:val="FFFFFF" w:themeColor="background1"/>
              </w:rPr>
              <w:t>E</w:t>
            </w:r>
            <w:r w:rsidRPr="0049031A">
              <w:rPr>
                <w:bCs/>
                <w:color w:val="FFFFFF" w:themeColor="background1"/>
              </w:rPr>
              <w:t>nhancement</w:t>
            </w:r>
            <w:r w:rsidR="0049031A" w:rsidRPr="0049031A">
              <w:rPr>
                <w:bCs/>
                <w:color w:val="FFFFFF" w:themeColor="background1"/>
              </w:rPr>
              <w:t xml:space="preserve"> </w:t>
            </w:r>
            <w:r w:rsidR="00A860BC" w:rsidRPr="0049031A">
              <w:rPr>
                <w:bCs/>
                <w:color w:val="FFFFFF" w:themeColor="background1"/>
              </w:rPr>
              <w:t>&amp; M</w:t>
            </w:r>
            <w:r w:rsidRPr="0049031A">
              <w:rPr>
                <w:bCs/>
                <w:color w:val="FFFFFF" w:themeColor="background1"/>
              </w:rPr>
              <w:t>itigation</w:t>
            </w:r>
          </w:p>
          <w:p w14:paraId="77DFB9AD" w14:textId="77777777" w:rsidR="009C7368" w:rsidRPr="0049031A" w:rsidRDefault="009C7368" w:rsidP="0049031A">
            <w:pPr>
              <w:jc w:val="both"/>
              <w:rPr>
                <w:bCs/>
                <w:color w:val="FFFFFF" w:themeColor="background1"/>
              </w:rPr>
            </w:pPr>
          </w:p>
          <w:p w14:paraId="0D81E25F" w14:textId="77777777" w:rsidR="009C7368" w:rsidRPr="0049031A" w:rsidRDefault="009C7368" w:rsidP="0049031A">
            <w:pPr>
              <w:jc w:val="both"/>
              <w:rPr>
                <w:bCs/>
                <w:color w:val="FFFFFF" w:themeColor="background1"/>
              </w:rPr>
            </w:pPr>
          </w:p>
          <w:p w14:paraId="10E81979" w14:textId="77777777" w:rsidR="009C7368" w:rsidRPr="0049031A" w:rsidRDefault="009C7368" w:rsidP="0049031A">
            <w:pPr>
              <w:jc w:val="both"/>
              <w:rPr>
                <w:bCs/>
                <w:color w:val="FFFFFF" w:themeColor="background1"/>
              </w:rPr>
            </w:pPr>
          </w:p>
          <w:p w14:paraId="6DC5E5A0" w14:textId="79215B84" w:rsidR="009C7368" w:rsidRPr="0049031A" w:rsidRDefault="009C7368" w:rsidP="0049031A">
            <w:pPr>
              <w:jc w:val="both"/>
              <w:rPr>
                <w:bCs/>
                <w:color w:val="FFFFFF" w:themeColor="background1"/>
              </w:rPr>
            </w:pPr>
          </w:p>
        </w:tc>
        <w:tc>
          <w:tcPr>
            <w:tcW w:w="8905" w:type="dxa"/>
            <w:shd w:val="clear" w:color="auto" w:fill="auto"/>
          </w:tcPr>
          <w:p w14:paraId="605F0F19" w14:textId="3CA38946" w:rsidR="00C1028C" w:rsidRDefault="00382188" w:rsidP="00E3419E">
            <w:pPr>
              <w:jc w:val="both"/>
              <w:rPr>
                <w:bCs/>
              </w:rPr>
            </w:pPr>
            <w:r>
              <w:rPr>
                <w:bCs/>
              </w:rPr>
              <w:t xml:space="preserve">In alignment with local and national Planning Policy, a stepwise approach has been utilised for the Site proposals, proportional to the size, scope and context of a change of use application for existing dwellings, as outlined in PPW Edition 12 Chapter 6. </w:t>
            </w:r>
            <w:r w:rsidR="003647A9">
              <w:rPr>
                <w:bCs/>
              </w:rPr>
              <w:t>Section 6.2 sets out that at smaller scalers “individual urban interventions such as street trees, hedgerows, roadside verges, and green roofs/walls can all contribute to green infrastructure networks”.</w:t>
            </w:r>
          </w:p>
          <w:p w14:paraId="79CACBF1" w14:textId="77777777" w:rsidR="003647A9" w:rsidRDefault="003647A9" w:rsidP="00E3419E">
            <w:pPr>
              <w:jc w:val="both"/>
              <w:rPr>
                <w:bCs/>
              </w:rPr>
            </w:pPr>
          </w:p>
          <w:p w14:paraId="1195FED0" w14:textId="49B5A8A0" w:rsidR="003647A9" w:rsidRDefault="003647A9" w:rsidP="00E3419E">
            <w:pPr>
              <w:jc w:val="both"/>
              <w:rPr>
                <w:bCs/>
              </w:rPr>
            </w:pPr>
            <w:r>
              <w:rPr>
                <w:bCs/>
              </w:rPr>
              <w:t>Step A has been addressed in the earlier sections of this document, identifying existing Green Infrastructure (GI) assets.</w:t>
            </w:r>
          </w:p>
          <w:p w14:paraId="438A8488" w14:textId="77777777" w:rsidR="003647A9" w:rsidRDefault="003647A9" w:rsidP="00E3419E">
            <w:pPr>
              <w:jc w:val="both"/>
              <w:rPr>
                <w:bCs/>
              </w:rPr>
            </w:pPr>
          </w:p>
          <w:p w14:paraId="2CAD2F39" w14:textId="31058257" w:rsidR="003647A9" w:rsidRDefault="003647A9" w:rsidP="00E3419E">
            <w:pPr>
              <w:jc w:val="both"/>
              <w:rPr>
                <w:bCs/>
              </w:rPr>
            </w:pPr>
            <w:r>
              <w:rPr>
                <w:bCs/>
              </w:rPr>
              <w:t xml:space="preserve">Step B’s objective is to avoid GI loss wherever feasible. </w:t>
            </w:r>
            <w:r w:rsidR="00514249">
              <w:rPr>
                <w:bCs/>
              </w:rPr>
              <w:t>The nature of the</w:t>
            </w:r>
            <w:r>
              <w:rPr>
                <w:bCs/>
              </w:rPr>
              <w:t xml:space="preserve"> works </w:t>
            </w:r>
            <w:proofErr w:type="gramStart"/>
            <w:r>
              <w:rPr>
                <w:bCs/>
              </w:rPr>
              <w:t>are</w:t>
            </w:r>
            <w:proofErr w:type="gramEnd"/>
            <w:r>
              <w:rPr>
                <w:bCs/>
              </w:rPr>
              <w:t xml:space="preserve"> </w:t>
            </w:r>
            <w:r w:rsidR="00514249">
              <w:rPr>
                <w:bCs/>
              </w:rPr>
              <w:t xml:space="preserve">such that </w:t>
            </w:r>
            <w:r>
              <w:rPr>
                <w:bCs/>
              </w:rPr>
              <w:t xml:space="preserve">there </w:t>
            </w:r>
            <w:r w:rsidR="00514249">
              <w:rPr>
                <w:bCs/>
              </w:rPr>
              <w:t>has been no</w:t>
            </w:r>
            <w:r>
              <w:rPr>
                <w:bCs/>
              </w:rPr>
              <w:t xml:space="preserve"> loss of any identified GI assets</w:t>
            </w:r>
            <w:r w:rsidR="00514249">
              <w:rPr>
                <w:bCs/>
              </w:rPr>
              <w:t>, and nor are any proposed.</w:t>
            </w:r>
          </w:p>
          <w:p w14:paraId="1F011850" w14:textId="77777777" w:rsidR="009827F9" w:rsidRDefault="009827F9" w:rsidP="00E3419E">
            <w:pPr>
              <w:jc w:val="both"/>
              <w:rPr>
                <w:bCs/>
              </w:rPr>
            </w:pPr>
          </w:p>
          <w:p w14:paraId="2E318C42" w14:textId="5E20E666" w:rsidR="009827F9" w:rsidRDefault="009827F9" w:rsidP="00E3419E">
            <w:pPr>
              <w:jc w:val="both"/>
              <w:rPr>
                <w:bCs/>
              </w:rPr>
            </w:pPr>
            <w:r>
              <w:rPr>
                <w:bCs/>
              </w:rPr>
              <w:t xml:space="preserve">Step C involves designing and responding to any unavoidable losses to achieve a net improvement in the GI and biodiversity value of the site. </w:t>
            </w:r>
            <w:r w:rsidR="00236083">
              <w:rPr>
                <w:bCs/>
              </w:rPr>
              <w:t>However,</w:t>
            </w:r>
            <w:r>
              <w:rPr>
                <w:bCs/>
              </w:rPr>
              <w:t xml:space="preserve"> the </w:t>
            </w:r>
            <w:r w:rsidR="00514249">
              <w:rPr>
                <w:bCs/>
              </w:rPr>
              <w:t>application</w:t>
            </w:r>
            <w:r>
              <w:rPr>
                <w:bCs/>
              </w:rPr>
              <w:t xml:space="preserve"> does </w:t>
            </w:r>
            <w:r w:rsidR="00514249">
              <w:rPr>
                <w:bCs/>
              </w:rPr>
              <w:t>not include</w:t>
            </w:r>
            <w:r>
              <w:rPr>
                <w:bCs/>
              </w:rPr>
              <w:t xml:space="preserve"> any GI loss, and thus Step </w:t>
            </w:r>
            <w:r w:rsidR="001A52A3">
              <w:rPr>
                <w:bCs/>
              </w:rPr>
              <w:t>C</w:t>
            </w:r>
            <w:r>
              <w:rPr>
                <w:bCs/>
              </w:rPr>
              <w:t xml:space="preserve"> is not applicable.</w:t>
            </w:r>
          </w:p>
          <w:p w14:paraId="3FB2341A" w14:textId="77777777" w:rsidR="00BE227B" w:rsidRDefault="00BE227B" w:rsidP="00E3419E">
            <w:pPr>
              <w:jc w:val="both"/>
              <w:rPr>
                <w:bCs/>
              </w:rPr>
            </w:pPr>
          </w:p>
          <w:p w14:paraId="03772014" w14:textId="73BB347A" w:rsidR="005F328A" w:rsidRDefault="00273249" w:rsidP="005F328A">
            <w:pPr>
              <w:jc w:val="both"/>
              <w:rPr>
                <w:bCs/>
              </w:rPr>
            </w:pPr>
            <w:r>
              <w:rPr>
                <w:bCs/>
              </w:rPr>
              <w:t xml:space="preserve">Current operations on site </w:t>
            </w:r>
            <w:r w:rsidR="00D60165">
              <w:rPr>
                <w:bCs/>
              </w:rPr>
              <w:t>have</w:t>
            </w:r>
            <w:r>
              <w:rPr>
                <w:bCs/>
              </w:rPr>
              <w:t xml:space="preserve"> adhered to all environmental r</w:t>
            </w:r>
            <w:r w:rsidR="002C3555">
              <w:rPr>
                <w:bCs/>
              </w:rPr>
              <w:t>equirements</w:t>
            </w:r>
            <w:r>
              <w:rPr>
                <w:bCs/>
              </w:rPr>
              <w:t xml:space="preserve"> </w:t>
            </w:r>
            <w:r w:rsidR="00942F65">
              <w:rPr>
                <w:bCs/>
              </w:rPr>
              <w:t>set out by</w:t>
            </w:r>
            <w:r w:rsidR="00193F0E">
              <w:rPr>
                <w:bCs/>
              </w:rPr>
              <w:t xml:space="preserve"> P</w:t>
            </w:r>
            <w:r w:rsidR="00942F65">
              <w:rPr>
                <w:bCs/>
              </w:rPr>
              <w:t xml:space="preserve">lanning </w:t>
            </w:r>
            <w:r w:rsidR="00193F0E">
              <w:rPr>
                <w:bCs/>
              </w:rPr>
              <w:t>P</w:t>
            </w:r>
            <w:r w:rsidR="00942F65">
              <w:rPr>
                <w:bCs/>
              </w:rPr>
              <w:t xml:space="preserve">olicy </w:t>
            </w:r>
            <w:r w:rsidR="00193F0E">
              <w:rPr>
                <w:bCs/>
              </w:rPr>
              <w:t>Wales</w:t>
            </w:r>
            <w:r w:rsidR="00942F65">
              <w:rPr>
                <w:bCs/>
              </w:rPr>
              <w:t xml:space="preserve"> (PPW)</w:t>
            </w:r>
            <w:r w:rsidR="00F51923">
              <w:rPr>
                <w:bCs/>
              </w:rPr>
              <w:t xml:space="preserve">, ensuring </w:t>
            </w:r>
            <w:r w:rsidR="001E27A2">
              <w:rPr>
                <w:bCs/>
              </w:rPr>
              <w:t>the effective mitigation of emissions and minimizing any adverse impact on the local area</w:t>
            </w:r>
            <w:r w:rsidR="008C7B78">
              <w:rPr>
                <w:bCs/>
              </w:rPr>
              <w:t xml:space="preserve">. </w:t>
            </w:r>
            <w:r w:rsidR="00D14C29">
              <w:rPr>
                <w:bCs/>
              </w:rPr>
              <w:t>The</w:t>
            </w:r>
            <w:r w:rsidR="00875E61">
              <w:rPr>
                <w:bCs/>
              </w:rPr>
              <w:t xml:space="preserve"> change </w:t>
            </w:r>
            <w:r w:rsidR="00514249">
              <w:rPr>
                <w:bCs/>
              </w:rPr>
              <w:t xml:space="preserve">of use </w:t>
            </w:r>
            <w:r w:rsidR="00875E61">
              <w:rPr>
                <w:bCs/>
              </w:rPr>
              <w:t>from a bus depot</w:t>
            </w:r>
            <w:r w:rsidR="00D14C29">
              <w:rPr>
                <w:bCs/>
              </w:rPr>
              <w:t>, reduces both noise and pollution to the surrounding residential area</w:t>
            </w:r>
            <w:r w:rsidR="005819B8">
              <w:rPr>
                <w:bCs/>
              </w:rPr>
              <w:t xml:space="preserve">, greatly improving </w:t>
            </w:r>
            <w:r w:rsidR="009574BF">
              <w:rPr>
                <w:bCs/>
              </w:rPr>
              <w:t>its</w:t>
            </w:r>
            <w:r w:rsidR="002F771D">
              <w:rPr>
                <w:bCs/>
              </w:rPr>
              <w:t xml:space="preserve"> character.</w:t>
            </w:r>
            <w:r w:rsidR="005819B8">
              <w:rPr>
                <w:bCs/>
              </w:rPr>
              <w:t xml:space="preserve"> </w:t>
            </w:r>
            <w:r w:rsidR="00926BED">
              <w:rPr>
                <w:bCs/>
              </w:rPr>
              <w:t>Unlike the constant movement of buses, the storage facility will generate far less noise, wi</w:t>
            </w:r>
            <w:r w:rsidR="00C93657">
              <w:rPr>
                <w:bCs/>
              </w:rPr>
              <w:t>th activity largely limited to loading and unloading</w:t>
            </w:r>
            <w:r w:rsidR="005F328A">
              <w:rPr>
                <w:bCs/>
              </w:rPr>
              <w:t>. Th</w:t>
            </w:r>
            <w:r w:rsidR="009574BF">
              <w:rPr>
                <w:bCs/>
              </w:rPr>
              <w:t>is</w:t>
            </w:r>
            <w:r w:rsidR="005F328A">
              <w:rPr>
                <w:bCs/>
              </w:rPr>
              <w:t xml:space="preserve"> decrease in traffic well alleviate congestion, improve air quality, and create a safer and quieter environment for residents.</w:t>
            </w:r>
            <w:r w:rsidR="00B1662A">
              <w:rPr>
                <w:bCs/>
              </w:rPr>
              <w:t xml:space="preserve"> </w:t>
            </w:r>
            <w:r w:rsidR="005F328A">
              <w:rPr>
                <w:bCs/>
              </w:rPr>
              <w:t xml:space="preserve">This targeted approach to </w:t>
            </w:r>
            <w:r w:rsidR="0068636F">
              <w:rPr>
                <w:bCs/>
              </w:rPr>
              <w:t xml:space="preserve">environmental stewardship has provided more direct benefits than broader green infrastructure </w:t>
            </w:r>
            <w:r w:rsidR="004732C6">
              <w:rPr>
                <w:bCs/>
              </w:rPr>
              <w:t>measures and diminishes the need for new green infrastructure on site.</w:t>
            </w:r>
          </w:p>
          <w:p w14:paraId="08A03F41" w14:textId="77777777" w:rsidR="0031592E" w:rsidRDefault="0031592E" w:rsidP="00BE5157">
            <w:pPr>
              <w:jc w:val="both"/>
              <w:rPr>
                <w:bCs/>
              </w:rPr>
            </w:pPr>
          </w:p>
          <w:p w14:paraId="21EACEFA" w14:textId="1AEAC072" w:rsidR="008C5C26" w:rsidRDefault="0031592E" w:rsidP="00BE5157">
            <w:pPr>
              <w:jc w:val="both"/>
              <w:rPr>
                <w:bCs/>
              </w:rPr>
            </w:pPr>
            <w:r>
              <w:rPr>
                <w:bCs/>
              </w:rPr>
              <w:t xml:space="preserve">In accordance with the practicable constraints on the site, the incorporation of green infrastructure would reduce optimal </w:t>
            </w:r>
            <w:r w:rsidR="007C0071">
              <w:rPr>
                <w:bCs/>
              </w:rPr>
              <w:t>usage on site</w:t>
            </w:r>
            <w:r>
              <w:rPr>
                <w:bCs/>
              </w:rPr>
              <w:t>. By accessing environmental stewardship in relation to pollution control</w:t>
            </w:r>
            <w:r w:rsidR="00B52868">
              <w:rPr>
                <w:bCs/>
              </w:rPr>
              <w:t>,</w:t>
            </w:r>
            <w:r>
              <w:rPr>
                <w:bCs/>
              </w:rPr>
              <w:t xml:space="preserve"> the site therefore complies with Policy KP5, </w:t>
            </w:r>
            <w:r>
              <w:rPr>
                <w:bCs/>
                <w:i/>
                <w:iCs/>
              </w:rPr>
              <w:t xml:space="preserve">‘Promoting the efficient use of land, developing at highest practicable densities’ </w:t>
            </w:r>
            <w:r>
              <w:rPr>
                <w:bCs/>
              </w:rPr>
              <w:t xml:space="preserve">whilst still optimising </w:t>
            </w:r>
            <w:r w:rsidR="00A16BF0">
              <w:rPr>
                <w:bCs/>
              </w:rPr>
              <w:t xml:space="preserve">its </w:t>
            </w:r>
            <w:r w:rsidR="004E5445">
              <w:rPr>
                <w:bCs/>
              </w:rPr>
              <w:t xml:space="preserve">potential to </w:t>
            </w:r>
            <w:r w:rsidR="00B52868">
              <w:rPr>
                <w:bCs/>
              </w:rPr>
              <w:t xml:space="preserve">help mitigate </w:t>
            </w:r>
            <w:r w:rsidR="0028173E">
              <w:rPr>
                <w:bCs/>
              </w:rPr>
              <w:t>environmental pollution.</w:t>
            </w:r>
          </w:p>
          <w:p w14:paraId="5D7CBA93" w14:textId="77777777" w:rsidR="0031592E" w:rsidRDefault="0031592E" w:rsidP="00BE5157">
            <w:pPr>
              <w:jc w:val="both"/>
              <w:rPr>
                <w:bCs/>
              </w:rPr>
            </w:pPr>
          </w:p>
          <w:p w14:paraId="348B8F80" w14:textId="4861A00B" w:rsidR="00CC7C76" w:rsidRDefault="00324632" w:rsidP="00BE5157">
            <w:pPr>
              <w:jc w:val="both"/>
              <w:rPr>
                <w:bCs/>
              </w:rPr>
            </w:pPr>
            <w:r>
              <w:rPr>
                <w:bCs/>
              </w:rPr>
              <w:t xml:space="preserve">With the business requiring no on-site staff, it diminishes the need for any additional green infrastructure </w:t>
            </w:r>
            <w:r w:rsidR="005C1020">
              <w:rPr>
                <w:bCs/>
              </w:rPr>
              <w:t>as it typically serves as outdoor or amenity space for employees</w:t>
            </w:r>
            <w:r w:rsidR="000B270F">
              <w:rPr>
                <w:bCs/>
              </w:rPr>
              <w:t xml:space="preserve">. The lack of personnel and in line with the industrial characteristics of the site, it reduces the necessity to incorporate </w:t>
            </w:r>
            <w:r w:rsidR="00223CEC">
              <w:rPr>
                <w:bCs/>
              </w:rPr>
              <w:t>landscaping in this application.</w:t>
            </w:r>
            <w:r w:rsidR="00CC7C76">
              <w:rPr>
                <w:bCs/>
              </w:rPr>
              <w:t xml:space="preserve"> </w:t>
            </w:r>
          </w:p>
          <w:p w14:paraId="50E3D70B" w14:textId="77777777" w:rsidR="006B3512" w:rsidRDefault="006B3512" w:rsidP="00BE5157">
            <w:pPr>
              <w:jc w:val="both"/>
              <w:rPr>
                <w:bCs/>
              </w:rPr>
            </w:pPr>
          </w:p>
          <w:p w14:paraId="3AB59536" w14:textId="29EFDC25" w:rsidR="006B3512" w:rsidRDefault="00A516DD" w:rsidP="00BE5157">
            <w:pPr>
              <w:jc w:val="both"/>
              <w:rPr>
                <w:bCs/>
              </w:rPr>
            </w:pPr>
            <w:r>
              <w:rPr>
                <w:bCs/>
              </w:rPr>
              <w:t xml:space="preserve">The site situates itself within close vicinity </w:t>
            </w:r>
            <w:r w:rsidR="00B65EA7">
              <w:rPr>
                <w:bCs/>
              </w:rPr>
              <w:t xml:space="preserve">to </w:t>
            </w:r>
            <w:r w:rsidR="0066291A">
              <w:rPr>
                <w:bCs/>
              </w:rPr>
              <w:t>several</w:t>
            </w:r>
            <w:r w:rsidR="00B65EA7">
              <w:rPr>
                <w:bCs/>
              </w:rPr>
              <w:t xml:space="preserve"> green spaces that act </w:t>
            </w:r>
            <w:r w:rsidR="0007655F">
              <w:rPr>
                <w:bCs/>
              </w:rPr>
              <w:t xml:space="preserve">as </w:t>
            </w:r>
            <w:r w:rsidR="000D2350">
              <w:rPr>
                <w:bCs/>
              </w:rPr>
              <w:t xml:space="preserve">a </w:t>
            </w:r>
            <w:r w:rsidR="0007655F">
              <w:rPr>
                <w:bCs/>
              </w:rPr>
              <w:t xml:space="preserve">sufficient network of </w:t>
            </w:r>
            <w:r w:rsidR="00AE7C2E">
              <w:rPr>
                <w:bCs/>
              </w:rPr>
              <w:t>outdoor areas</w:t>
            </w:r>
            <w:r w:rsidR="00783824">
              <w:rPr>
                <w:bCs/>
              </w:rPr>
              <w:t xml:space="preserve"> for the Site</w:t>
            </w:r>
            <w:r w:rsidR="00A2485A">
              <w:rPr>
                <w:bCs/>
              </w:rPr>
              <w:t>, and therefore further reduces the necessity to include green infrastructure on this industrial site.</w:t>
            </w:r>
          </w:p>
          <w:tbl>
            <w:tblPr>
              <w:tblStyle w:val="PlainTable3"/>
              <w:tblpPr w:leftFromText="180" w:rightFromText="180" w:vertAnchor="text" w:horzAnchor="margin" w:tblpY="215"/>
              <w:tblOverlap w:val="never"/>
              <w:tblW w:w="0" w:type="auto"/>
              <w:tblLook w:val="04A0" w:firstRow="1" w:lastRow="0" w:firstColumn="1" w:lastColumn="0" w:noHBand="0" w:noVBand="1"/>
            </w:tblPr>
            <w:tblGrid>
              <w:gridCol w:w="3153"/>
              <w:gridCol w:w="3153"/>
            </w:tblGrid>
            <w:tr w:rsidR="0066291A" w14:paraId="4C3884B5" w14:textId="77777777" w:rsidTr="0066291A">
              <w:trPr>
                <w:cnfStyle w:val="100000000000" w:firstRow="1" w:lastRow="0" w:firstColumn="0" w:lastColumn="0" w:oddVBand="0" w:evenVBand="0" w:oddHBand="0" w:evenHBand="0" w:firstRowFirstColumn="0" w:firstRowLastColumn="0" w:lastRowFirstColumn="0" w:lastRowLastColumn="0"/>
                <w:trHeight w:val="289"/>
              </w:trPr>
              <w:tc>
                <w:tcPr>
                  <w:cnfStyle w:val="001000000100" w:firstRow="0" w:lastRow="0" w:firstColumn="1" w:lastColumn="0" w:oddVBand="0" w:evenVBand="0" w:oddHBand="0" w:evenHBand="0" w:firstRowFirstColumn="1" w:firstRowLastColumn="0" w:lastRowFirstColumn="0" w:lastRowLastColumn="0"/>
                  <w:tcW w:w="3153" w:type="dxa"/>
                </w:tcPr>
                <w:p w14:paraId="65E76D0B" w14:textId="77777777" w:rsidR="0066291A" w:rsidRDefault="0066291A" w:rsidP="0066291A">
                  <w:pPr>
                    <w:jc w:val="both"/>
                    <w:rPr>
                      <w:bCs w:val="0"/>
                    </w:rPr>
                  </w:pPr>
                  <w:r>
                    <w:rPr>
                      <w:bCs w:val="0"/>
                    </w:rPr>
                    <w:t>Open Space</w:t>
                  </w:r>
                </w:p>
              </w:tc>
              <w:tc>
                <w:tcPr>
                  <w:tcW w:w="3153" w:type="dxa"/>
                </w:tcPr>
                <w:p w14:paraId="7A4F3887" w14:textId="77777777" w:rsidR="0066291A" w:rsidRDefault="0066291A" w:rsidP="0066291A">
                  <w:pPr>
                    <w:jc w:val="both"/>
                    <w:cnfStyle w:val="100000000000" w:firstRow="1" w:lastRow="0" w:firstColumn="0" w:lastColumn="0" w:oddVBand="0" w:evenVBand="0" w:oddHBand="0" w:evenHBand="0" w:firstRowFirstColumn="0" w:firstRowLastColumn="0" w:lastRowFirstColumn="0" w:lastRowLastColumn="0"/>
                    <w:rPr>
                      <w:bCs w:val="0"/>
                    </w:rPr>
                  </w:pPr>
                  <w:r>
                    <w:rPr>
                      <w:bCs w:val="0"/>
                    </w:rPr>
                    <w:t>Walking Distance (Minute)</w:t>
                  </w:r>
                </w:p>
              </w:tc>
            </w:tr>
            <w:tr w:rsidR="0066291A" w14:paraId="45AFF662" w14:textId="77777777" w:rsidTr="0066291A">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153" w:type="dxa"/>
                </w:tcPr>
                <w:p w14:paraId="2F4802B9" w14:textId="77777777" w:rsidR="0066291A" w:rsidRPr="008D65CB" w:rsidRDefault="0066291A" w:rsidP="0066291A">
                  <w:pPr>
                    <w:jc w:val="both"/>
                    <w:rPr>
                      <w:b w:val="0"/>
                    </w:rPr>
                  </w:pPr>
                  <w:r>
                    <w:rPr>
                      <w:b w:val="0"/>
                    </w:rPr>
                    <w:t>J</w:t>
                  </w:r>
                  <w:r>
                    <w:rPr>
                      <w:b w:val="0"/>
                      <w:caps w:val="0"/>
                    </w:rPr>
                    <w:t>ubilee Recreation Ground</w:t>
                  </w:r>
                </w:p>
              </w:tc>
              <w:tc>
                <w:tcPr>
                  <w:tcW w:w="3153" w:type="dxa"/>
                </w:tcPr>
                <w:p w14:paraId="789D4D6B" w14:textId="77777777" w:rsidR="0066291A" w:rsidRDefault="0066291A" w:rsidP="0066291A">
                  <w:pPr>
                    <w:jc w:val="center"/>
                    <w:cnfStyle w:val="000000100000" w:firstRow="0" w:lastRow="0" w:firstColumn="0" w:lastColumn="0" w:oddVBand="0" w:evenVBand="0" w:oddHBand="1" w:evenHBand="0" w:firstRowFirstColumn="0" w:firstRowLastColumn="0" w:lastRowFirstColumn="0" w:lastRowLastColumn="0"/>
                    <w:rPr>
                      <w:bCs/>
                    </w:rPr>
                  </w:pPr>
                  <w:r>
                    <w:rPr>
                      <w:bCs/>
                    </w:rPr>
                    <w:t>4</w:t>
                  </w:r>
                </w:p>
              </w:tc>
            </w:tr>
            <w:tr w:rsidR="0066291A" w14:paraId="39AAA83B" w14:textId="77777777" w:rsidTr="0066291A">
              <w:trPr>
                <w:trHeight w:val="289"/>
              </w:trPr>
              <w:tc>
                <w:tcPr>
                  <w:cnfStyle w:val="001000000000" w:firstRow="0" w:lastRow="0" w:firstColumn="1" w:lastColumn="0" w:oddVBand="0" w:evenVBand="0" w:oddHBand="0" w:evenHBand="0" w:firstRowFirstColumn="0" w:firstRowLastColumn="0" w:lastRowFirstColumn="0" w:lastRowLastColumn="0"/>
                  <w:tcW w:w="3153" w:type="dxa"/>
                </w:tcPr>
                <w:p w14:paraId="0A8BF8D4" w14:textId="77777777" w:rsidR="0066291A" w:rsidRPr="0066291A" w:rsidRDefault="0066291A" w:rsidP="0066291A">
                  <w:pPr>
                    <w:jc w:val="both"/>
                    <w:rPr>
                      <w:b w:val="0"/>
                      <w:caps w:val="0"/>
                    </w:rPr>
                  </w:pPr>
                  <w:r w:rsidRPr="0066291A">
                    <w:rPr>
                      <w:b w:val="0"/>
                      <w:caps w:val="0"/>
                    </w:rPr>
                    <w:t>Sevenoaks Park</w:t>
                  </w:r>
                </w:p>
              </w:tc>
              <w:tc>
                <w:tcPr>
                  <w:tcW w:w="3153" w:type="dxa"/>
                </w:tcPr>
                <w:p w14:paraId="36D58DB8" w14:textId="77777777" w:rsidR="0066291A" w:rsidRDefault="0066291A" w:rsidP="0066291A">
                  <w:pPr>
                    <w:jc w:val="center"/>
                    <w:cnfStyle w:val="000000000000" w:firstRow="0" w:lastRow="0" w:firstColumn="0" w:lastColumn="0" w:oddVBand="0" w:evenVBand="0" w:oddHBand="0" w:evenHBand="0" w:firstRowFirstColumn="0" w:firstRowLastColumn="0" w:lastRowFirstColumn="0" w:lastRowLastColumn="0"/>
                    <w:rPr>
                      <w:bCs/>
                    </w:rPr>
                  </w:pPr>
                  <w:r>
                    <w:rPr>
                      <w:bCs/>
                    </w:rPr>
                    <w:t>13</w:t>
                  </w:r>
                </w:p>
              </w:tc>
            </w:tr>
            <w:tr w:rsidR="0066291A" w14:paraId="7B52D6E9" w14:textId="77777777" w:rsidTr="0066291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153" w:type="dxa"/>
                </w:tcPr>
                <w:p w14:paraId="6304B7D9" w14:textId="77777777" w:rsidR="0066291A" w:rsidRPr="0066291A" w:rsidRDefault="0066291A" w:rsidP="0066291A">
                  <w:pPr>
                    <w:jc w:val="both"/>
                    <w:rPr>
                      <w:b w:val="0"/>
                      <w:caps w:val="0"/>
                    </w:rPr>
                  </w:pPr>
                  <w:r w:rsidRPr="0066291A">
                    <w:rPr>
                      <w:b w:val="0"/>
                      <w:caps w:val="0"/>
                    </w:rPr>
                    <w:t>Ninian Park</w:t>
                  </w:r>
                </w:p>
              </w:tc>
              <w:tc>
                <w:tcPr>
                  <w:tcW w:w="3153" w:type="dxa"/>
                </w:tcPr>
                <w:p w14:paraId="470DE68F" w14:textId="77777777" w:rsidR="0066291A" w:rsidRDefault="0066291A" w:rsidP="0066291A">
                  <w:pPr>
                    <w:jc w:val="center"/>
                    <w:cnfStyle w:val="000000100000" w:firstRow="0" w:lastRow="0" w:firstColumn="0" w:lastColumn="0" w:oddVBand="0" w:evenVBand="0" w:oddHBand="1" w:evenHBand="0" w:firstRowFirstColumn="0" w:firstRowLastColumn="0" w:lastRowFirstColumn="0" w:lastRowLastColumn="0"/>
                    <w:rPr>
                      <w:bCs/>
                    </w:rPr>
                  </w:pPr>
                  <w:r>
                    <w:rPr>
                      <w:bCs/>
                    </w:rPr>
                    <w:t>15</w:t>
                  </w:r>
                </w:p>
              </w:tc>
            </w:tr>
          </w:tbl>
          <w:p w14:paraId="2E168D43" w14:textId="0B74FFD2" w:rsidR="00223CEC" w:rsidRDefault="00223CEC" w:rsidP="00BE5157">
            <w:pPr>
              <w:jc w:val="both"/>
              <w:rPr>
                <w:bCs/>
              </w:rPr>
            </w:pPr>
          </w:p>
          <w:p w14:paraId="7E377FAD" w14:textId="77777777" w:rsidR="00CB2178" w:rsidRDefault="00CB2178" w:rsidP="00BE5157">
            <w:pPr>
              <w:jc w:val="both"/>
              <w:rPr>
                <w:bCs/>
              </w:rPr>
            </w:pPr>
          </w:p>
          <w:p w14:paraId="5FC1FB49" w14:textId="77777777" w:rsidR="00A2485A" w:rsidRDefault="00A2485A" w:rsidP="00BE5157">
            <w:pPr>
              <w:jc w:val="both"/>
              <w:rPr>
                <w:bCs/>
              </w:rPr>
            </w:pPr>
          </w:p>
          <w:p w14:paraId="5F4F934C" w14:textId="77777777" w:rsidR="00223CEC" w:rsidRDefault="00223CEC" w:rsidP="00BE5157">
            <w:pPr>
              <w:jc w:val="both"/>
              <w:rPr>
                <w:bCs/>
              </w:rPr>
            </w:pPr>
          </w:p>
          <w:p w14:paraId="3B8ABEE9" w14:textId="77777777" w:rsidR="0066291A" w:rsidRDefault="0066291A" w:rsidP="009B5470">
            <w:pPr>
              <w:jc w:val="both"/>
              <w:rPr>
                <w:bCs/>
              </w:rPr>
            </w:pPr>
          </w:p>
          <w:p w14:paraId="4B6822A9" w14:textId="77777777" w:rsidR="0066291A" w:rsidRDefault="0066291A" w:rsidP="009B5470">
            <w:pPr>
              <w:jc w:val="both"/>
              <w:rPr>
                <w:bCs/>
              </w:rPr>
            </w:pPr>
          </w:p>
          <w:p w14:paraId="5C31EA4D" w14:textId="77777777" w:rsidR="00A91EE9" w:rsidRDefault="0075440C" w:rsidP="00BE5157">
            <w:pPr>
              <w:jc w:val="both"/>
              <w:rPr>
                <w:bCs/>
              </w:rPr>
            </w:pPr>
            <w:r>
              <w:rPr>
                <w:bCs/>
              </w:rPr>
              <w:t>Furthermore, the green infrastructure o</w:t>
            </w:r>
            <w:r w:rsidR="002B4832">
              <w:rPr>
                <w:bCs/>
              </w:rPr>
              <w:t xml:space="preserve">n the site boundary </w:t>
            </w:r>
            <w:r w:rsidR="005D7113">
              <w:rPr>
                <w:bCs/>
              </w:rPr>
              <w:t>has been retained, with no losses recorded.</w:t>
            </w:r>
          </w:p>
          <w:p w14:paraId="03AB64A5" w14:textId="7C2A430A" w:rsidR="00477CB5" w:rsidRPr="00382188" w:rsidRDefault="00477CB5" w:rsidP="00BE5157">
            <w:pPr>
              <w:jc w:val="both"/>
              <w:rPr>
                <w:bCs/>
              </w:rPr>
            </w:pPr>
          </w:p>
        </w:tc>
      </w:tr>
      <w:tr w:rsidR="000D5576" w14:paraId="7B43F8D5" w14:textId="77777777" w:rsidTr="00FA1733">
        <w:tc>
          <w:tcPr>
            <w:tcW w:w="10485" w:type="dxa"/>
            <w:gridSpan w:val="2"/>
            <w:shd w:val="clear" w:color="auto" w:fill="70AD47" w:themeFill="accent6"/>
          </w:tcPr>
          <w:p w14:paraId="76033E24" w14:textId="0CCECA95" w:rsidR="000D5576" w:rsidRPr="00F543DF" w:rsidRDefault="004B1269" w:rsidP="0049031A">
            <w:pPr>
              <w:jc w:val="both"/>
              <w:rPr>
                <w:b/>
                <w:color w:val="FFFFFF" w:themeColor="background1"/>
                <w:sz w:val="24"/>
                <w:szCs w:val="24"/>
              </w:rPr>
            </w:pPr>
            <w:bookmarkStart w:id="0" w:name="_Hlk49414672"/>
            <w:r>
              <w:rPr>
                <w:b/>
                <w:color w:val="FFFFFF" w:themeColor="background1"/>
                <w:sz w:val="24"/>
                <w:szCs w:val="24"/>
              </w:rPr>
              <w:lastRenderedPageBreak/>
              <w:t>Conclusion</w:t>
            </w:r>
          </w:p>
          <w:p w14:paraId="7573EC7A" w14:textId="77777777" w:rsidR="000D5576" w:rsidRDefault="000D5576" w:rsidP="0049031A">
            <w:pPr>
              <w:jc w:val="both"/>
            </w:pPr>
          </w:p>
        </w:tc>
      </w:tr>
      <w:bookmarkEnd w:id="0"/>
      <w:tr w:rsidR="000D5576" w14:paraId="35232305" w14:textId="77777777" w:rsidTr="00955146">
        <w:tc>
          <w:tcPr>
            <w:tcW w:w="1580" w:type="dxa"/>
            <w:shd w:val="clear" w:color="auto" w:fill="70AD47" w:themeFill="accent6"/>
          </w:tcPr>
          <w:p w14:paraId="79ADEE99" w14:textId="77777777" w:rsidR="000D5576" w:rsidRDefault="000D5576" w:rsidP="0049031A">
            <w:pPr>
              <w:jc w:val="both"/>
            </w:pPr>
          </w:p>
        </w:tc>
        <w:tc>
          <w:tcPr>
            <w:tcW w:w="8905" w:type="dxa"/>
          </w:tcPr>
          <w:p w14:paraId="74283583" w14:textId="1E7E962F" w:rsidR="00637AE8" w:rsidRDefault="00551913" w:rsidP="00637AE8">
            <w:pPr>
              <w:jc w:val="both"/>
              <w:rPr>
                <w:iCs/>
              </w:rPr>
            </w:pPr>
            <w:r>
              <w:rPr>
                <w:iCs/>
              </w:rPr>
              <w:t>T</w:t>
            </w:r>
            <w:r w:rsidR="000B05F7">
              <w:rPr>
                <w:iCs/>
              </w:rPr>
              <w:t xml:space="preserve">he current utilization of the site for storage and distribution activities inherently limits </w:t>
            </w:r>
            <w:r w:rsidR="001446D9">
              <w:rPr>
                <w:iCs/>
              </w:rPr>
              <w:t>the feasibility of integrating landscaping measures aimed at enhancing green infrastructure.</w:t>
            </w:r>
            <w:r w:rsidR="00267F7E">
              <w:rPr>
                <w:iCs/>
              </w:rPr>
              <w:t xml:space="preserve"> Given </w:t>
            </w:r>
            <w:r w:rsidR="004459C2">
              <w:rPr>
                <w:iCs/>
              </w:rPr>
              <w:t>its location sandwiched between industrial/commercial sites</w:t>
            </w:r>
            <w:r w:rsidR="00CF4CAA">
              <w:rPr>
                <w:iCs/>
              </w:rPr>
              <w:t>, additional green infrastructure may not yield significant ecological benefits, particularly in terms of supporting local biodiversity. The focus has therefore been on safeguarding the existing natural features.</w:t>
            </w:r>
          </w:p>
          <w:p w14:paraId="1FCFADBC" w14:textId="77777777" w:rsidR="006644E8" w:rsidRDefault="006644E8" w:rsidP="00637AE8">
            <w:pPr>
              <w:jc w:val="both"/>
              <w:rPr>
                <w:iCs/>
              </w:rPr>
            </w:pPr>
          </w:p>
          <w:p w14:paraId="37C2633F" w14:textId="77777777" w:rsidR="006644E8" w:rsidRDefault="006644E8" w:rsidP="00637AE8">
            <w:pPr>
              <w:jc w:val="both"/>
              <w:rPr>
                <w:iCs/>
              </w:rPr>
            </w:pPr>
            <w:r>
              <w:rPr>
                <w:iCs/>
              </w:rPr>
              <w:t xml:space="preserve">It is therefore concluded that, given </w:t>
            </w:r>
            <w:r w:rsidR="009919EA">
              <w:rPr>
                <w:iCs/>
              </w:rPr>
              <w:t>the nature and location of existing green infrastructure assets and the scope of the application</w:t>
            </w:r>
            <w:r w:rsidR="0098632C">
              <w:rPr>
                <w:iCs/>
              </w:rPr>
              <w:t xml:space="preserve">, the development successfully meets the aims and objectives of Planning Policy Wales and Cardiff Local Development </w:t>
            </w:r>
            <w:r w:rsidR="00E30CA1">
              <w:rPr>
                <w:iCs/>
              </w:rPr>
              <w:t xml:space="preserve">Plan in respect of protection and enhancement of Green Infrastructure. </w:t>
            </w:r>
          </w:p>
          <w:p w14:paraId="486DBE1C" w14:textId="4F351313" w:rsidR="002C3555" w:rsidRPr="003A47D0" w:rsidRDefault="002C3555" w:rsidP="00637AE8">
            <w:pPr>
              <w:jc w:val="both"/>
              <w:rPr>
                <w:iCs/>
              </w:rPr>
            </w:pPr>
          </w:p>
        </w:tc>
      </w:tr>
    </w:tbl>
    <w:p w14:paraId="313D2200" w14:textId="7DCBEBEF" w:rsidR="003A47D0" w:rsidRPr="003A47D0" w:rsidRDefault="003A47D0" w:rsidP="003A47D0">
      <w:pPr>
        <w:tabs>
          <w:tab w:val="left" w:pos="1578"/>
        </w:tabs>
      </w:pPr>
    </w:p>
    <w:sectPr w:rsidR="003A47D0" w:rsidRPr="003A47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3AABE" w14:textId="77777777" w:rsidR="00D67665" w:rsidRDefault="00D67665" w:rsidP="00F96DDC">
      <w:pPr>
        <w:spacing w:after="0" w:line="240" w:lineRule="auto"/>
      </w:pPr>
      <w:r>
        <w:separator/>
      </w:r>
    </w:p>
  </w:endnote>
  <w:endnote w:type="continuationSeparator" w:id="0">
    <w:p w14:paraId="56E98305" w14:textId="77777777" w:rsidR="00D67665" w:rsidRDefault="00D67665" w:rsidP="00F96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E3AFC" w14:textId="77777777" w:rsidR="00D67665" w:rsidRDefault="00D67665" w:rsidP="00F96DDC">
      <w:pPr>
        <w:spacing w:after="0" w:line="240" w:lineRule="auto"/>
      </w:pPr>
      <w:r>
        <w:separator/>
      </w:r>
    </w:p>
  </w:footnote>
  <w:footnote w:type="continuationSeparator" w:id="0">
    <w:p w14:paraId="7469F42B" w14:textId="77777777" w:rsidR="00D67665" w:rsidRDefault="00D67665" w:rsidP="00F96D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454D"/>
    <w:multiLevelType w:val="hybridMultilevel"/>
    <w:tmpl w:val="1688CE0A"/>
    <w:lvl w:ilvl="0" w:tplc="ADE8360E">
      <w:start w:val="4"/>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0A8655F"/>
    <w:multiLevelType w:val="hybridMultilevel"/>
    <w:tmpl w:val="787EF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31738D"/>
    <w:multiLevelType w:val="hybridMultilevel"/>
    <w:tmpl w:val="713C8B0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2D84625"/>
    <w:multiLevelType w:val="hybridMultilevel"/>
    <w:tmpl w:val="969EA2C6"/>
    <w:lvl w:ilvl="0" w:tplc="2E6E90A4">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03563C64"/>
    <w:multiLevelType w:val="hybridMultilevel"/>
    <w:tmpl w:val="95CE9FB0"/>
    <w:lvl w:ilvl="0" w:tplc="DED2C30E">
      <w:start w:val="1"/>
      <w:numFmt w:val="lowerRoman"/>
      <w:lvlText w:val="%1."/>
      <w:lvlJc w:val="left"/>
      <w:pPr>
        <w:ind w:left="770" w:hanging="72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5" w15:restartNumberingAfterBreak="0">
    <w:nsid w:val="03D36919"/>
    <w:multiLevelType w:val="hybridMultilevel"/>
    <w:tmpl w:val="4EB035E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53573A5"/>
    <w:multiLevelType w:val="hybridMultilevel"/>
    <w:tmpl w:val="95682036"/>
    <w:lvl w:ilvl="0" w:tplc="4D54E8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5F677A"/>
    <w:multiLevelType w:val="hybridMultilevel"/>
    <w:tmpl w:val="1CDC9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5D0D4B"/>
    <w:multiLevelType w:val="hybridMultilevel"/>
    <w:tmpl w:val="3A88CA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2C7C3F"/>
    <w:multiLevelType w:val="hybridMultilevel"/>
    <w:tmpl w:val="98F2E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744C6"/>
    <w:multiLevelType w:val="hybridMultilevel"/>
    <w:tmpl w:val="73448790"/>
    <w:lvl w:ilvl="0" w:tplc="021893E2">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2D07BF"/>
    <w:multiLevelType w:val="hybridMultilevel"/>
    <w:tmpl w:val="AB6E06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50482D"/>
    <w:multiLevelType w:val="hybridMultilevel"/>
    <w:tmpl w:val="73B68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8C7E56"/>
    <w:multiLevelType w:val="hybridMultilevel"/>
    <w:tmpl w:val="0D6AE8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241346E"/>
    <w:multiLevelType w:val="hybridMultilevel"/>
    <w:tmpl w:val="2BB895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4E281C"/>
    <w:multiLevelType w:val="hybridMultilevel"/>
    <w:tmpl w:val="F32C8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EE37F0"/>
    <w:multiLevelType w:val="hybridMultilevel"/>
    <w:tmpl w:val="C18CB2AE"/>
    <w:lvl w:ilvl="0" w:tplc="08090001">
      <w:start w:val="1"/>
      <w:numFmt w:val="bullet"/>
      <w:lvlText w:val=""/>
      <w:lvlJc w:val="left"/>
      <w:pPr>
        <w:ind w:left="720" w:hanging="360"/>
      </w:pPr>
      <w:rPr>
        <w:rFonts w:ascii="Symbol" w:hAnsi="Symbol" w:hint="default"/>
      </w:rPr>
    </w:lvl>
    <w:lvl w:ilvl="1" w:tplc="63FE973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8840FA"/>
    <w:multiLevelType w:val="hybridMultilevel"/>
    <w:tmpl w:val="D884CCB0"/>
    <w:lvl w:ilvl="0" w:tplc="021893E2">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F0212B"/>
    <w:multiLevelType w:val="hybridMultilevel"/>
    <w:tmpl w:val="2CBCB4A4"/>
    <w:lvl w:ilvl="0" w:tplc="9BB6283E">
      <w:start w:val="1"/>
      <w:numFmt w:val="lowerRoman"/>
      <w:lvlText w:val="%1."/>
      <w:lvlJc w:val="left"/>
      <w:pPr>
        <w:ind w:left="770" w:hanging="72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9" w15:restartNumberingAfterBreak="0">
    <w:nsid w:val="44035D24"/>
    <w:multiLevelType w:val="hybridMultilevel"/>
    <w:tmpl w:val="F036CDDA"/>
    <w:lvl w:ilvl="0" w:tplc="021893E2">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45364D"/>
    <w:multiLevelType w:val="hybridMultilevel"/>
    <w:tmpl w:val="DF4AA75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5A80AB8"/>
    <w:multiLevelType w:val="hybridMultilevel"/>
    <w:tmpl w:val="60D8D704"/>
    <w:lvl w:ilvl="0" w:tplc="CF2A3BA4">
      <w:start w:val="3"/>
      <w:numFmt w:val="lowerLetter"/>
      <w:lvlText w:val="%1)"/>
      <w:lvlJc w:val="left"/>
      <w:pPr>
        <w:ind w:left="720" w:hanging="360"/>
      </w:pPr>
      <w:rPr>
        <w:rFonts w:hint="default"/>
      </w:rPr>
    </w:lvl>
    <w:lvl w:ilvl="1" w:tplc="4EFED2F2">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C75E81"/>
    <w:multiLevelType w:val="hybridMultilevel"/>
    <w:tmpl w:val="98CC7638"/>
    <w:lvl w:ilvl="0" w:tplc="DED2C30E">
      <w:start w:val="1"/>
      <w:numFmt w:val="lowerRoman"/>
      <w:lvlText w:val="%1."/>
      <w:lvlJc w:val="left"/>
      <w:pPr>
        <w:ind w:left="820" w:hanging="720"/>
      </w:pPr>
      <w:rPr>
        <w:rFonts w:hint="default"/>
      </w:r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3" w15:restartNumberingAfterBreak="0">
    <w:nsid w:val="48AD5604"/>
    <w:multiLevelType w:val="hybridMultilevel"/>
    <w:tmpl w:val="FF9CC8BA"/>
    <w:lvl w:ilvl="0" w:tplc="1F3CC598">
      <w:start w:val="4"/>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4D4928"/>
    <w:multiLevelType w:val="hybridMultilevel"/>
    <w:tmpl w:val="8F424D02"/>
    <w:lvl w:ilvl="0" w:tplc="021893E2">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CC329D"/>
    <w:multiLevelType w:val="hybridMultilevel"/>
    <w:tmpl w:val="E0C43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2912C6"/>
    <w:multiLevelType w:val="hybridMultilevel"/>
    <w:tmpl w:val="BBE4A5D2"/>
    <w:lvl w:ilvl="0" w:tplc="021893E2">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403DAA"/>
    <w:multiLevelType w:val="hybridMultilevel"/>
    <w:tmpl w:val="BADC2A88"/>
    <w:lvl w:ilvl="0" w:tplc="021893E2">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C01B85"/>
    <w:multiLevelType w:val="hybridMultilevel"/>
    <w:tmpl w:val="CD826D8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617E6C18"/>
    <w:multiLevelType w:val="hybridMultilevel"/>
    <w:tmpl w:val="5664C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C638E6"/>
    <w:multiLevelType w:val="hybridMultilevel"/>
    <w:tmpl w:val="4CD4E97E"/>
    <w:lvl w:ilvl="0" w:tplc="75D86D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E45E6F"/>
    <w:multiLevelType w:val="hybridMultilevel"/>
    <w:tmpl w:val="15E08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4374E1"/>
    <w:multiLevelType w:val="hybridMultilevel"/>
    <w:tmpl w:val="686ED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A14842"/>
    <w:multiLevelType w:val="hybridMultilevel"/>
    <w:tmpl w:val="871E2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393326"/>
    <w:multiLevelType w:val="hybridMultilevel"/>
    <w:tmpl w:val="FCEA3728"/>
    <w:lvl w:ilvl="0" w:tplc="BDA6FDB4">
      <w:start w:val="1"/>
      <w:numFmt w:val="bullet"/>
      <w:lvlText w:val=""/>
      <w:lvlJc w:val="left"/>
      <w:pPr>
        <w:ind w:left="720" w:hanging="360"/>
      </w:pPr>
      <w:rPr>
        <w:rFonts w:ascii="Symbol" w:hAnsi="Symbol" w:hint="default"/>
        <w:sz w:val="1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3CB78CA"/>
    <w:multiLevelType w:val="hybridMultilevel"/>
    <w:tmpl w:val="6584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C0523B"/>
    <w:multiLevelType w:val="hybridMultilevel"/>
    <w:tmpl w:val="6F3CF28A"/>
    <w:lvl w:ilvl="0" w:tplc="512EE7E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023AE0"/>
    <w:multiLevelType w:val="hybridMultilevel"/>
    <w:tmpl w:val="C4AC8F1C"/>
    <w:lvl w:ilvl="0" w:tplc="DED2C30E">
      <w:start w:val="1"/>
      <w:numFmt w:val="lowerRoman"/>
      <w:lvlText w:val="%1."/>
      <w:lvlJc w:val="left"/>
      <w:pPr>
        <w:ind w:left="770" w:hanging="72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38" w15:restartNumberingAfterBreak="0">
    <w:nsid w:val="7A0322C8"/>
    <w:multiLevelType w:val="hybridMultilevel"/>
    <w:tmpl w:val="F6A475F8"/>
    <w:lvl w:ilvl="0" w:tplc="BDA6FDB4">
      <w:start w:val="1"/>
      <w:numFmt w:val="bullet"/>
      <w:lvlText w:val=""/>
      <w:lvlJc w:val="left"/>
      <w:pPr>
        <w:ind w:left="720" w:hanging="360"/>
      </w:pPr>
      <w:rPr>
        <w:rFonts w:ascii="Symbol" w:hAnsi="Symbol" w:hint="default"/>
        <w:sz w:val="12"/>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D42189C"/>
    <w:multiLevelType w:val="hybridMultilevel"/>
    <w:tmpl w:val="99EC8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EF105A"/>
    <w:multiLevelType w:val="hybridMultilevel"/>
    <w:tmpl w:val="E68AE2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8557490">
    <w:abstractNumId w:val="16"/>
  </w:num>
  <w:num w:numId="2" w16cid:durableId="956369745">
    <w:abstractNumId w:val="7"/>
  </w:num>
  <w:num w:numId="3" w16cid:durableId="134881942">
    <w:abstractNumId w:val="14"/>
  </w:num>
  <w:num w:numId="4" w16cid:durableId="188105115">
    <w:abstractNumId w:val="21"/>
  </w:num>
  <w:num w:numId="5" w16cid:durableId="1249778461">
    <w:abstractNumId w:val="20"/>
  </w:num>
  <w:num w:numId="6" w16cid:durableId="446852596">
    <w:abstractNumId w:val="28"/>
  </w:num>
  <w:num w:numId="7" w16cid:durableId="1337879704">
    <w:abstractNumId w:val="5"/>
  </w:num>
  <w:num w:numId="8" w16cid:durableId="607202417">
    <w:abstractNumId w:val="2"/>
  </w:num>
  <w:num w:numId="9" w16cid:durableId="1414934600">
    <w:abstractNumId w:val="3"/>
  </w:num>
  <w:num w:numId="10" w16cid:durableId="868033360">
    <w:abstractNumId w:val="15"/>
  </w:num>
  <w:num w:numId="11" w16cid:durableId="859002728">
    <w:abstractNumId w:val="33"/>
  </w:num>
  <w:num w:numId="12" w16cid:durableId="2109808684">
    <w:abstractNumId w:val="9"/>
  </w:num>
  <w:num w:numId="13" w16cid:durableId="1679581528">
    <w:abstractNumId w:val="1"/>
  </w:num>
  <w:num w:numId="14" w16cid:durableId="1930966138">
    <w:abstractNumId w:val="32"/>
  </w:num>
  <w:num w:numId="15" w16cid:durableId="1127239294">
    <w:abstractNumId w:val="8"/>
  </w:num>
  <w:num w:numId="16" w16cid:durableId="1867406004">
    <w:abstractNumId w:val="25"/>
  </w:num>
  <w:num w:numId="17" w16cid:durableId="992217328">
    <w:abstractNumId w:val="13"/>
  </w:num>
  <w:num w:numId="18" w16cid:durableId="918826024">
    <w:abstractNumId w:val="29"/>
  </w:num>
  <w:num w:numId="19" w16cid:durableId="1582134076">
    <w:abstractNumId w:val="38"/>
  </w:num>
  <w:num w:numId="20" w16cid:durableId="1144465072">
    <w:abstractNumId w:val="34"/>
  </w:num>
  <w:num w:numId="21" w16cid:durableId="665745750">
    <w:abstractNumId w:val="12"/>
  </w:num>
  <w:num w:numId="22" w16cid:durableId="1534735027">
    <w:abstractNumId w:val="39"/>
  </w:num>
  <w:num w:numId="23" w16cid:durableId="7798916">
    <w:abstractNumId w:val="35"/>
  </w:num>
  <w:num w:numId="24" w16cid:durableId="112986889">
    <w:abstractNumId w:val="17"/>
  </w:num>
  <w:num w:numId="25" w16cid:durableId="162359505">
    <w:abstractNumId w:val="27"/>
  </w:num>
  <w:num w:numId="26" w16cid:durableId="907226566">
    <w:abstractNumId w:val="10"/>
  </w:num>
  <w:num w:numId="27" w16cid:durableId="1008942188">
    <w:abstractNumId w:val="11"/>
  </w:num>
  <w:num w:numId="28" w16cid:durableId="1163937060">
    <w:abstractNumId w:val="30"/>
  </w:num>
  <w:num w:numId="29" w16cid:durableId="1780490914">
    <w:abstractNumId w:val="18"/>
  </w:num>
  <w:num w:numId="30" w16cid:durableId="453526298">
    <w:abstractNumId w:val="4"/>
  </w:num>
  <w:num w:numId="31" w16cid:durableId="734470507">
    <w:abstractNumId w:val="22"/>
  </w:num>
  <w:num w:numId="32" w16cid:durableId="278418720">
    <w:abstractNumId w:val="37"/>
  </w:num>
  <w:num w:numId="33" w16cid:durableId="375548506">
    <w:abstractNumId w:val="24"/>
  </w:num>
  <w:num w:numId="34" w16cid:durableId="1081298373">
    <w:abstractNumId w:val="26"/>
  </w:num>
  <w:num w:numId="35" w16cid:durableId="2102871552">
    <w:abstractNumId w:val="19"/>
  </w:num>
  <w:num w:numId="36" w16cid:durableId="1339768705">
    <w:abstractNumId w:val="40"/>
  </w:num>
  <w:num w:numId="37" w16cid:durableId="1124153179">
    <w:abstractNumId w:val="0"/>
  </w:num>
  <w:num w:numId="38" w16cid:durableId="155850209">
    <w:abstractNumId w:val="23"/>
  </w:num>
  <w:num w:numId="39" w16cid:durableId="1084693032">
    <w:abstractNumId w:val="36"/>
  </w:num>
  <w:num w:numId="40" w16cid:durableId="913200787">
    <w:abstractNumId w:val="6"/>
  </w:num>
  <w:num w:numId="41" w16cid:durableId="200481348">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6D"/>
    <w:rsid w:val="00002175"/>
    <w:rsid w:val="00003451"/>
    <w:rsid w:val="00004A77"/>
    <w:rsid w:val="00010BB3"/>
    <w:rsid w:val="00012BAE"/>
    <w:rsid w:val="00026A71"/>
    <w:rsid w:val="00032423"/>
    <w:rsid w:val="000324FB"/>
    <w:rsid w:val="00033480"/>
    <w:rsid w:val="00036FB1"/>
    <w:rsid w:val="00040B1F"/>
    <w:rsid w:val="00040CA3"/>
    <w:rsid w:val="00040CA8"/>
    <w:rsid w:val="0004333C"/>
    <w:rsid w:val="00044817"/>
    <w:rsid w:val="00046A90"/>
    <w:rsid w:val="00047DFE"/>
    <w:rsid w:val="000548C8"/>
    <w:rsid w:val="00054F97"/>
    <w:rsid w:val="00057ED7"/>
    <w:rsid w:val="000637BC"/>
    <w:rsid w:val="00064468"/>
    <w:rsid w:val="00064485"/>
    <w:rsid w:val="000667F3"/>
    <w:rsid w:val="00070C9D"/>
    <w:rsid w:val="000746AF"/>
    <w:rsid w:val="00074CBB"/>
    <w:rsid w:val="0007655F"/>
    <w:rsid w:val="00076FD2"/>
    <w:rsid w:val="00080DED"/>
    <w:rsid w:val="000818C2"/>
    <w:rsid w:val="00081AAE"/>
    <w:rsid w:val="00083043"/>
    <w:rsid w:val="0008320E"/>
    <w:rsid w:val="00086386"/>
    <w:rsid w:val="00086E86"/>
    <w:rsid w:val="00090E6A"/>
    <w:rsid w:val="0009190A"/>
    <w:rsid w:val="00096A58"/>
    <w:rsid w:val="000A1A62"/>
    <w:rsid w:val="000A3175"/>
    <w:rsid w:val="000A4ABA"/>
    <w:rsid w:val="000B05F7"/>
    <w:rsid w:val="000B0716"/>
    <w:rsid w:val="000B19F7"/>
    <w:rsid w:val="000B270F"/>
    <w:rsid w:val="000B32A6"/>
    <w:rsid w:val="000B4D2B"/>
    <w:rsid w:val="000C1646"/>
    <w:rsid w:val="000C1857"/>
    <w:rsid w:val="000C2D79"/>
    <w:rsid w:val="000C3F85"/>
    <w:rsid w:val="000C3FE4"/>
    <w:rsid w:val="000C53F5"/>
    <w:rsid w:val="000C652C"/>
    <w:rsid w:val="000C6FAD"/>
    <w:rsid w:val="000C7CF4"/>
    <w:rsid w:val="000D08AA"/>
    <w:rsid w:val="000D0A03"/>
    <w:rsid w:val="000D14C7"/>
    <w:rsid w:val="000D2350"/>
    <w:rsid w:val="000D3C30"/>
    <w:rsid w:val="000D416C"/>
    <w:rsid w:val="000D5576"/>
    <w:rsid w:val="000D7AE7"/>
    <w:rsid w:val="000E029D"/>
    <w:rsid w:val="000E11F9"/>
    <w:rsid w:val="000E1450"/>
    <w:rsid w:val="000E1B8D"/>
    <w:rsid w:val="000E1F6D"/>
    <w:rsid w:val="000E25C3"/>
    <w:rsid w:val="000E3CD7"/>
    <w:rsid w:val="000E4879"/>
    <w:rsid w:val="000E68C3"/>
    <w:rsid w:val="000E7B3B"/>
    <w:rsid w:val="000E7F4C"/>
    <w:rsid w:val="000F028F"/>
    <w:rsid w:val="000F30FF"/>
    <w:rsid w:val="000F33B5"/>
    <w:rsid w:val="000F5AE1"/>
    <w:rsid w:val="000F6886"/>
    <w:rsid w:val="0010256B"/>
    <w:rsid w:val="00103D36"/>
    <w:rsid w:val="00105F58"/>
    <w:rsid w:val="00110652"/>
    <w:rsid w:val="00112A8A"/>
    <w:rsid w:val="00114F21"/>
    <w:rsid w:val="00115CC0"/>
    <w:rsid w:val="00117406"/>
    <w:rsid w:val="0011764F"/>
    <w:rsid w:val="00122B32"/>
    <w:rsid w:val="00123034"/>
    <w:rsid w:val="00125EA7"/>
    <w:rsid w:val="00130437"/>
    <w:rsid w:val="00130A4D"/>
    <w:rsid w:val="00131565"/>
    <w:rsid w:val="0013164C"/>
    <w:rsid w:val="00134ABC"/>
    <w:rsid w:val="00135CA2"/>
    <w:rsid w:val="00137292"/>
    <w:rsid w:val="0014199D"/>
    <w:rsid w:val="001446D9"/>
    <w:rsid w:val="001458D4"/>
    <w:rsid w:val="0014762C"/>
    <w:rsid w:val="00147A9E"/>
    <w:rsid w:val="001512C7"/>
    <w:rsid w:val="00152E69"/>
    <w:rsid w:val="00153A8A"/>
    <w:rsid w:val="0015419D"/>
    <w:rsid w:val="0015442B"/>
    <w:rsid w:val="00154C2E"/>
    <w:rsid w:val="001577AF"/>
    <w:rsid w:val="00162A0C"/>
    <w:rsid w:val="0016346F"/>
    <w:rsid w:val="001657C5"/>
    <w:rsid w:val="00165D15"/>
    <w:rsid w:val="0017042D"/>
    <w:rsid w:val="001705EB"/>
    <w:rsid w:val="00171308"/>
    <w:rsid w:val="00172BA7"/>
    <w:rsid w:val="00175132"/>
    <w:rsid w:val="001752BF"/>
    <w:rsid w:val="00180DA4"/>
    <w:rsid w:val="00185B48"/>
    <w:rsid w:val="00191068"/>
    <w:rsid w:val="00192767"/>
    <w:rsid w:val="00193F0E"/>
    <w:rsid w:val="00194199"/>
    <w:rsid w:val="001946AB"/>
    <w:rsid w:val="00197AD8"/>
    <w:rsid w:val="00197CF7"/>
    <w:rsid w:val="001A0158"/>
    <w:rsid w:val="001A1EB6"/>
    <w:rsid w:val="001A23A8"/>
    <w:rsid w:val="001A34A3"/>
    <w:rsid w:val="001A52A3"/>
    <w:rsid w:val="001A6EFE"/>
    <w:rsid w:val="001B0756"/>
    <w:rsid w:val="001B0DC9"/>
    <w:rsid w:val="001B2877"/>
    <w:rsid w:val="001B469A"/>
    <w:rsid w:val="001B6576"/>
    <w:rsid w:val="001B68DA"/>
    <w:rsid w:val="001B714D"/>
    <w:rsid w:val="001B7DEB"/>
    <w:rsid w:val="001C0FFD"/>
    <w:rsid w:val="001C1BC8"/>
    <w:rsid w:val="001C28AD"/>
    <w:rsid w:val="001C4D46"/>
    <w:rsid w:val="001C5501"/>
    <w:rsid w:val="001C55E2"/>
    <w:rsid w:val="001C69A9"/>
    <w:rsid w:val="001C6D6A"/>
    <w:rsid w:val="001D1785"/>
    <w:rsid w:val="001D18DB"/>
    <w:rsid w:val="001D3895"/>
    <w:rsid w:val="001D7557"/>
    <w:rsid w:val="001E27A2"/>
    <w:rsid w:val="001E2BA1"/>
    <w:rsid w:val="001E371A"/>
    <w:rsid w:val="001F0D44"/>
    <w:rsid w:val="001F0ED7"/>
    <w:rsid w:val="001F1A73"/>
    <w:rsid w:val="001F301E"/>
    <w:rsid w:val="001F3A1E"/>
    <w:rsid w:val="002073C1"/>
    <w:rsid w:val="002074A4"/>
    <w:rsid w:val="00212C37"/>
    <w:rsid w:val="0021362E"/>
    <w:rsid w:val="002141FC"/>
    <w:rsid w:val="00216D9B"/>
    <w:rsid w:val="002176A9"/>
    <w:rsid w:val="00221D99"/>
    <w:rsid w:val="002237F8"/>
    <w:rsid w:val="00223CEC"/>
    <w:rsid w:val="002271CA"/>
    <w:rsid w:val="002272CD"/>
    <w:rsid w:val="00231D17"/>
    <w:rsid w:val="002324A5"/>
    <w:rsid w:val="00236083"/>
    <w:rsid w:val="002403E1"/>
    <w:rsid w:val="002421AB"/>
    <w:rsid w:val="002423D7"/>
    <w:rsid w:val="002437B8"/>
    <w:rsid w:val="00246927"/>
    <w:rsid w:val="00247880"/>
    <w:rsid w:val="002533CE"/>
    <w:rsid w:val="0026346C"/>
    <w:rsid w:val="002647CD"/>
    <w:rsid w:val="00266151"/>
    <w:rsid w:val="00267CDD"/>
    <w:rsid w:val="00267F7E"/>
    <w:rsid w:val="002719F3"/>
    <w:rsid w:val="00273249"/>
    <w:rsid w:val="002738C0"/>
    <w:rsid w:val="00273B63"/>
    <w:rsid w:val="0027697C"/>
    <w:rsid w:val="00277580"/>
    <w:rsid w:val="00277AA9"/>
    <w:rsid w:val="00280C9D"/>
    <w:rsid w:val="0028173E"/>
    <w:rsid w:val="0028195C"/>
    <w:rsid w:val="00285796"/>
    <w:rsid w:val="002857F0"/>
    <w:rsid w:val="00286275"/>
    <w:rsid w:val="002877CD"/>
    <w:rsid w:val="0028785C"/>
    <w:rsid w:val="00287D19"/>
    <w:rsid w:val="00291DD5"/>
    <w:rsid w:val="00292DFF"/>
    <w:rsid w:val="00293823"/>
    <w:rsid w:val="00293E01"/>
    <w:rsid w:val="002941C7"/>
    <w:rsid w:val="002946E2"/>
    <w:rsid w:val="00296AA9"/>
    <w:rsid w:val="002A257C"/>
    <w:rsid w:val="002A3AE4"/>
    <w:rsid w:val="002A3D97"/>
    <w:rsid w:val="002A4DCC"/>
    <w:rsid w:val="002A5FE8"/>
    <w:rsid w:val="002B0FAD"/>
    <w:rsid w:val="002B33A2"/>
    <w:rsid w:val="002B4832"/>
    <w:rsid w:val="002B7257"/>
    <w:rsid w:val="002C21E8"/>
    <w:rsid w:val="002C2DFC"/>
    <w:rsid w:val="002C3031"/>
    <w:rsid w:val="002C3555"/>
    <w:rsid w:val="002C3DAE"/>
    <w:rsid w:val="002D0B2E"/>
    <w:rsid w:val="002D116E"/>
    <w:rsid w:val="002D2D30"/>
    <w:rsid w:val="002D2E05"/>
    <w:rsid w:val="002D6D47"/>
    <w:rsid w:val="002E1327"/>
    <w:rsid w:val="002F02C8"/>
    <w:rsid w:val="002F0555"/>
    <w:rsid w:val="002F05DA"/>
    <w:rsid w:val="002F0B7F"/>
    <w:rsid w:val="002F0F90"/>
    <w:rsid w:val="002F1871"/>
    <w:rsid w:val="002F197C"/>
    <w:rsid w:val="002F3B9E"/>
    <w:rsid w:val="002F3E4A"/>
    <w:rsid w:val="002F5568"/>
    <w:rsid w:val="002F771D"/>
    <w:rsid w:val="00305991"/>
    <w:rsid w:val="00306B56"/>
    <w:rsid w:val="00307631"/>
    <w:rsid w:val="003107DC"/>
    <w:rsid w:val="003127CC"/>
    <w:rsid w:val="003131A9"/>
    <w:rsid w:val="00314865"/>
    <w:rsid w:val="00315222"/>
    <w:rsid w:val="0031592E"/>
    <w:rsid w:val="00321CAB"/>
    <w:rsid w:val="003228EC"/>
    <w:rsid w:val="003234F9"/>
    <w:rsid w:val="00324632"/>
    <w:rsid w:val="00325E96"/>
    <w:rsid w:val="00326019"/>
    <w:rsid w:val="00330FAE"/>
    <w:rsid w:val="0033361B"/>
    <w:rsid w:val="00334053"/>
    <w:rsid w:val="00334172"/>
    <w:rsid w:val="00334FD3"/>
    <w:rsid w:val="00336545"/>
    <w:rsid w:val="003379DB"/>
    <w:rsid w:val="003408CE"/>
    <w:rsid w:val="00341B2B"/>
    <w:rsid w:val="00343CE0"/>
    <w:rsid w:val="0034596D"/>
    <w:rsid w:val="00345D6A"/>
    <w:rsid w:val="00347175"/>
    <w:rsid w:val="00351578"/>
    <w:rsid w:val="00352153"/>
    <w:rsid w:val="0035249C"/>
    <w:rsid w:val="00354593"/>
    <w:rsid w:val="00356C7B"/>
    <w:rsid w:val="003614CB"/>
    <w:rsid w:val="003628FD"/>
    <w:rsid w:val="00362D02"/>
    <w:rsid w:val="003647A9"/>
    <w:rsid w:val="003664F4"/>
    <w:rsid w:val="00366F7D"/>
    <w:rsid w:val="00371BA8"/>
    <w:rsid w:val="00372217"/>
    <w:rsid w:val="003760A6"/>
    <w:rsid w:val="00376A84"/>
    <w:rsid w:val="0038030C"/>
    <w:rsid w:val="00382188"/>
    <w:rsid w:val="00384249"/>
    <w:rsid w:val="00390107"/>
    <w:rsid w:val="00391060"/>
    <w:rsid w:val="00391770"/>
    <w:rsid w:val="003919C5"/>
    <w:rsid w:val="0039461A"/>
    <w:rsid w:val="00397086"/>
    <w:rsid w:val="003977D6"/>
    <w:rsid w:val="003979D8"/>
    <w:rsid w:val="003A1CE1"/>
    <w:rsid w:val="003A1F64"/>
    <w:rsid w:val="003A2BA4"/>
    <w:rsid w:val="003A3506"/>
    <w:rsid w:val="003A439F"/>
    <w:rsid w:val="003A47D0"/>
    <w:rsid w:val="003B2C9E"/>
    <w:rsid w:val="003B60A5"/>
    <w:rsid w:val="003C11EE"/>
    <w:rsid w:val="003C2C75"/>
    <w:rsid w:val="003C351D"/>
    <w:rsid w:val="003C5797"/>
    <w:rsid w:val="003D236E"/>
    <w:rsid w:val="003D451C"/>
    <w:rsid w:val="003D4852"/>
    <w:rsid w:val="003D76C1"/>
    <w:rsid w:val="003E050C"/>
    <w:rsid w:val="003E0950"/>
    <w:rsid w:val="003E3A43"/>
    <w:rsid w:val="003E408C"/>
    <w:rsid w:val="003E79E8"/>
    <w:rsid w:val="003F0C4F"/>
    <w:rsid w:val="003F1995"/>
    <w:rsid w:val="003F4161"/>
    <w:rsid w:val="003F50A1"/>
    <w:rsid w:val="00400ADB"/>
    <w:rsid w:val="0040399C"/>
    <w:rsid w:val="004050D1"/>
    <w:rsid w:val="004107E3"/>
    <w:rsid w:val="0041514B"/>
    <w:rsid w:val="00416F2B"/>
    <w:rsid w:val="0042007E"/>
    <w:rsid w:val="00423EDB"/>
    <w:rsid w:val="0042466E"/>
    <w:rsid w:val="00424EF4"/>
    <w:rsid w:val="004253D5"/>
    <w:rsid w:val="00426D10"/>
    <w:rsid w:val="00431AF5"/>
    <w:rsid w:val="00431D3B"/>
    <w:rsid w:val="00433C19"/>
    <w:rsid w:val="00436085"/>
    <w:rsid w:val="00437730"/>
    <w:rsid w:val="00441F3F"/>
    <w:rsid w:val="004449C2"/>
    <w:rsid w:val="004459C2"/>
    <w:rsid w:val="00445B0B"/>
    <w:rsid w:val="00451D6F"/>
    <w:rsid w:val="00452728"/>
    <w:rsid w:val="00453BB2"/>
    <w:rsid w:val="00455B2B"/>
    <w:rsid w:val="00457501"/>
    <w:rsid w:val="00460ACE"/>
    <w:rsid w:val="004612E1"/>
    <w:rsid w:val="004620A3"/>
    <w:rsid w:val="004648FC"/>
    <w:rsid w:val="004656AD"/>
    <w:rsid w:val="00472C14"/>
    <w:rsid w:val="00472DBC"/>
    <w:rsid w:val="004732C6"/>
    <w:rsid w:val="00475E19"/>
    <w:rsid w:val="00476E38"/>
    <w:rsid w:val="00477CB5"/>
    <w:rsid w:val="00481B8C"/>
    <w:rsid w:val="00484D73"/>
    <w:rsid w:val="00485D17"/>
    <w:rsid w:val="0049031A"/>
    <w:rsid w:val="004910BA"/>
    <w:rsid w:val="00491B75"/>
    <w:rsid w:val="00493035"/>
    <w:rsid w:val="00493AA0"/>
    <w:rsid w:val="004A249D"/>
    <w:rsid w:val="004A2F22"/>
    <w:rsid w:val="004A3A99"/>
    <w:rsid w:val="004A54F6"/>
    <w:rsid w:val="004A6432"/>
    <w:rsid w:val="004A6CDE"/>
    <w:rsid w:val="004B1269"/>
    <w:rsid w:val="004B2E51"/>
    <w:rsid w:val="004B3B46"/>
    <w:rsid w:val="004B6598"/>
    <w:rsid w:val="004C00FC"/>
    <w:rsid w:val="004C04F6"/>
    <w:rsid w:val="004C10B0"/>
    <w:rsid w:val="004C27A3"/>
    <w:rsid w:val="004C3385"/>
    <w:rsid w:val="004C5022"/>
    <w:rsid w:val="004C5799"/>
    <w:rsid w:val="004D2CC5"/>
    <w:rsid w:val="004D66A3"/>
    <w:rsid w:val="004D782B"/>
    <w:rsid w:val="004E0D9B"/>
    <w:rsid w:val="004E441E"/>
    <w:rsid w:val="004E5445"/>
    <w:rsid w:val="004E5661"/>
    <w:rsid w:val="004E5841"/>
    <w:rsid w:val="004E5CDF"/>
    <w:rsid w:val="004F06E5"/>
    <w:rsid w:val="004F3BD3"/>
    <w:rsid w:val="004F521B"/>
    <w:rsid w:val="004F566D"/>
    <w:rsid w:val="004F7834"/>
    <w:rsid w:val="00500F9C"/>
    <w:rsid w:val="00505A59"/>
    <w:rsid w:val="0051095E"/>
    <w:rsid w:val="00512B3B"/>
    <w:rsid w:val="00514249"/>
    <w:rsid w:val="00516389"/>
    <w:rsid w:val="00521860"/>
    <w:rsid w:val="00521C0A"/>
    <w:rsid w:val="00522DA9"/>
    <w:rsid w:val="00524387"/>
    <w:rsid w:val="005269D4"/>
    <w:rsid w:val="00533301"/>
    <w:rsid w:val="00533653"/>
    <w:rsid w:val="00534473"/>
    <w:rsid w:val="00534918"/>
    <w:rsid w:val="00536B81"/>
    <w:rsid w:val="00536D9D"/>
    <w:rsid w:val="0053781F"/>
    <w:rsid w:val="00540DEB"/>
    <w:rsid w:val="00540F0C"/>
    <w:rsid w:val="005473BC"/>
    <w:rsid w:val="00550192"/>
    <w:rsid w:val="0055075A"/>
    <w:rsid w:val="00551913"/>
    <w:rsid w:val="00552922"/>
    <w:rsid w:val="00553EA0"/>
    <w:rsid w:val="005561C6"/>
    <w:rsid w:val="005571DE"/>
    <w:rsid w:val="005577A7"/>
    <w:rsid w:val="00562A78"/>
    <w:rsid w:val="00563BB4"/>
    <w:rsid w:val="005646AF"/>
    <w:rsid w:val="00564DDD"/>
    <w:rsid w:val="005670E2"/>
    <w:rsid w:val="00570F9C"/>
    <w:rsid w:val="005741D6"/>
    <w:rsid w:val="00577B6C"/>
    <w:rsid w:val="00577D34"/>
    <w:rsid w:val="005804B8"/>
    <w:rsid w:val="005819B8"/>
    <w:rsid w:val="00583D99"/>
    <w:rsid w:val="00584D2D"/>
    <w:rsid w:val="00585CF5"/>
    <w:rsid w:val="00587C62"/>
    <w:rsid w:val="00591A02"/>
    <w:rsid w:val="00591E28"/>
    <w:rsid w:val="00594BC7"/>
    <w:rsid w:val="005956B8"/>
    <w:rsid w:val="00595C5F"/>
    <w:rsid w:val="005A1948"/>
    <w:rsid w:val="005A36AC"/>
    <w:rsid w:val="005A3F76"/>
    <w:rsid w:val="005A5E48"/>
    <w:rsid w:val="005A6375"/>
    <w:rsid w:val="005B0546"/>
    <w:rsid w:val="005B3D5D"/>
    <w:rsid w:val="005B3ED8"/>
    <w:rsid w:val="005B439E"/>
    <w:rsid w:val="005B4664"/>
    <w:rsid w:val="005B49B5"/>
    <w:rsid w:val="005B60B3"/>
    <w:rsid w:val="005C1020"/>
    <w:rsid w:val="005C1946"/>
    <w:rsid w:val="005C1E04"/>
    <w:rsid w:val="005C370A"/>
    <w:rsid w:val="005C392D"/>
    <w:rsid w:val="005C4A2A"/>
    <w:rsid w:val="005C6593"/>
    <w:rsid w:val="005C7759"/>
    <w:rsid w:val="005D27F7"/>
    <w:rsid w:val="005D39A5"/>
    <w:rsid w:val="005D67D6"/>
    <w:rsid w:val="005D7113"/>
    <w:rsid w:val="005E149D"/>
    <w:rsid w:val="005E2063"/>
    <w:rsid w:val="005E20BC"/>
    <w:rsid w:val="005E494B"/>
    <w:rsid w:val="005E5968"/>
    <w:rsid w:val="005F28FB"/>
    <w:rsid w:val="005F328A"/>
    <w:rsid w:val="005F3C7F"/>
    <w:rsid w:val="005F3E4D"/>
    <w:rsid w:val="005F7E0B"/>
    <w:rsid w:val="006005D7"/>
    <w:rsid w:val="00601818"/>
    <w:rsid w:val="006018C0"/>
    <w:rsid w:val="00604099"/>
    <w:rsid w:val="0061148A"/>
    <w:rsid w:val="00616680"/>
    <w:rsid w:val="00623412"/>
    <w:rsid w:val="00625F18"/>
    <w:rsid w:val="006300E9"/>
    <w:rsid w:val="006329F7"/>
    <w:rsid w:val="00632EA8"/>
    <w:rsid w:val="00633924"/>
    <w:rsid w:val="00637AE8"/>
    <w:rsid w:val="00640886"/>
    <w:rsid w:val="00641176"/>
    <w:rsid w:val="00644E7B"/>
    <w:rsid w:val="00645FE6"/>
    <w:rsid w:val="0064614E"/>
    <w:rsid w:val="00646210"/>
    <w:rsid w:val="006516EB"/>
    <w:rsid w:val="00652001"/>
    <w:rsid w:val="0065412E"/>
    <w:rsid w:val="0065621C"/>
    <w:rsid w:val="00656DEE"/>
    <w:rsid w:val="0065793E"/>
    <w:rsid w:val="0066291A"/>
    <w:rsid w:val="006644E8"/>
    <w:rsid w:val="006665BE"/>
    <w:rsid w:val="0066681A"/>
    <w:rsid w:val="00667528"/>
    <w:rsid w:val="00667BBB"/>
    <w:rsid w:val="00672A44"/>
    <w:rsid w:val="00672EDF"/>
    <w:rsid w:val="00674450"/>
    <w:rsid w:val="006757CF"/>
    <w:rsid w:val="0068175C"/>
    <w:rsid w:val="006825C7"/>
    <w:rsid w:val="0068636F"/>
    <w:rsid w:val="00686590"/>
    <w:rsid w:val="00687BD9"/>
    <w:rsid w:val="00687F3F"/>
    <w:rsid w:val="00690C1F"/>
    <w:rsid w:val="00692ABF"/>
    <w:rsid w:val="00692AFE"/>
    <w:rsid w:val="00695E37"/>
    <w:rsid w:val="00696C3A"/>
    <w:rsid w:val="006A034B"/>
    <w:rsid w:val="006A1B3E"/>
    <w:rsid w:val="006A3633"/>
    <w:rsid w:val="006A3829"/>
    <w:rsid w:val="006A4736"/>
    <w:rsid w:val="006A4FA1"/>
    <w:rsid w:val="006A6136"/>
    <w:rsid w:val="006B02F4"/>
    <w:rsid w:val="006B3469"/>
    <w:rsid w:val="006B3505"/>
    <w:rsid w:val="006B3512"/>
    <w:rsid w:val="006B368E"/>
    <w:rsid w:val="006B3FEE"/>
    <w:rsid w:val="006B42BD"/>
    <w:rsid w:val="006B5E8B"/>
    <w:rsid w:val="006B7EB9"/>
    <w:rsid w:val="006C2BFA"/>
    <w:rsid w:val="006C7C35"/>
    <w:rsid w:val="006C7CF8"/>
    <w:rsid w:val="006D2165"/>
    <w:rsid w:val="006D21EC"/>
    <w:rsid w:val="006D4936"/>
    <w:rsid w:val="006D57B4"/>
    <w:rsid w:val="006E1866"/>
    <w:rsid w:val="006E4DE1"/>
    <w:rsid w:val="006E7158"/>
    <w:rsid w:val="006F0883"/>
    <w:rsid w:val="006F20F4"/>
    <w:rsid w:val="006F2165"/>
    <w:rsid w:val="006F3A1B"/>
    <w:rsid w:val="006F41B6"/>
    <w:rsid w:val="006F4494"/>
    <w:rsid w:val="006F512F"/>
    <w:rsid w:val="006F57BD"/>
    <w:rsid w:val="006F704F"/>
    <w:rsid w:val="006F7660"/>
    <w:rsid w:val="007007B3"/>
    <w:rsid w:val="00701DEB"/>
    <w:rsid w:val="00702C15"/>
    <w:rsid w:val="00705290"/>
    <w:rsid w:val="0070556E"/>
    <w:rsid w:val="0070593C"/>
    <w:rsid w:val="00713BC9"/>
    <w:rsid w:val="0071495F"/>
    <w:rsid w:val="0071505B"/>
    <w:rsid w:val="0071571D"/>
    <w:rsid w:val="0071592B"/>
    <w:rsid w:val="00720187"/>
    <w:rsid w:val="00720F55"/>
    <w:rsid w:val="00721F1B"/>
    <w:rsid w:val="00723D08"/>
    <w:rsid w:val="007252F0"/>
    <w:rsid w:val="007260AD"/>
    <w:rsid w:val="00726F33"/>
    <w:rsid w:val="00730DF2"/>
    <w:rsid w:val="00732813"/>
    <w:rsid w:val="00734D6F"/>
    <w:rsid w:val="007415CF"/>
    <w:rsid w:val="0074164C"/>
    <w:rsid w:val="007435C4"/>
    <w:rsid w:val="007451E3"/>
    <w:rsid w:val="00747793"/>
    <w:rsid w:val="0075206D"/>
    <w:rsid w:val="00752706"/>
    <w:rsid w:val="0075440C"/>
    <w:rsid w:val="007550BB"/>
    <w:rsid w:val="00756249"/>
    <w:rsid w:val="00760A9C"/>
    <w:rsid w:val="00760C71"/>
    <w:rsid w:val="0076500D"/>
    <w:rsid w:val="00766902"/>
    <w:rsid w:val="0078275C"/>
    <w:rsid w:val="00783824"/>
    <w:rsid w:val="00785E0F"/>
    <w:rsid w:val="00790E3E"/>
    <w:rsid w:val="007928DD"/>
    <w:rsid w:val="00792E7B"/>
    <w:rsid w:val="00793217"/>
    <w:rsid w:val="00795A63"/>
    <w:rsid w:val="007A715F"/>
    <w:rsid w:val="007A7E24"/>
    <w:rsid w:val="007A7E39"/>
    <w:rsid w:val="007B2111"/>
    <w:rsid w:val="007B2821"/>
    <w:rsid w:val="007B3054"/>
    <w:rsid w:val="007B4716"/>
    <w:rsid w:val="007B6F64"/>
    <w:rsid w:val="007B7496"/>
    <w:rsid w:val="007C0071"/>
    <w:rsid w:val="007C039B"/>
    <w:rsid w:val="007C0420"/>
    <w:rsid w:val="007C0923"/>
    <w:rsid w:val="007C0A42"/>
    <w:rsid w:val="007C1C6F"/>
    <w:rsid w:val="007C1F28"/>
    <w:rsid w:val="007C2B8A"/>
    <w:rsid w:val="007C3473"/>
    <w:rsid w:val="007C47AE"/>
    <w:rsid w:val="007D0059"/>
    <w:rsid w:val="007D493F"/>
    <w:rsid w:val="007D54F8"/>
    <w:rsid w:val="007D556F"/>
    <w:rsid w:val="007E0C45"/>
    <w:rsid w:val="007E1B29"/>
    <w:rsid w:val="007E2907"/>
    <w:rsid w:val="007E3463"/>
    <w:rsid w:val="007E3765"/>
    <w:rsid w:val="007E3795"/>
    <w:rsid w:val="007E3E4F"/>
    <w:rsid w:val="007E6B67"/>
    <w:rsid w:val="007F0F8C"/>
    <w:rsid w:val="007F367B"/>
    <w:rsid w:val="007F561A"/>
    <w:rsid w:val="007F6122"/>
    <w:rsid w:val="007F691F"/>
    <w:rsid w:val="00807E20"/>
    <w:rsid w:val="00811537"/>
    <w:rsid w:val="008127F5"/>
    <w:rsid w:val="00812ACA"/>
    <w:rsid w:val="00813821"/>
    <w:rsid w:val="00813FE1"/>
    <w:rsid w:val="00817310"/>
    <w:rsid w:val="00821C86"/>
    <w:rsid w:val="0082236B"/>
    <w:rsid w:val="00822D2D"/>
    <w:rsid w:val="00823084"/>
    <w:rsid w:val="008238F6"/>
    <w:rsid w:val="00831182"/>
    <w:rsid w:val="00834D38"/>
    <w:rsid w:val="008374EB"/>
    <w:rsid w:val="00840C76"/>
    <w:rsid w:val="00843A1B"/>
    <w:rsid w:val="00843DB6"/>
    <w:rsid w:val="008473DF"/>
    <w:rsid w:val="00850185"/>
    <w:rsid w:val="00850EE7"/>
    <w:rsid w:val="00851ADC"/>
    <w:rsid w:val="00851CDA"/>
    <w:rsid w:val="00852654"/>
    <w:rsid w:val="00863599"/>
    <w:rsid w:val="00864C40"/>
    <w:rsid w:val="00875E61"/>
    <w:rsid w:val="00880A5D"/>
    <w:rsid w:val="00882C73"/>
    <w:rsid w:val="0088564A"/>
    <w:rsid w:val="008859A5"/>
    <w:rsid w:val="00885BCD"/>
    <w:rsid w:val="008917B6"/>
    <w:rsid w:val="00893589"/>
    <w:rsid w:val="00893CFD"/>
    <w:rsid w:val="008957A4"/>
    <w:rsid w:val="0089697D"/>
    <w:rsid w:val="008A0124"/>
    <w:rsid w:val="008A02B8"/>
    <w:rsid w:val="008A2144"/>
    <w:rsid w:val="008A3469"/>
    <w:rsid w:val="008A4B37"/>
    <w:rsid w:val="008A4E94"/>
    <w:rsid w:val="008A5F03"/>
    <w:rsid w:val="008A60F6"/>
    <w:rsid w:val="008B6491"/>
    <w:rsid w:val="008B6E13"/>
    <w:rsid w:val="008C0CE7"/>
    <w:rsid w:val="008C2211"/>
    <w:rsid w:val="008C5C26"/>
    <w:rsid w:val="008C6744"/>
    <w:rsid w:val="008C67C3"/>
    <w:rsid w:val="008C7B78"/>
    <w:rsid w:val="008D1110"/>
    <w:rsid w:val="008D1B7B"/>
    <w:rsid w:val="008D26D3"/>
    <w:rsid w:val="008D3CF7"/>
    <w:rsid w:val="008D5CE4"/>
    <w:rsid w:val="008D65CB"/>
    <w:rsid w:val="008D764F"/>
    <w:rsid w:val="008E18FA"/>
    <w:rsid w:val="008E510D"/>
    <w:rsid w:val="008F0681"/>
    <w:rsid w:val="008F0A66"/>
    <w:rsid w:val="008F19BB"/>
    <w:rsid w:val="008F2153"/>
    <w:rsid w:val="008F3655"/>
    <w:rsid w:val="008F3901"/>
    <w:rsid w:val="008F4125"/>
    <w:rsid w:val="008F4E2C"/>
    <w:rsid w:val="008F53AC"/>
    <w:rsid w:val="00900067"/>
    <w:rsid w:val="009003A8"/>
    <w:rsid w:val="00906271"/>
    <w:rsid w:val="00906B6E"/>
    <w:rsid w:val="00907B37"/>
    <w:rsid w:val="009103D7"/>
    <w:rsid w:val="00910A66"/>
    <w:rsid w:val="009111DF"/>
    <w:rsid w:val="00916390"/>
    <w:rsid w:val="00916A16"/>
    <w:rsid w:val="00922E64"/>
    <w:rsid w:val="009230E8"/>
    <w:rsid w:val="00924EC7"/>
    <w:rsid w:val="00925276"/>
    <w:rsid w:val="0092552A"/>
    <w:rsid w:val="00926082"/>
    <w:rsid w:val="009261E7"/>
    <w:rsid w:val="00926BED"/>
    <w:rsid w:val="009305FF"/>
    <w:rsid w:val="0093284F"/>
    <w:rsid w:val="009329D6"/>
    <w:rsid w:val="00937AE2"/>
    <w:rsid w:val="009421F8"/>
    <w:rsid w:val="00942F65"/>
    <w:rsid w:val="0094441A"/>
    <w:rsid w:val="00945570"/>
    <w:rsid w:val="00945A54"/>
    <w:rsid w:val="00945FDC"/>
    <w:rsid w:val="0094719F"/>
    <w:rsid w:val="0095012B"/>
    <w:rsid w:val="00950E6E"/>
    <w:rsid w:val="00951256"/>
    <w:rsid w:val="00954141"/>
    <w:rsid w:val="00955038"/>
    <w:rsid w:val="00955146"/>
    <w:rsid w:val="0095603C"/>
    <w:rsid w:val="00956954"/>
    <w:rsid w:val="009574BF"/>
    <w:rsid w:val="009601DC"/>
    <w:rsid w:val="00961F14"/>
    <w:rsid w:val="00962D63"/>
    <w:rsid w:val="00964B01"/>
    <w:rsid w:val="009658F9"/>
    <w:rsid w:val="0096607C"/>
    <w:rsid w:val="00966D6E"/>
    <w:rsid w:val="00967D89"/>
    <w:rsid w:val="00970EB9"/>
    <w:rsid w:val="009719F7"/>
    <w:rsid w:val="00973819"/>
    <w:rsid w:val="009768DE"/>
    <w:rsid w:val="00980835"/>
    <w:rsid w:val="00981105"/>
    <w:rsid w:val="0098118E"/>
    <w:rsid w:val="00982148"/>
    <w:rsid w:val="009827F9"/>
    <w:rsid w:val="00985DC2"/>
    <w:rsid w:val="0098632C"/>
    <w:rsid w:val="00990B5C"/>
    <w:rsid w:val="00991890"/>
    <w:rsid w:val="009919EA"/>
    <w:rsid w:val="00991F4A"/>
    <w:rsid w:val="0099221F"/>
    <w:rsid w:val="00992396"/>
    <w:rsid w:val="0099267D"/>
    <w:rsid w:val="00993E2C"/>
    <w:rsid w:val="0099467A"/>
    <w:rsid w:val="00994D82"/>
    <w:rsid w:val="0099624E"/>
    <w:rsid w:val="009965A1"/>
    <w:rsid w:val="009A11A4"/>
    <w:rsid w:val="009A2222"/>
    <w:rsid w:val="009B083F"/>
    <w:rsid w:val="009B17EE"/>
    <w:rsid w:val="009B48CD"/>
    <w:rsid w:val="009B5470"/>
    <w:rsid w:val="009B6BEB"/>
    <w:rsid w:val="009B72A3"/>
    <w:rsid w:val="009B7B57"/>
    <w:rsid w:val="009C03F8"/>
    <w:rsid w:val="009C7368"/>
    <w:rsid w:val="009D04EB"/>
    <w:rsid w:val="009D069D"/>
    <w:rsid w:val="009D4D3F"/>
    <w:rsid w:val="009D5256"/>
    <w:rsid w:val="009E4086"/>
    <w:rsid w:val="009E40BD"/>
    <w:rsid w:val="009E4F2A"/>
    <w:rsid w:val="009E5E46"/>
    <w:rsid w:val="009F0986"/>
    <w:rsid w:val="009F4E47"/>
    <w:rsid w:val="009F6891"/>
    <w:rsid w:val="009F73CE"/>
    <w:rsid w:val="00A0212B"/>
    <w:rsid w:val="00A029CB"/>
    <w:rsid w:val="00A04DF6"/>
    <w:rsid w:val="00A16BF0"/>
    <w:rsid w:val="00A2355A"/>
    <w:rsid w:val="00A2485A"/>
    <w:rsid w:val="00A31CC0"/>
    <w:rsid w:val="00A346F6"/>
    <w:rsid w:val="00A358BB"/>
    <w:rsid w:val="00A362EA"/>
    <w:rsid w:val="00A36692"/>
    <w:rsid w:val="00A41A26"/>
    <w:rsid w:val="00A42FE0"/>
    <w:rsid w:val="00A431FA"/>
    <w:rsid w:val="00A4497B"/>
    <w:rsid w:val="00A44A74"/>
    <w:rsid w:val="00A45A8F"/>
    <w:rsid w:val="00A4630F"/>
    <w:rsid w:val="00A47F26"/>
    <w:rsid w:val="00A516DD"/>
    <w:rsid w:val="00A518C1"/>
    <w:rsid w:val="00A51B2E"/>
    <w:rsid w:val="00A527CD"/>
    <w:rsid w:val="00A543F9"/>
    <w:rsid w:val="00A54EE8"/>
    <w:rsid w:val="00A56587"/>
    <w:rsid w:val="00A57CE5"/>
    <w:rsid w:val="00A619F8"/>
    <w:rsid w:val="00A62E0E"/>
    <w:rsid w:val="00A669AC"/>
    <w:rsid w:val="00A808E7"/>
    <w:rsid w:val="00A810F9"/>
    <w:rsid w:val="00A82D29"/>
    <w:rsid w:val="00A860BC"/>
    <w:rsid w:val="00A86799"/>
    <w:rsid w:val="00A91EE9"/>
    <w:rsid w:val="00AA5A8E"/>
    <w:rsid w:val="00AA733A"/>
    <w:rsid w:val="00AB03C7"/>
    <w:rsid w:val="00AB20B4"/>
    <w:rsid w:val="00AB27A5"/>
    <w:rsid w:val="00AB321F"/>
    <w:rsid w:val="00AB33C7"/>
    <w:rsid w:val="00AB4F00"/>
    <w:rsid w:val="00AC05CD"/>
    <w:rsid w:val="00AC094D"/>
    <w:rsid w:val="00AC1506"/>
    <w:rsid w:val="00AC21EF"/>
    <w:rsid w:val="00AC29B5"/>
    <w:rsid w:val="00AC413C"/>
    <w:rsid w:val="00AC55EC"/>
    <w:rsid w:val="00AC6440"/>
    <w:rsid w:val="00AC7B0F"/>
    <w:rsid w:val="00AD14C5"/>
    <w:rsid w:val="00AD1CDD"/>
    <w:rsid w:val="00AD2C47"/>
    <w:rsid w:val="00AD4714"/>
    <w:rsid w:val="00AD4922"/>
    <w:rsid w:val="00AE5409"/>
    <w:rsid w:val="00AE54D7"/>
    <w:rsid w:val="00AE5CA9"/>
    <w:rsid w:val="00AE6B42"/>
    <w:rsid w:val="00AE6C6D"/>
    <w:rsid w:val="00AE6FD3"/>
    <w:rsid w:val="00AE7C2E"/>
    <w:rsid w:val="00AF3074"/>
    <w:rsid w:val="00B01216"/>
    <w:rsid w:val="00B05AC7"/>
    <w:rsid w:val="00B0701E"/>
    <w:rsid w:val="00B07338"/>
    <w:rsid w:val="00B12F0C"/>
    <w:rsid w:val="00B13719"/>
    <w:rsid w:val="00B1662A"/>
    <w:rsid w:val="00B21AC3"/>
    <w:rsid w:val="00B21F7D"/>
    <w:rsid w:val="00B24F56"/>
    <w:rsid w:val="00B334D7"/>
    <w:rsid w:val="00B36A07"/>
    <w:rsid w:val="00B36E0B"/>
    <w:rsid w:val="00B40A98"/>
    <w:rsid w:val="00B41ECF"/>
    <w:rsid w:val="00B437BF"/>
    <w:rsid w:val="00B45626"/>
    <w:rsid w:val="00B45B04"/>
    <w:rsid w:val="00B4677D"/>
    <w:rsid w:val="00B50370"/>
    <w:rsid w:val="00B51128"/>
    <w:rsid w:val="00B52868"/>
    <w:rsid w:val="00B60073"/>
    <w:rsid w:val="00B60095"/>
    <w:rsid w:val="00B6191C"/>
    <w:rsid w:val="00B641D9"/>
    <w:rsid w:val="00B64D06"/>
    <w:rsid w:val="00B65EA7"/>
    <w:rsid w:val="00B665D0"/>
    <w:rsid w:val="00B66BE1"/>
    <w:rsid w:val="00B67C9E"/>
    <w:rsid w:val="00B74145"/>
    <w:rsid w:val="00B75EC9"/>
    <w:rsid w:val="00B76166"/>
    <w:rsid w:val="00B764A4"/>
    <w:rsid w:val="00B76EF8"/>
    <w:rsid w:val="00B775A2"/>
    <w:rsid w:val="00B80B7C"/>
    <w:rsid w:val="00B81738"/>
    <w:rsid w:val="00B8320E"/>
    <w:rsid w:val="00B8360C"/>
    <w:rsid w:val="00B83CB4"/>
    <w:rsid w:val="00B85EBF"/>
    <w:rsid w:val="00B87C78"/>
    <w:rsid w:val="00B91D1D"/>
    <w:rsid w:val="00B9299D"/>
    <w:rsid w:val="00B92E94"/>
    <w:rsid w:val="00B9381A"/>
    <w:rsid w:val="00B939C8"/>
    <w:rsid w:val="00B945E9"/>
    <w:rsid w:val="00B9562D"/>
    <w:rsid w:val="00B97C11"/>
    <w:rsid w:val="00BA199C"/>
    <w:rsid w:val="00BA23F1"/>
    <w:rsid w:val="00BA32E8"/>
    <w:rsid w:val="00BB0DF9"/>
    <w:rsid w:val="00BB3D65"/>
    <w:rsid w:val="00BB42E9"/>
    <w:rsid w:val="00BB4D5E"/>
    <w:rsid w:val="00BB52EA"/>
    <w:rsid w:val="00BC07AB"/>
    <w:rsid w:val="00BC202F"/>
    <w:rsid w:val="00BC7D5D"/>
    <w:rsid w:val="00BD079A"/>
    <w:rsid w:val="00BD1DC5"/>
    <w:rsid w:val="00BD47F0"/>
    <w:rsid w:val="00BD5F83"/>
    <w:rsid w:val="00BD6FBF"/>
    <w:rsid w:val="00BE08D8"/>
    <w:rsid w:val="00BE227B"/>
    <w:rsid w:val="00BE2578"/>
    <w:rsid w:val="00BE2751"/>
    <w:rsid w:val="00BE5157"/>
    <w:rsid w:val="00BE60F7"/>
    <w:rsid w:val="00BE6CBC"/>
    <w:rsid w:val="00BF040F"/>
    <w:rsid w:val="00BF31A4"/>
    <w:rsid w:val="00BF4849"/>
    <w:rsid w:val="00BF7E68"/>
    <w:rsid w:val="00C006BB"/>
    <w:rsid w:val="00C013FC"/>
    <w:rsid w:val="00C02F03"/>
    <w:rsid w:val="00C035BB"/>
    <w:rsid w:val="00C060BA"/>
    <w:rsid w:val="00C071F3"/>
    <w:rsid w:val="00C073B3"/>
    <w:rsid w:val="00C07FBF"/>
    <w:rsid w:val="00C1028C"/>
    <w:rsid w:val="00C11213"/>
    <w:rsid w:val="00C1158A"/>
    <w:rsid w:val="00C11E2A"/>
    <w:rsid w:val="00C12182"/>
    <w:rsid w:val="00C1662E"/>
    <w:rsid w:val="00C1679A"/>
    <w:rsid w:val="00C16EEB"/>
    <w:rsid w:val="00C20602"/>
    <w:rsid w:val="00C22042"/>
    <w:rsid w:val="00C237C0"/>
    <w:rsid w:val="00C26F56"/>
    <w:rsid w:val="00C2731D"/>
    <w:rsid w:val="00C3014C"/>
    <w:rsid w:val="00C3610F"/>
    <w:rsid w:val="00C368EA"/>
    <w:rsid w:val="00C47A8D"/>
    <w:rsid w:val="00C47AE1"/>
    <w:rsid w:val="00C5731A"/>
    <w:rsid w:val="00C64A5C"/>
    <w:rsid w:val="00C666B7"/>
    <w:rsid w:val="00C677FA"/>
    <w:rsid w:val="00C67C7D"/>
    <w:rsid w:val="00C70057"/>
    <w:rsid w:val="00C70C57"/>
    <w:rsid w:val="00C70EAD"/>
    <w:rsid w:val="00C71C11"/>
    <w:rsid w:val="00C74155"/>
    <w:rsid w:val="00C762B1"/>
    <w:rsid w:val="00C76611"/>
    <w:rsid w:val="00C81213"/>
    <w:rsid w:val="00C858FA"/>
    <w:rsid w:val="00C86AF2"/>
    <w:rsid w:val="00C90D70"/>
    <w:rsid w:val="00C93657"/>
    <w:rsid w:val="00C93F07"/>
    <w:rsid w:val="00C94F38"/>
    <w:rsid w:val="00C95A62"/>
    <w:rsid w:val="00C96A32"/>
    <w:rsid w:val="00CA0B4F"/>
    <w:rsid w:val="00CA0E87"/>
    <w:rsid w:val="00CA424A"/>
    <w:rsid w:val="00CA5E0A"/>
    <w:rsid w:val="00CB2178"/>
    <w:rsid w:val="00CB78E1"/>
    <w:rsid w:val="00CC089F"/>
    <w:rsid w:val="00CC76A6"/>
    <w:rsid w:val="00CC7C76"/>
    <w:rsid w:val="00CD0ABA"/>
    <w:rsid w:val="00CD2D50"/>
    <w:rsid w:val="00CD34EA"/>
    <w:rsid w:val="00CD65C6"/>
    <w:rsid w:val="00CD6A18"/>
    <w:rsid w:val="00CE08BC"/>
    <w:rsid w:val="00CE2837"/>
    <w:rsid w:val="00CE66FD"/>
    <w:rsid w:val="00CE783E"/>
    <w:rsid w:val="00CF05C1"/>
    <w:rsid w:val="00CF0E12"/>
    <w:rsid w:val="00CF32CA"/>
    <w:rsid w:val="00CF478E"/>
    <w:rsid w:val="00CF4CAA"/>
    <w:rsid w:val="00CF4EC0"/>
    <w:rsid w:val="00CF7D4D"/>
    <w:rsid w:val="00D041BC"/>
    <w:rsid w:val="00D0585C"/>
    <w:rsid w:val="00D05884"/>
    <w:rsid w:val="00D0672C"/>
    <w:rsid w:val="00D11CC3"/>
    <w:rsid w:val="00D125EB"/>
    <w:rsid w:val="00D127FD"/>
    <w:rsid w:val="00D12DE4"/>
    <w:rsid w:val="00D14C29"/>
    <w:rsid w:val="00D14E25"/>
    <w:rsid w:val="00D22C74"/>
    <w:rsid w:val="00D23551"/>
    <w:rsid w:val="00D270C5"/>
    <w:rsid w:val="00D30723"/>
    <w:rsid w:val="00D3186B"/>
    <w:rsid w:val="00D32F74"/>
    <w:rsid w:val="00D349E4"/>
    <w:rsid w:val="00D3514A"/>
    <w:rsid w:val="00D449C9"/>
    <w:rsid w:val="00D478A5"/>
    <w:rsid w:val="00D55D69"/>
    <w:rsid w:val="00D5663F"/>
    <w:rsid w:val="00D56E58"/>
    <w:rsid w:val="00D60165"/>
    <w:rsid w:val="00D6120D"/>
    <w:rsid w:val="00D63561"/>
    <w:rsid w:val="00D63846"/>
    <w:rsid w:val="00D645EF"/>
    <w:rsid w:val="00D65184"/>
    <w:rsid w:val="00D67665"/>
    <w:rsid w:val="00D67784"/>
    <w:rsid w:val="00D714D5"/>
    <w:rsid w:val="00D7343C"/>
    <w:rsid w:val="00D734E1"/>
    <w:rsid w:val="00D75DC2"/>
    <w:rsid w:val="00D77B52"/>
    <w:rsid w:val="00D80C58"/>
    <w:rsid w:val="00D84281"/>
    <w:rsid w:val="00D850AC"/>
    <w:rsid w:val="00D86A36"/>
    <w:rsid w:val="00D92D02"/>
    <w:rsid w:val="00D9368F"/>
    <w:rsid w:val="00D95FC7"/>
    <w:rsid w:val="00DA09DC"/>
    <w:rsid w:val="00DA1D97"/>
    <w:rsid w:val="00DA5423"/>
    <w:rsid w:val="00DA5ECF"/>
    <w:rsid w:val="00DB0732"/>
    <w:rsid w:val="00DB2066"/>
    <w:rsid w:val="00DB408C"/>
    <w:rsid w:val="00DB4633"/>
    <w:rsid w:val="00DB7B57"/>
    <w:rsid w:val="00DC4C2D"/>
    <w:rsid w:val="00DC4C78"/>
    <w:rsid w:val="00DC572B"/>
    <w:rsid w:val="00DD4CA5"/>
    <w:rsid w:val="00DE0512"/>
    <w:rsid w:val="00DE573D"/>
    <w:rsid w:val="00DE62CF"/>
    <w:rsid w:val="00DE6710"/>
    <w:rsid w:val="00DF0BE8"/>
    <w:rsid w:val="00DF30ED"/>
    <w:rsid w:val="00DF3924"/>
    <w:rsid w:val="00DF6B09"/>
    <w:rsid w:val="00DF7B60"/>
    <w:rsid w:val="00DF7E51"/>
    <w:rsid w:val="00E010A7"/>
    <w:rsid w:val="00E074B6"/>
    <w:rsid w:val="00E116A9"/>
    <w:rsid w:val="00E14FC7"/>
    <w:rsid w:val="00E15576"/>
    <w:rsid w:val="00E2020E"/>
    <w:rsid w:val="00E21C1B"/>
    <w:rsid w:val="00E24F22"/>
    <w:rsid w:val="00E25381"/>
    <w:rsid w:val="00E30CA1"/>
    <w:rsid w:val="00E32467"/>
    <w:rsid w:val="00E32BF3"/>
    <w:rsid w:val="00E32DB0"/>
    <w:rsid w:val="00E33D16"/>
    <w:rsid w:val="00E3419E"/>
    <w:rsid w:val="00E363CE"/>
    <w:rsid w:val="00E37ACB"/>
    <w:rsid w:val="00E419AB"/>
    <w:rsid w:val="00E4448D"/>
    <w:rsid w:val="00E46362"/>
    <w:rsid w:val="00E47F41"/>
    <w:rsid w:val="00E50146"/>
    <w:rsid w:val="00E50777"/>
    <w:rsid w:val="00E535EC"/>
    <w:rsid w:val="00E54033"/>
    <w:rsid w:val="00E5594E"/>
    <w:rsid w:val="00E56966"/>
    <w:rsid w:val="00E571D2"/>
    <w:rsid w:val="00E57929"/>
    <w:rsid w:val="00E57F68"/>
    <w:rsid w:val="00E607B6"/>
    <w:rsid w:val="00E61B91"/>
    <w:rsid w:val="00E621B6"/>
    <w:rsid w:val="00E659C5"/>
    <w:rsid w:val="00E7106B"/>
    <w:rsid w:val="00E716FB"/>
    <w:rsid w:val="00E726E7"/>
    <w:rsid w:val="00E72A03"/>
    <w:rsid w:val="00E73B71"/>
    <w:rsid w:val="00E760CA"/>
    <w:rsid w:val="00E77B50"/>
    <w:rsid w:val="00E77C42"/>
    <w:rsid w:val="00E80342"/>
    <w:rsid w:val="00E82B8D"/>
    <w:rsid w:val="00E839CB"/>
    <w:rsid w:val="00E866B1"/>
    <w:rsid w:val="00E86CF2"/>
    <w:rsid w:val="00E90875"/>
    <w:rsid w:val="00E92522"/>
    <w:rsid w:val="00E92FBF"/>
    <w:rsid w:val="00E93A8C"/>
    <w:rsid w:val="00E952F9"/>
    <w:rsid w:val="00E97D28"/>
    <w:rsid w:val="00EA011B"/>
    <w:rsid w:val="00EA07EF"/>
    <w:rsid w:val="00EA12B6"/>
    <w:rsid w:val="00EA1F3D"/>
    <w:rsid w:val="00EA2861"/>
    <w:rsid w:val="00EA4531"/>
    <w:rsid w:val="00EA674B"/>
    <w:rsid w:val="00EA6DBE"/>
    <w:rsid w:val="00EB0A74"/>
    <w:rsid w:val="00EB448C"/>
    <w:rsid w:val="00EB5A0F"/>
    <w:rsid w:val="00EC0966"/>
    <w:rsid w:val="00EC1E83"/>
    <w:rsid w:val="00EC2109"/>
    <w:rsid w:val="00EC2A6A"/>
    <w:rsid w:val="00EC32A8"/>
    <w:rsid w:val="00EC65D1"/>
    <w:rsid w:val="00EC7078"/>
    <w:rsid w:val="00EC72E4"/>
    <w:rsid w:val="00EC766C"/>
    <w:rsid w:val="00EC7AF1"/>
    <w:rsid w:val="00ED0B9E"/>
    <w:rsid w:val="00ED3063"/>
    <w:rsid w:val="00ED4DF2"/>
    <w:rsid w:val="00ED5AEA"/>
    <w:rsid w:val="00ED76E8"/>
    <w:rsid w:val="00EE0163"/>
    <w:rsid w:val="00EE43B9"/>
    <w:rsid w:val="00EE6BD6"/>
    <w:rsid w:val="00EF0369"/>
    <w:rsid w:val="00EF3D3C"/>
    <w:rsid w:val="00EF4448"/>
    <w:rsid w:val="00EF46EB"/>
    <w:rsid w:val="00EF7401"/>
    <w:rsid w:val="00EF7877"/>
    <w:rsid w:val="00EF7BAB"/>
    <w:rsid w:val="00F028D5"/>
    <w:rsid w:val="00F03C50"/>
    <w:rsid w:val="00F03D60"/>
    <w:rsid w:val="00F04449"/>
    <w:rsid w:val="00F05F44"/>
    <w:rsid w:val="00F11F48"/>
    <w:rsid w:val="00F121F1"/>
    <w:rsid w:val="00F1260D"/>
    <w:rsid w:val="00F13689"/>
    <w:rsid w:val="00F15521"/>
    <w:rsid w:val="00F1554D"/>
    <w:rsid w:val="00F16174"/>
    <w:rsid w:val="00F22B14"/>
    <w:rsid w:val="00F22CDF"/>
    <w:rsid w:val="00F2344F"/>
    <w:rsid w:val="00F2434B"/>
    <w:rsid w:val="00F31C6C"/>
    <w:rsid w:val="00F32366"/>
    <w:rsid w:val="00F325B4"/>
    <w:rsid w:val="00F340AA"/>
    <w:rsid w:val="00F35D1B"/>
    <w:rsid w:val="00F3738B"/>
    <w:rsid w:val="00F37617"/>
    <w:rsid w:val="00F45850"/>
    <w:rsid w:val="00F477F5"/>
    <w:rsid w:val="00F47B42"/>
    <w:rsid w:val="00F51923"/>
    <w:rsid w:val="00F53896"/>
    <w:rsid w:val="00F5693E"/>
    <w:rsid w:val="00F604DA"/>
    <w:rsid w:val="00F63DC3"/>
    <w:rsid w:val="00F648EE"/>
    <w:rsid w:val="00F64E24"/>
    <w:rsid w:val="00F65109"/>
    <w:rsid w:val="00F70C4A"/>
    <w:rsid w:val="00F75DDD"/>
    <w:rsid w:val="00F76AD1"/>
    <w:rsid w:val="00F84004"/>
    <w:rsid w:val="00F8556B"/>
    <w:rsid w:val="00F855EE"/>
    <w:rsid w:val="00F90CDE"/>
    <w:rsid w:val="00F9252F"/>
    <w:rsid w:val="00F93A16"/>
    <w:rsid w:val="00F94A91"/>
    <w:rsid w:val="00F96DDC"/>
    <w:rsid w:val="00F979C5"/>
    <w:rsid w:val="00FA0C3E"/>
    <w:rsid w:val="00FA1733"/>
    <w:rsid w:val="00FA1B44"/>
    <w:rsid w:val="00FA233C"/>
    <w:rsid w:val="00FA37D7"/>
    <w:rsid w:val="00FA6D08"/>
    <w:rsid w:val="00FA74AF"/>
    <w:rsid w:val="00FB1C4D"/>
    <w:rsid w:val="00FB412A"/>
    <w:rsid w:val="00FB4BE6"/>
    <w:rsid w:val="00FB4F68"/>
    <w:rsid w:val="00FB7143"/>
    <w:rsid w:val="00FB73DB"/>
    <w:rsid w:val="00FB790A"/>
    <w:rsid w:val="00FC24C1"/>
    <w:rsid w:val="00FC2E25"/>
    <w:rsid w:val="00FC37EE"/>
    <w:rsid w:val="00FD64BD"/>
    <w:rsid w:val="00FD7F6D"/>
    <w:rsid w:val="00FE1AAD"/>
    <w:rsid w:val="00FE347D"/>
    <w:rsid w:val="00FE41C1"/>
    <w:rsid w:val="00FE42AC"/>
    <w:rsid w:val="00FE5E4E"/>
    <w:rsid w:val="00FE5F25"/>
    <w:rsid w:val="00FF7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A137F"/>
  <w15:chartTrackingRefBased/>
  <w15:docId w15:val="{FC6980D0-2D87-4B8D-9169-F8E5025D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7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2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206D"/>
    <w:pPr>
      <w:ind w:left="720"/>
      <w:contextualSpacing/>
    </w:pPr>
  </w:style>
  <w:style w:type="paragraph" w:styleId="BalloonText">
    <w:name w:val="Balloon Text"/>
    <w:basedOn w:val="Normal"/>
    <w:link w:val="BalloonTextChar"/>
    <w:uiPriority w:val="99"/>
    <w:semiHidden/>
    <w:unhideWhenUsed/>
    <w:rsid w:val="00E716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6FB"/>
    <w:rPr>
      <w:rFonts w:ascii="Segoe UI" w:hAnsi="Segoe UI" w:cs="Segoe UI"/>
      <w:sz w:val="18"/>
      <w:szCs w:val="18"/>
    </w:rPr>
  </w:style>
  <w:style w:type="character" w:styleId="Hyperlink">
    <w:name w:val="Hyperlink"/>
    <w:basedOn w:val="DefaultParagraphFont"/>
    <w:uiPriority w:val="99"/>
    <w:unhideWhenUsed/>
    <w:rsid w:val="003C11EE"/>
    <w:rPr>
      <w:color w:val="0563C1" w:themeColor="hyperlink"/>
      <w:u w:val="single"/>
    </w:rPr>
  </w:style>
  <w:style w:type="character" w:styleId="UnresolvedMention">
    <w:name w:val="Unresolved Mention"/>
    <w:basedOn w:val="DefaultParagraphFont"/>
    <w:uiPriority w:val="99"/>
    <w:semiHidden/>
    <w:unhideWhenUsed/>
    <w:rsid w:val="003C11EE"/>
    <w:rPr>
      <w:color w:val="605E5C"/>
      <w:shd w:val="clear" w:color="auto" w:fill="E1DFDD"/>
    </w:rPr>
  </w:style>
  <w:style w:type="paragraph" w:styleId="Header">
    <w:name w:val="header"/>
    <w:basedOn w:val="Normal"/>
    <w:link w:val="HeaderChar"/>
    <w:uiPriority w:val="99"/>
    <w:unhideWhenUsed/>
    <w:rsid w:val="00F96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DDC"/>
  </w:style>
  <w:style w:type="paragraph" w:styleId="Footer">
    <w:name w:val="footer"/>
    <w:basedOn w:val="Normal"/>
    <w:link w:val="FooterChar"/>
    <w:uiPriority w:val="99"/>
    <w:unhideWhenUsed/>
    <w:rsid w:val="00F96D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DDC"/>
  </w:style>
  <w:style w:type="table" w:customStyle="1" w:styleId="TableGrid1">
    <w:name w:val="Table Grid1"/>
    <w:basedOn w:val="TableNormal"/>
    <w:next w:val="TableGrid"/>
    <w:uiPriority w:val="39"/>
    <w:rsid w:val="00885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0C164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FollowedHyperlink">
    <w:name w:val="FollowedHyperlink"/>
    <w:basedOn w:val="DefaultParagraphFont"/>
    <w:uiPriority w:val="99"/>
    <w:semiHidden/>
    <w:unhideWhenUsed/>
    <w:rsid w:val="00961F14"/>
    <w:rPr>
      <w:color w:val="954F72" w:themeColor="followedHyperlink"/>
      <w:u w:val="single"/>
    </w:rPr>
  </w:style>
  <w:style w:type="table" w:styleId="PlainTable3">
    <w:name w:val="Plain Table 3"/>
    <w:basedOn w:val="TableNormal"/>
    <w:uiPriority w:val="43"/>
    <w:rsid w:val="008D65C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37609">
      <w:bodyDiv w:val="1"/>
      <w:marLeft w:val="0"/>
      <w:marRight w:val="0"/>
      <w:marTop w:val="0"/>
      <w:marBottom w:val="0"/>
      <w:divBdr>
        <w:top w:val="none" w:sz="0" w:space="0" w:color="auto"/>
        <w:left w:val="none" w:sz="0" w:space="0" w:color="auto"/>
        <w:bottom w:val="none" w:sz="0" w:space="0" w:color="auto"/>
        <w:right w:val="none" w:sz="0" w:space="0" w:color="auto"/>
      </w:divBdr>
    </w:div>
    <w:div w:id="277221112">
      <w:bodyDiv w:val="1"/>
      <w:marLeft w:val="0"/>
      <w:marRight w:val="0"/>
      <w:marTop w:val="0"/>
      <w:marBottom w:val="0"/>
      <w:divBdr>
        <w:top w:val="none" w:sz="0" w:space="0" w:color="auto"/>
        <w:left w:val="none" w:sz="0" w:space="0" w:color="auto"/>
        <w:bottom w:val="none" w:sz="0" w:space="0" w:color="auto"/>
        <w:right w:val="none" w:sz="0" w:space="0" w:color="auto"/>
      </w:divBdr>
    </w:div>
    <w:div w:id="325745418">
      <w:bodyDiv w:val="1"/>
      <w:marLeft w:val="0"/>
      <w:marRight w:val="0"/>
      <w:marTop w:val="0"/>
      <w:marBottom w:val="0"/>
      <w:divBdr>
        <w:top w:val="none" w:sz="0" w:space="0" w:color="auto"/>
        <w:left w:val="none" w:sz="0" w:space="0" w:color="auto"/>
        <w:bottom w:val="none" w:sz="0" w:space="0" w:color="auto"/>
        <w:right w:val="none" w:sz="0" w:space="0" w:color="auto"/>
      </w:divBdr>
    </w:div>
    <w:div w:id="418211821">
      <w:bodyDiv w:val="1"/>
      <w:marLeft w:val="0"/>
      <w:marRight w:val="0"/>
      <w:marTop w:val="0"/>
      <w:marBottom w:val="0"/>
      <w:divBdr>
        <w:top w:val="none" w:sz="0" w:space="0" w:color="auto"/>
        <w:left w:val="none" w:sz="0" w:space="0" w:color="auto"/>
        <w:bottom w:val="none" w:sz="0" w:space="0" w:color="auto"/>
        <w:right w:val="none" w:sz="0" w:space="0" w:color="auto"/>
      </w:divBdr>
    </w:div>
    <w:div w:id="468866984">
      <w:bodyDiv w:val="1"/>
      <w:marLeft w:val="0"/>
      <w:marRight w:val="0"/>
      <w:marTop w:val="0"/>
      <w:marBottom w:val="0"/>
      <w:divBdr>
        <w:top w:val="none" w:sz="0" w:space="0" w:color="auto"/>
        <w:left w:val="none" w:sz="0" w:space="0" w:color="auto"/>
        <w:bottom w:val="none" w:sz="0" w:space="0" w:color="auto"/>
        <w:right w:val="none" w:sz="0" w:space="0" w:color="auto"/>
      </w:divBdr>
      <w:divsChild>
        <w:div w:id="119614875">
          <w:marLeft w:val="0"/>
          <w:marRight w:val="0"/>
          <w:marTop w:val="0"/>
          <w:marBottom w:val="0"/>
          <w:divBdr>
            <w:top w:val="none" w:sz="0" w:space="0" w:color="auto"/>
            <w:left w:val="none" w:sz="0" w:space="0" w:color="auto"/>
            <w:bottom w:val="none" w:sz="0" w:space="0" w:color="auto"/>
            <w:right w:val="none" w:sz="0" w:space="0" w:color="auto"/>
          </w:divBdr>
          <w:divsChild>
            <w:div w:id="1548295750">
              <w:marLeft w:val="0"/>
              <w:marRight w:val="0"/>
              <w:marTop w:val="0"/>
              <w:marBottom w:val="0"/>
              <w:divBdr>
                <w:top w:val="none" w:sz="0" w:space="0" w:color="auto"/>
                <w:left w:val="none" w:sz="0" w:space="0" w:color="auto"/>
                <w:bottom w:val="none" w:sz="0" w:space="0" w:color="auto"/>
                <w:right w:val="none" w:sz="0" w:space="0" w:color="auto"/>
              </w:divBdr>
              <w:divsChild>
                <w:div w:id="50084870">
                  <w:marLeft w:val="0"/>
                  <w:marRight w:val="0"/>
                  <w:marTop w:val="0"/>
                  <w:marBottom w:val="0"/>
                  <w:divBdr>
                    <w:top w:val="none" w:sz="0" w:space="0" w:color="auto"/>
                    <w:left w:val="none" w:sz="0" w:space="0" w:color="auto"/>
                    <w:bottom w:val="none" w:sz="0" w:space="0" w:color="auto"/>
                    <w:right w:val="none" w:sz="0" w:space="0" w:color="auto"/>
                  </w:divBdr>
                  <w:divsChild>
                    <w:div w:id="1815758703">
                      <w:marLeft w:val="0"/>
                      <w:marRight w:val="0"/>
                      <w:marTop w:val="0"/>
                      <w:marBottom w:val="0"/>
                      <w:divBdr>
                        <w:top w:val="none" w:sz="0" w:space="0" w:color="auto"/>
                        <w:left w:val="none" w:sz="0" w:space="0" w:color="auto"/>
                        <w:bottom w:val="none" w:sz="0" w:space="0" w:color="auto"/>
                        <w:right w:val="none" w:sz="0" w:space="0" w:color="auto"/>
                      </w:divBdr>
                      <w:divsChild>
                        <w:div w:id="1715081597">
                          <w:marLeft w:val="0"/>
                          <w:marRight w:val="0"/>
                          <w:marTop w:val="0"/>
                          <w:marBottom w:val="0"/>
                          <w:divBdr>
                            <w:top w:val="none" w:sz="0" w:space="0" w:color="auto"/>
                            <w:left w:val="none" w:sz="0" w:space="0" w:color="auto"/>
                            <w:bottom w:val="none" w:sz="0" w:space="0" w:color="auto"/>
                            <w:right w:val="none" w:sz="0" w:space="0" w:color="auto"/>
                          </w:divBdr>
                          <w:divsChild>
                            <w:div w:id="539174787">
                              <w:marLeft w:val="0"/>
                              <w:marRight w:val="0"/>
                              <w:marTop w:val="0"/>
                              <w:marBottom w:val="0"/>
                              <w:divBdr>
                                <w:top w:val="none" w:sz="0" w:space="0" w:color="auto"/>
                                <w:left w:val="none" w:sz="0" w:space="0" w:color="auto"/>
                                <w:bottom w:val="none" w:sz="0" w:space="0" w:color="auto"/>
                                <w:right w:val="none" w:sz="0" w:space="0" w:color="auto"/>
                              </w:divBdr>
                              <w:divsChild>
                                <w:div w:id="1173448318">
                                  <w:marLeft w:val="0"/>
                                  <w:marRight w:val="0"/>
                                  <w:marTop w:val="0"/>
                                  <w:marBottom w:val="0"/>
                                  <w:divBdr>
                                    <w:top w:val="none" w:sz="0" w:space="0" w:color="auto"/>
                                    <w:left w:val="none" w:sz="0" w:space="0" w:color="auto"/>
                                    <w:bottom w:val="none" w:sz="0" w:space="0" w:color="auto"/>
                                    <w:right w:val="none" w:sz="0" w:space="0" w:color="auto"/>
                                  </w:divBdr>
                                </w:div>
                              </w:divsChild>
                            </w:div>
                            <w:div w:id="112293237">
                              <w:marLeft w:val="0"/>
                              <w:marRight w:val="0"/>
                              <w:marTop w:val="0"/>
                              <w:marBottom w:val="0"/>
                              <w:divBdr>
                                <w:top w:val="none" w:sz="0" w:space="0" w:color="auto"/>
                                <w:left w:val="none" w:sz="0" w:space="0" w:color="auto"/>
                                <w:bottom w:val="none" w:sz="0" w:space="0" w:color="auto"/>
                                <w:right w:val="none" w:sz="0" w:space="0" w:color="auto"/>
                              </w:divBdr>
                              <w:divsChild>
                                <w:div w:id="1834830133">
                                  <w:marLeft w:val="0"/>
                                  <w:marRight w:val="0"/>
                                  <w:marTop w:val="0"/>
                                  <w:marBottom w:val="0"/>
                                  <w:divBdr>
                                    <w:top w:val="none" w:sz="0" w:space="0" w:color="auto"/>
                                    <w:left w:val="none" w:sz="0" w:space="0" w:color="auto"/>
                                    <w:bottom w:val="none" w:sz="0" w:space="0" w:color="auto"/>
                                    <w:right w:val="none" w:sz="0" w:space="0" w:color="auto"/>
                                  </w:divBdr>
                                </w:div>
                              </w:divsChild>
                            </w:div>
                            <w:div w:id="1704793400">
                              <w:marLeft w:val="0"/>
                              <w:marRight w:val="0"/>
                              <w:marTop w:val="0"/>
                              <w:marBottom w:val="0"/>
                              <w:divBdr>
                                <w:top w:val="none" w:sz="0" w:space="0" w:color="auto"/>
                                <w:left w:val="none" w:sz="0" w:space="0" w:color="auto"/>
                                <w:bottom w:val="none" w:sz="0" w:space="0" w:color="auto"/>
                                <w:right w:val="none" w:sz="0" w:space="0" w:color="auto"/>
                              </w:divBdr>
                              <w:divsChild>
                                <w:div w:id="888564826">
                                  <w:marLeft w:val="0"/>
                                  <w:marRight w:val="0"/>
                                  <w:marTop w:val="0"/>
                                  <w:marBottom w:val="0"/>
                                  <w:divBdr>
                                    <w:top w:val="none" w:sz="0" w:space="0" w:color="auto"/>
                                    <w:left w:val="none" w:sz="0" w:space="0" w:color="auto"/>
                                    <w:bottom w:val="none" w:sz="0" w:space="0" w:color="auto"/>
                                    <w:right w:val="none" w:sz="0" w:space="0" w:color="auto"/>
                                  </w:divBdr>
                                </w:div>
                              </w:divsChild>
                            </w:div>
                            <w:div w:id="1142500504">
                              <w:marLeft w:val="0"/>
                              <w:marRight w:val="0"/>
                              <w:marTop w:val="0"/>
                              <w:marBottom w:val="0"/>
                              <w:divBdr>
                                <w:top w:val="none" w:sz="0" w:space="0" w:color="auto"/>
                                <w:left w:val="none" w:sz="0" w:space="0" w:color="auto"/>
                                <w:bottom w:val="none" w:sz="0" w:space="0" w:color="auto"/>
                                <w:right w:val="none" w:sz="0" w:space="0" w:color="auto"/>
                              </w:divBdr>
                              <w:divsChild>
                                <w:div w:id="4211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711096">
          <w:marLeft w:val="0"/>
          <w:marRight w:val="0"/>
          <w:marTop w:val="0"/>
          <w:marBottom w:val="0"/>
          <w:divBdr>
            <w:top w:val="none" w:sz="0" w:space="0" w:color="auto"/>
            <w:left w:val="none" w:sz="0" w:space="0" w:color="auto"/>
            <w:bottom w:val="none" w:sz="0" w:space="0" w:color="auto"/>
            <w:right w:val="none" w:sz="0" w:space="0" w:color="auto"/>
          </w:divBdr>
          <w:divsChild>
            <w:div w:id="1391028814">
              <w:marLeft w:val="0"/>
              <w:marRight w:val="0"/>
              <w:marTop w:val="0"/>
              <w:marBottom w:val="0"/>
              <w:divBdr>
                <w:top w:val="none" w:sz="0" w:space="0" w:color="auto"/>
                <w:left w:val="none" w:sz="0" w:space="0" w:color="auto"/>
                <w:bottom w:val="none" w:sz="0" w:space="0" w:color="auto"/>
                <w:right w:val="none" w:sz="0" w:space="0" w:color="auto"/>
              </w:divBdr>
              <w:divsChild>
                <w:div w:id="57553098">
                  <w:marLeft w:val="0"/>
                  <w:marRight w:val="0"/>
                  <w:marTop w:val="0"/>
                  <w:marBottom w:val="0"/>
                  <w:divBdr>
                    <w:top w:val="none" w:sz="0" w:space="0" w:color="auto"/>
                    <w:left w:val="none" w:sz="0" w:space="0" w:color="auto"/>
                    <w:bottom w:val="none" w:sz="0" w:space="0" w:color="auto"/>
                    <w:right w:val="none" w:sz="0" w:space="0" w:color="auto"/>
                  </w:divBdr>
                  <w:divsChild>
                    <w:div w:id="2039699103">
                      <w:marLeft w:val="0"/>
                      <w:marRight w:val="6000"/>
                      <w:marTop w:val="0"/>
                      <w:marBottom w:val="0"/>
                      <w:divBdr>
                        <w:top w:val="none" w:sz="0" w:space="0" w:color="auto"/>
                        <w:left w:val="none" w:sz="0" w:space="0" w:color="auto"/>
                        <w:bottom w:val="none" w:sz="0" w:space="0" w:color="auto"/>
                        <w:right w:val="none" w:sz="0" w:space="0" w:color="auto"/>
                      </w:divBdr>
                    </w:div>
                    <w:div w:id="112296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937013">
          <w:marLeft w:val="0"/>
          <w:marRight w:val="0"/>
          <w:marTop w:val="0"/>
          <w:marBottom w:val="0"/>
          <w:divBdr>
            <w:top w:val="none" w:sz="0" w:space="0" w:color="auto"/>
            <w:left w:val="none" w:sz="0" w:space="0" w:color="auto"/>
            <w:bottom w:val="none" w:sz="0" w:space="0" w:color="auto"/>
            <w:right w:val="none" w:sz="0" w:space="0" w:color="auto"/>
          </w:divBdr>
          <w:divsChild>
            <w:div w:id="23409660">
              <w:marLeft w:val="0"/>
              <w:marRight w:val="0"/>
              <w:marTop w:val="0"/>
              <w:marBottom w:val="0"/>
              <w:divBdr>
                <w:top w:val="none" w:sz="0" w:space="0" w:color="auto"/>
                <w:left w:val="none" w:sz="0" w:space="0" w:color="auto"/>
                <w:bottom w:val="none" w:sz="0" w:space="0" w:color="auto"/>
                <w:right w:val="none" w:sz="0" w:space="0" w:color="auto"/>
              </w:divBdr>
              <w:divsChild>
                <w:div w:id="2118598140">
                  <w:marLeft w:val="150"/>
                  <w:marRight w:val="15"/>
                  <w:marTop w:val="15"/>
                  <w:marBottom w:val="15"/>
                  <w:divBdr>
                    <w:top w:val="none" w:sz="0" w:space="0" w:color="auto"/>
                    <w:left w:val="none" w:sz="0" w:space="0" w:color="auto"/>
                    <w:bottom w:val="single" w:sz="12" w:space="0" w:color="000000"/>
                    <w:right w:val="none" w:sz="0" w:space="0" w:color="auto"/>
                  </w:divBdr>
                </w:div>
              </w:divsChild>
            </w:div>
          </w:divsChild>
        </w:div>
        <w:div w:id="264383935">
          <w:marLeft w:val="0"/>
          <w:marRight w:val="0"/>
          <w:marTop w:val="0"/>
          <w:marBottom w:val="0"/>
          <w:divBdr>
            <w:top w:val="none" w:sz="0" w:space="0" w:color="auto"/>
            <w:left w:val="none" w:sz="0" w:space="0" w:color="auto"/>
            <w:bottom w:val="none" w:sz="0" w:space="0" w:color="auto"/>
            <w:right w:val="none" w:sz="0" w:space="0" w:color="auto"/>
          </w:divBdr>
          <w:divsChild>
            <w:div w:id="2069376420">
              <w:marLeft w:val="0"/>
              <w:marRight w:val="0"/>
              <w:marTop w:val="0"/>
              <w:marBottom w:val="0"/>
              <w:divBdr>
                <w:top w:val="none" w:sz="0" w:space="0" w:color="auto"/>
                <w:left w:val="none" w:sz="0" w:space="0" w:color="auto"/>
                <w:bottom w:val="none" w:sz="0" w:space="0" w:color="auto"/>
                <w:right w:val="none" w:sz="0" w:space="0" w:color="auto"/>
              </w:divBdr>
              <w:divsChild>
                <w:div w:id="154489878">
                  <w:marLeft w:val="0"/>
                  <w:marRight w:val="0"/>
                  <w:marTop w:val="0"/>
                  <w:marBottom w:val="0"/>
                  <w:divBdr>
                    <w:top w:val="none" w:sz="0" w:space="0" w:color="auto"/>
                    <w:left w:val="none" w:sz="0" w:space="0" w:color="auto"/>
                    <w:bottom w:val="none" w:sz="0" w:space="0" w:color="auto"/>
                    <w:right w:val="none" w:sz="0" w:space="0" w:color="auto"/>
                  </w:divBdr>
                  <w:divsChild>
                    <w:div w:id="433474456">
                      <w:marLeft w:val="-225"/>
                      <w:marRight w:val="-225"/>
                      <w:marTop w:val="0"/>
                      <w:marBottom w:val="0"/>
                      <w:divBdr>
                        <w:top w:val="none" w:sz="0" w:space="0" w:color="auto"/>
                        <w:left w:val="none" w:sz="0" w:space="0" w:color="auto"/>
                        <w:bottom w:val="none" w:sz="0" w:space="0" w:color="auto"/>
                        <w:right w:val="none" w:sz="0" w:space="0" w:color="auto"/>
                      </w:divBdr>
                      <w:divsChild>
                        <w:div w:id="594093266">
                          <w:marLeft w:val="0"/>
                          <w:marRight w:val="0"/>
                          <w:marTop w:val="0"/>
                          <w:marBottom w:val="0"/>
                          <w:divBdr>
                            <w:top w:val="none" w:sz="0" w:space="0" w:color="auto"/>
                            <w:left w:val="none" w:sz="0" w:space="0" w:color="auto"/>
                            <w:bottom w:val="single" w:sz="6" w:space="4" w:color="CCCCCC"/>
                            <w:right w:val="none" w:sz="0" w:space="0" w:color="auto"/>
                          </w:divBdr>
                        </w:div>
                      </w:divsChild>
                    </w:div>
                    <w:div w:id="35399349">
                      <w:marLeft w:val="-225"/>
                      <w:marRight w:val="-225"/>
                      <w:marTop w:val="0"/>
                      <w:marBottom w:val="0"/>
                      <w:divBdr>
                        <w:top w:val="none" w:sz="0" w:space="0" w:color="auto"/>
                        <w:left w:val="none" w:sz="0" w:space="0" w:color="auto"/>
                        <w:bottom w:val="single" w:sz="6" w:space="0" w:color="CCCCCC"/>
                        <w:right w:val="none" w:sz="0" w:space="0" w:color="auto"/>
                      </w:divBdr>
                      <w:divsChild>
                        <w:div w:id="233585134">
                          <w:marLeft w:val="0"/>
                          <w:marRight w:val="0"/>
                          <w:marTop w:val="0"/>
                          <w:marBottom w:val="0"/>
                          <w:divBdr>
                            <w:top w:val="none" w:sz="0" w:space="0" w:color="auto"/>
                            <w:left w:val="none" w:sz="0" w:space="0" w:color="auto"/>
                            <w:bottom w:val="none" w:sz="0" w:space="0" w:color="auto"/>
                            <w:right w:val="none" w:sz="0" w:space="0" w:color="auto"/>
                          </w:divBdr>
                          <w:divsChild>
                            <w:div w:id="9202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215711">
      <w:bodyDiv w:val="1"/>
      <w:marLeft w:val="0"/>
      <w:marRight w:val="0"/>
      <w:marTop w:val="0"/>
      <w:marBottom w:val="0"/>
      <w:divBdr>
        <w:top w:val="none" w:sz="0" w:space="0" w:color="auto"/>
        <w:left w:val="none" w:sz="0" w:space="0" w:color="auto"/>
        <w:bottom w:val="none" w:sz="0" w:space="0" w:color="auto"/>
        <w:right w:val="none" w:sz="0" w:space="0" w:color="auto"/>
      </w:divBdr>
      <w:divsChild>
        <w:div w:id="1109809992">
          <w:marLeft w:val="0"/>
          <w:marRight w:val="0"/>
          <w:marTop w:val="0"/>
          <w:marBottom w:val="0"/>
          <w:divBdr>
            <w:top w:val="none" w:sz="0" w:space="0" w:color="auto"/>
            <w:left w:val="none" w:sz="0" w:space="0" w:color="auto"/>
            <w:bottom w:val="none" w:sz="0" w:space="0" w:color="auto"/>
            <w:right w:val="none" w:sz="0" w:space="0" w:color="auto"/>
          </w:divBdr>
        </w:div>
        <w:div w:id="1821186301">
          <w:marLeft w:val="0"/>
          <w:marRight w:val="0"/>
          <w:marTop w:val="0"/>
          <w:marBottom w:val="300"/>
          <w:divBdr>
            <w:top w:val="none" w:sz="0" w:space="0" w:color="auto"/>
            <w:left w:val="none" w:sz="0" w:space="0" w:color="auto"/>
            <w:bottom w:val="none" w:sz="0" w:space="0" w:color="auto"/>
            <w:right w:val="none" w:sz="0" w:space="0" w:color="auto"/>
          </w:divBdr>
        </w:div>
      </w:divsChild>
    </w:div>
    <w:div w:id="733313527">
      <w:bodyDiv w:val="1"/>
      <w:marLeft w:val="0"/>
      <w:marRight w:val="0"/>
      <w:marTop w:val="0"/>
      <w:marBottom w:val="0"/>
      <w:divBdr>
        <w:top w:val="none" w:sz="0" w:space="0" w:color="auto"/>
        <w:left w:val="none" w:sz="0" w:space="0" w:color="auto"/>
        <w:bottom w:val="none" w:sz="0" w:space="0" w:color="auto"/>
        <w:right w:val="none" w:sz="0" w:space="0" w:color="auto"/>
      </w:divBdr>
    </w:div>
    <w:div w:id="757754629">
      <w:bodyDiv w:val="1"/>
      <w:marLeft w:val="0"/>
      <w:marRight w:val="0"/>
      <w:marTop w:val="0"/>
      <w:marBottom w:val="0"/>
      <w:divBdr>
        <w:top w:val="none" w:sz="0" w:space="0" w:color="auto"/>
        <w:left w:val="none" w:sz="0" w:space="0" w:color="auto"/>
        <w:bottom w:val="none" w:sz="0" w:space="0" w:color="auto"/>
        <w:right w:val="none" w:sz="0" w:space="0" w:color="auto"/>
      </w:divBdr>
    </w:div>
    <w:div w:id="977298298">
      <w:bodyDiv w:val="1"/>
      <w:marLeft w:val="0"/>
      <w:marRight w:val="0"/>
      <w:marTop w:val="0"/>
      <w:marBottom w:val="0"/>
      <w:divBdr>
        <w:top w:val="none" w:sz="0" w:space="0" w:color="auto"/>
        <w:left w:val="none" w:sz="0" w:space="0" w:color="auto"/>
        <w:bottom w:val="none" w:sz="0" w:space="0" w:color="auto"/>
        <w:right w:val="none" w:sz="0" w:space="0" w:color="auto"/>
      </w:divBdr>
    </w:div>
    <w:div w:id="1073428644">
      <w:bodyDiv w:val="1"/>
      <w:marLeft w:val="0"/>
      <w:marRight w:val="0"/>
      <w:marTop w:val="0"/>
      <w:marBottom w:val="0"/>
      <w:divBdr>
        <w:top w:val="none" w:sz="0" w:space="0" w:color="auto"/>
        <w:left w:val="none" w:sz="0" w:space="0" w:color="auto"/>
        <w:bottom w:val="none" w:sz="0" w:space="0" w:color="auto"/>
        <w:right w:val="none" w:sz="0" w:space="0" w:color="auto"/>
      </w:divBdr>
    </w:div>
    <w:div w:id="1210799555">
      <w:bodyDiv w:val="1"/>
      <w:marLeft w:val="0"/>
      <w:marRight w:val="0"/>
      <w:marTop w:val="0"/>
      <w:marBottom w:val="0"/>
      <w:divBdr>
        <w:top w:val="none" w:sz="0" w:space="0" w:color="auto"/>
        <w:left w:val="none" w:sz="0" w:space="0" w:color="auto"/>
        <w:bottom w:val="none" w:sz="0" w:space="0" w:color="auto"/>
        <w:right w:val="none" w:sz="0" w:space="0" w:color="auto"/>
      </w:divBdr>
    </w:div>
    <w:div w:id="1359819709">
      <w:bodyDiv w:val="1"/>
      <w:marLeft w:val="0"/>
      <w:marRight w:val="0"/>
      <w:marTop w:val="0"/>
      <w:marBottom w:val="0"/>
      <w:divBdr>
        <w:top w:val="none" w:sz="0" w:space="0" w:color="auto"/>
        <w:left w:val="none" w:sz="0" w:space="0" w:color="auto"/>
        <w:bottom w:val="none" w:sz="0" w:space="0" w:color="auto"/>
        <w:right w:val="none" w:sz="0" w:space="0" w:color="auto"/>
      </w:divBdr>
    </w:div>
    <w:div w:id="1432041757">
      <w:bodyDiv w:val="1"/>
      <w:marLeft w:val="0"/>
      <w:marRight w:val="0"/>
      <w:marTop w:val="0"/>
      <w:marBottom w:val="0"/>
      <w:divBdr>
        <w:top w:val="none" w:sz="0" w:space="0" w:color="auto"/>
        <w:left w:val="none" w:sz="0" w:space="0" w:color="auto"/>
        <w:bottom w:val="none" w:sz="0" w:space="0" w:color="auto"/>
        <w:right w:val="none" w:sz="0" w:space="0" w:color="auto"/>
      </w:divBdr>
    </w:div>
    <w:div w:id="1464695590">
      <w:bodyDiv w:val="1"/>
      <w:marLeft w:val="0"/>
      <w:marRight w:val="0"/>
      <w:marTop w:val="0"/>
      <w:marBottom w:val="0"/>
      <w:divBdr>
        <w:top w:val="none" w:sz="0" w:space="0" w:color="auto"/>
        <w:left w:val="none" w:sz="0" w:space="0" w:color="auto"/>
        <w:bottom w:val="none" w:sz="0" w:space="0" w:color="auto"/>
        <w:right w:val="none" w:sz="0" w:space="0" w:color="auto"/>
      </w:divBdr>
    </w:div>
    <w:div w:id="1514034609">
      <w:bodyDiv w:val="1"/>
      <w:marLeft w:val="0"/>
      <w:marRight w:val="0"/>
      <w:marTop w:val="0"/>
      <w:marBottom w:val="0"/>
      <w:divBdr>
        <w:top w:val="none" w:sz="0" w:space="0" w:color="auto"/>
        <w:left w:val="none" w:sz="0" w:space="0" w:color="auto"/>
        <w:bottom w:val="none" w:sz="0" w:space="0" w:color="auto"/>
        <w:right w:val="none" w:sz="0" w:space="0" w:color="auto"/>
      </w:divBdr>
    </w:div>
    <w:div w:id="1856184603">
      <w:bodyDiv w:val="1"/>
      <w:marLeft w:val="0"/>
      <w:marRight w:val="0"/>
      <w:marTop w:val="0"/>
      <w:marBottom w:val="0"/>
      <w:divBdr>
        <w:top w:val="none" w:sz="0" w:space="0" w:color="auto"/>
        <w:left w:val="none" w:sz="0" w:space="0" w:color="auto"/>
        <w:bottom w:val="none" w:sz="0" w:space="0" w:color="auto"/>
        <w:right w:val="none" w:sz="0" w:space="0" w:color="auto"/>
      </w:divBdr>
    </w:div>
    <w:div w:id="191994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3EAF0-8A71-470E-AF7A-2039D5FD3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2751</Words>
  <Characters>15687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dc:creator>
  <cp:keywords/>
  <dc:description/>
  <cp:lastModifiedBy>Jon Wilks</cp:lastModifiedBy>
  <cp:revision>19</cp:revision>
  <cp:lastPrinted>2024-12-16T11:53:00Z</cp:lastPrinted>
  <dcterms:created xsi:type="dcterms:W3CDTF">2024-12-05T10:43:00Z</dcterms:created>
  <dcterms:modified xsi:type="dcterms:W3CDTF">2024-12-16T12:26:00Z</dcterms:modified>
</cp:coreProperties>
</file>