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655C" w14:textId="77777777" w:rsidR="0089032D" w:rsidRPr="0089032D" w:rsidRDefault="0089032D" w:rsidP="0089032D">
      <w:pPr>
        <w:shd w:val="clear" w:color="auto" w:fill="FFFFFF"/>
        <w:spacing w:before="300" w:after="150" w:line="240" w:lineRule="auto"/>
        <w:outlineLvl w:val="0"/>
        <w:rPr>
          <w:rFonts w:ascii="Verdana" w:eastAsia="Times New Roman" w:hAnsi="Verdana" w:cs="Times New Roman"/>
          <w:color w:val="333333"/>
          <w:kern w:val="36"/>
          <w:sz w:val="54"/>
          <w:szCs w:val="54"/>
        </w:rPr>
      </w:pPr>
      <w:r w:rsidRPr="0089032D">
        <w:rPr>
          <w:rFonts w:ascii="Verdana" w:eastAsia="Times New Roman" w:hAnsi="Verdana" w:cs="Times New Roman"/>
          <w:color w:val="333333"/>
          <w:kern w:val="36"/>
          <w:sz w:val="54"/>
          <w:szCs w:val="54"/>
        </w:rPr>
        <w:t>18 U.S. Code § 31 - Definitions</w:t>
      </w:r>
    </w:p>
    <w:p w14:paraId="426B566F" w14:textId="77777777" w:rsidR="0089032D" w:rsidRPr="0089032D" w:rsidRDefault="0089032D" w:rsidP="0089032D">
      <w:pPr>
        <w:numPr>
          <w:ilvl w:val="0"/>
          <w:numId w:val="1"/>
        </w:numPr>
        <w:pBdr>
          <w:bottom w:val="single" w:sz="24" w:space="0" w:color="F3565D"/>
        </w:pBdr>
        <w:shd w:val="clear" w:color="auto" w:fill="FFFFFF"/>
        <w:spacing w:before="100" w:beforeAutospacing="1" w:after="0" w:line="240" w:lineRule="auto"/>
        <w:ind w:right="30"/>
        <w:rPr>
          <w:rFonts w:ascii="Verdana" w:eastAsia="Times New Roman" w:hAnsi="Verdana" w:cs="Times New Roman"/>
          <w:color w:val="333333"/>
          <w:sz w:val="24"/>
          <w:szCs w:val="24"/>
        </w:rPr>
      </w:pPr>
      <w:hyperlink r:id="rId5" w:anchor="tab_default_1" w:history="1">
        <w:r w:rsidRPr="0089032D">
          <w:rPr>
            <w:rFonts w:ascii="Verdana" w:eastAsia="Times New Roman" w:hAnsi="Verdana" w:cs="Times New Roman"/>
            <w:color w:val="0068AC"/>
            <w:sz w:val="24"/>
            <w:szCs w:val="24"/>
            <w:u w:val="single"/>
            <w:bdr w:val="none" w:sz="0" w:space="0" w:color="auto" w:frame="1"/>
            <w:shd w:val="clear" w:color="auto" w:fill="FFFFFF"/>
          </w:rPr>
          <w:t>U.S. Code</w:t>
        </w:r>
      </w:hyperlink>
    </w:p>
    <w:p w14:paraId="2ADFBC43" w14:textId="77777777" w:rsidR="0089032D" w:rsidRPr="0089032D" w:rsidRDefault="0089032D" w:rsidP="0089032D">
      <w:pPr>
        <w:numPr>
          <w:ilvl w:val="0"/>
          <w:numId w:val="1"/>
        </w:numPr>
        <w:shd w:val="clear" w:color="auto" w:fill="FFFFFF"/>
        <w:spacing w:before="100" w:beforeAutospacing="1" w:after="0" w:line="240" w:lineRule="auto"/>
        <w:ind w:right="30"/>
        <w:rPr>
          <w:rFonts w:ascii="Verdana" w:eastAsia="Times New Roman" w:hAnsi="Verdana" w:cs="Times New Roman"/>
          <w:color w:val="333333"/>
          <w:sz w:val="24"/>
          <w:szCs w:val="24"/>
        </w:rPr>
      </w:pPr>
      <w:hyperlink r:id="rId6" w:anchor="tab_default_2" w:history="1">
        <w:r w:rsidRPr="0089032D">
          <w:rPr>
            <w:rFonts w:ascii="Verdana" w:eastAsia="Times New Roman" w:hAnsi="Verdana" w:cs="Times New Roman"/>
            <w:color w:val="0068AC"/>
            <w:sz w:val="24"/>
            <w:szCs w:val="24"/>
            <w:u w:val="single"/>
            <w:bdr w:val="none" w:sz="0" w:space="0" w:color="auto" w:frame="1"/>
          </w:rPr>
          <w:t>Notes</w:t>
        </w:r>
      </w:hyperlink>
    </w:p>
    <w:p w14:paraId="64462B4E" w14:textId="77777777" w:rsidR="0089032D" w:rsidRPr="0089032D" w:rsidRDefault="0089032D" w:rsidP="0089032D">
      <w:pPr>
        <w:shd w:val="clear" w:color="auto" w:fill="FFFFFF"/>
        <w:spacing w:after="0" w:line="240" w:lineRule="auto"/>
        <w:jc w:val="right"/>
        <w:rPr>
          <w:rFonts w:ascii="Verdana" w:eastAsia="Times New Roman" w:hAnsi="Verdana" w:cs="Times New Roman"/>
          <w:color w:val="333333"/>
          <w:sz w:val="24"/>
          <w:szCs w:val="24"/>
        </w:rPr>
      </w:pPr>
      <w:proofErr w:type="spellStart"/>
      <w:r w:rsidRPr="0089032D">
        <w:rPr>
          <w:rFonts w:ascii="Verdana" w:eastAsia="Times New Roman" w:hAnsi="Verdana" w:cs="Times New Roman"/>
          <w:color w:val="333333"/>
          <w:sz w:val="24"/>
          <w:szCs w:val="24"/>
        </w:rPr>
        <w:t>prev</w:t>
      </w:r>
      <w:proofErr w:type="spellEnd"/>
      <w:r w:rsidRPr="0089032D">
        <w:rPr>
          <w:rFonts w:ascii="Verdana" w:eastAsia="Times New Roman" w:hAnsi="Verdana" w:cs="Times New Roman"/>
          <w:color w:val="333333"/>
          <w:sz w:val="24"/>
          <w:szCs w:val="24"/>
        </w:rPr>
        <w:t xml:space="preserve"> | </w:t>
      </w:r>
      <w:hyperlink r:id="rId7" w:history="1">
        <w:r w:rsidRPr="0089032D">
          <w:rPr>
            <w:rFonts w:ascii="Verdana" w:eastAsia="Times New Roman" w:hAnsi="Verdana" w:cs="Times New Roman"/>
            <w:color w:val="0068AC"/>
            <w:sz w:val="24"/>
            <w:szCs w:val="24"/>
            <w:u w:val="single"/>
          </w:rPr>
          <w:t>next</w:t>
        </w:r>
      </w:hyperlink>
    </w:p>
    <w:p w14:paraId="72F84EC9" w14:textId="77777777" w:rsidR="0089032D" w:rsidRPr="0089032D" w:rsidRDefault="0089032D" w:rsidP="0089032D">
      <w:pPr>
        <w:shd w:val="clear" w:color="auto" w:fill="FFFFFF"/>
        <w:spacing w:after="0" w:line="240" w:lineRule="auto"/>
        <w:rPr>
          <w:rFonts w:ascii="Verdana" w:eastAsia="Times New Roman" w:hAnsi="Verdana" w:cs="Times New Roman"/>
          <w:color w:val="333333"/>
          <w:sz w:val="24"/>
          <w:szCs w:val="24"/>
        </w:rPr>
      </w:pPr>
      <w:bookmarkStart w:id="0" w:name="a"/>
      <w:bookmarkEnd w:id="0"/>
      <w:r w:rsidRPr="0089032D">
        <w:rPr>
          <w:rFonts w:ascii="Verdana" w:eastAsia="Times New Roman" w:hAnsi="Verdana" w:cs="Times New Roman"/>
          <w:b/>
          <w:bCs/>
          <w:color w:val="333333"/>
          <w:sz w:val="24"/>
          <w:szCs w:val="24"/>
        </w:rPr>
        <w:t>(a)</w:t>
      </w:r>
      <w:proofErr w:type="gramStart"/>
      <w:r w:rsidRPr="0089032D">
        <w:rPr>
          <w:rFonts w:ascii="Verdana" w:eastAsia="Times New Roman" w:hAnsi="Verdana" w:cs="Times New Roman"/>
          <w:b/>
          <w:bCs/>
          <w:smallCaps/>
          <w:color w:val="333333"/>
          <w:sz w:val="24"/>
          <w:szCs w:val="24"/>
        </w:rPr>
        <w:t>Definitions.—</w:t>
      </w:r>
      <w:proofErr w:type="gramEnd"/>
      <w:r w:rsidRPr="0089032D">
        <w:rPr>
          <w:rFonts w:ascii="Verdana" w:eastAsia="Times New Roman" w:hAnsi="Verdana" w:cs="Times New Roman"/>
          <w:color w:val="333333"/>
          <w:sz w:val="24"/>
          <w:szCs w:val="24"/>
        </w:rPr>
        <w:t>In this chapter, the following definitions apply:</w:t>
      </w:r>
    </w:p>
    <w:p w14:paraId="662D3709" w14:textId="77777777" w:rsidR="0089032D" w:rsidRPr="0089032D" w:rsidRDefault="0089032D" w:rsidP="0089032D">
      <w:pPr>
        <w:shd w:val="clear" w:color="auto" w:fill="FFFFFF"/>
        <w:spacing w:after="0" w:line="240" w:lineRule="auto"/>
        <w:rPr>
          <w:rFonts w:ascii="Verdana" w:eastAsia="Times New Roman" w:hAnsi="Verdana" w:cs="Times New Roman"/>
          <w:color w:val="333333"/>
          <w:sz w:val="24"/>
          <w:szCs w:val="24"/>
        </w:rPr>
      </w:pPr>
      <w:bookmarkStart w:id="1" w:name="a_1"/>
      <w:bookmarkStart w:id="2" w:name="a_4"/>
      <w:bookmarkStart w:id="3" w:name="a_6"/>
      <w:bookmarkEnd w:id="1"/>
      <w:bookmarkEnd w:id="2"/>
      <w:bookmarkEnd w:id="3"/>
      <w:r w:rsidRPr="0089032D">
        <w:rPr>
          <w:rFonts w:ascii="Verdana" w:eastAsia="Times New Roman" w:hAnsi="Verdana" w:cs="Times New Roman"/>
          <w:b/>
          <w:bCs/>
          <w:color w:val="333333"/>
          <w:sz w:val="24"/>
          <w:szCs w:val="24"/>
        </w:rPr>
        <w:t>(6)</w:t>
      </w:r>
      <w:r w:rsidRPr="0089032D">
        <w:rPr>
          <w:rFonts w:ascii="Verdana" w:eastAsia="Times New Roman" w:hAnsi="Verdana" w:cs="Times New Roman"/>
          <w:b/>
          <w:bCs/>
          <w:smallCaps/>
          <w:color w:val="333333"/>
          <w:sz w:val="24"/>
          <w:szCs w:val="24"/>
        </w:rPr>
        <w:t>Motor vehicle.—</w:t>
      </w:r>
    </w:p>
    <w:p w14:paraId="6FA54BED" w14:textId="77777777" w:rsidR="0089032D" w:rsidRPr="0089032D" w:rsidRDefault="0089032D" w:rsidP="0089032D">
      <w:pPr>
        <w:shd w:val="clear" w:color="auto" w:fill="FFFFFF"/>
        <w:spacing w:after="60" w:line="240" w:lineRule="auto"/>
        <w:rPr>
          <w:rFonts w:ascii="Verdana" w:eastAsia="Times New Roman" w:hAnsi="Verdana" w:cs="Times New Roman"/>
          <w:color w:val="333333"/>
          <w:sz w:val="24"/>
          <w:szCs w:val="24"/>
        </w:rPr>
      </w:pPr>
      <w:r w:rsidRPr="0089032D">
        <w:rPr>
          <w:rFonts w:ascii="Verdana" w:eastAsia="Times New Roman" w:hAnsi="Verdana" w:cs="Times New Roman"/>
          <w:color w:val="333333"/>
          <w:sz w:val="24"/>
          <w:szCs w:val="24"/>
        </w:rPr>
        <w:t>The term “</w:t>
      </w:r>
      <w:hyperlink r:id="rId8" w:history="1">
        <w:r w:rsidRPr="0089032D">
          <w:rPr>
            <w:rFonts w:ascii="Verdana" w:eastAsia="Times New Roman" w:hAnsi="Verdana" w:cs="Times New Roman"/>
            <w:color w:val="0068AC"/>
            <w:sz w:val="24"/>
            <w:szCs w:val="24"/>
            <w:u w:val="single"/>
          </w:rPr>
          <w:t>motor vehicle</w:t>
        </w:r>
      </w:hyperlink>
      <w:r w:rsidRPr="0089032D">
        <w:rPr>
          <w:rFonts w:ascii="Verdana" w:eastAsia="Times New Roman" w:hAnsi="Verdana" w:cs="Times New Roman"/>
          <w:color w:val="333333"/>
          <w:sz w:val="24"/>
          <w:szCs w:val="24"/>
        </w:rPr>
        <w:t>” means every description of carriage or other contrivance propelled or drawn by mechanical power and </w:t>
      </w:r>
      <w:hyperlink r:id="rId9" w:history="1">
        <w:r w:rsidRPr="0089032D">
          <w:rPr>
            <w:rFonts w:ascii="Verdana" w:eastAsia="Times New Roman" w:hAnsi="Verdana" w:cs="Times New Roman"/>
            <w:color w:val="0068AC"/>
            <w:sz w:val="24"/>
            <w:szCs w:val="24"/>
            <w:u w:val="single"/>
          </w:rPr>
          <w:t>used for commercial purposes</w:t>
        </w:r>
      </w:hyperlink>
      <w:r w:rsidRPr="0089032D">
        <w:rPr>
          <w:rFonts w:ascii="Verdana" w:eastAsia="Times New Roman" w:hAnsi="Verdana" w:cs="Times New Roman"/>
          <w:color w:val="333333"/>
          <w:sz w:val="24"/>
          <w:szCs w:val="24"/>
        </w:rPr>
        <w:t> on the highways in the transportation of passengers, passengers and property, or property or cargo.</w:t>
      </w:r>
    </w:p>
    <w:p w14:paraId="3B8BC944" w14:textId="77777777" w:rsidR="0089032D" w:rsidRPr="0089032D" w:rsidRDefault="0089032D" w:rsidP="0089032D">
      <w:pPr>
        <w:shd w:val="clear" w:color="auto" w:fill="FFFFFF"/>
        <w:spacing w:after="0" w:line="240" w:lineRule="auto"/>
        <w:rPr>
          <w:rFonts w:ascii="Verdana" w:eastAsia="Times New Roman" w:hAnsi="Verdana" w:cs="Times New Roman"/>
          <w:color w:val="333333"/>
          <w:sz w:val="24"/>
          <w:szCs w:val="24"/>
        </w:rPr>
      </w:pPr>
      <w:bookmarkStart w:id="4" w:name="a_7"/>
      <w:bookmarkStart w:id="5" w:name="a_10"/>
      <w:bookmarkEnd w:id="4"/>
      <w:bookmarkEnd w:id="5"/>
      <w:r w:rsidRPr="0089032D">
        <w:rPr>
          <w:rFonts w:ascii="Verdana" w:eastAsia="Times New Roman" w:hAnsi="Verdana" w:cs="Times New Roman"/>
          <w:b/>
          <w:bCs/>
          <w:color w:val="333333"/>
          <w:sz w:val="24"/>
          <w:szCs w:val="24"/>
        </w:rPr>
        <w:t>(</w:t>
      </w:r>
      <w:proofErr w:type="gramStart"/>
      <w:r w:rsidRPr="0089032D">
        <w:rPr>
          <w:rFonts w:ascii="Verdana" w:eastAsia="Times New Roman" w:hAnsi="Verdana" w:cs="Times New Roman"/>
          <w:b/>
          <w:bCs/>
          <w:color w:val="333333"/>
          <w:sz w:val="24"/>
          <w:szCs w:val="24"/>
        </w:rPr>
        <w:t>10)</w:t>
      </w:r>
      <w:r w:rsidRPr="0089032D">
        <w:rPr>
          <w:rFonts w:ascii="Verdana" w:eastAsia="Times New Roman" w:hAnsi="Verdana" w:cs="Times New Roman"/>
          <w:b/>
          <w:bCs/>
          <w:smallCaps/>
          <w:color w:val="333333"/>
          <w:sz w:val="24"/>
          <w:szCs w:val="24"/>
        </w:rPr>
        <w:t>Used</w:t>
      </w:r>
      <w:proofErr w:type="gramEnd"/>
      <w:r w:rsidRPr="0089032D">
        <w:rPr>
          <w:rFonts w:ascii="Verdana" w:eastAsia="Times New Roman" w:hAnsi="Verdana" w:cs="Times New Roman"/>
          <w:b/>
          <w:bCs/>
          <w:smallCaps/>
          <w:color w:val="333333"/>
          <w:sz w:val="24"/>
          <w:szCs w:val="24"/>
        </w:rPr>
        <w:t xml:space="preserve"> for commercial purposes.—</w:t>
      </w:r>
    </w:p>
    <w:p w14:paraId="7CB50DE4" w14:textId="77777777" w:rsidR="0089032D" w:rsidRPr="0089032D" w:rsidRDefault="0089032D" w:rsidP="0089032D">
      <w:pPr>
        <w:shd w:val="clear" w:color="auto" w:fill="FFFFFF"/>
        <w:spacing w:after="60" w:line="240" w:lineRule="auto"/>
        <w:rPr>
          <w:rFonts w:ascii="Verdana" w:eastAsia="Times New Roman" w:hAnsi="Verdana" w:cs="Times New Roman"/>
          <w:color w:val="333333"/>
          <w:sz w:val="24"/>
          <w:szCs w:val="24"/>
        </w:rPr>
      </w:pPr>
      <w:r w:rsidRPr="0089032D">
        <w:rPr>
          <w:rFonts w:ascii="Verdana" w:eastAsia="Times New Roman" w:hAnsi="Verdana" w:cs="Times New Roman"/>
          <w:color w:val="333333"/>
          <w:sz w:val="24"/>
          <w:szCs w:val="24"/>
        </w:rPr>
        <w:t>The term “</w:t>
      </w:r>
      <w:hyperlink r:id="rId10" w:history="1">
        <w:r w:rsidRPr="0089032D">
          <w:rPr>
            <w:rFonts w:ascii="Verdana" w:eastAsia="Times New Roman" w:hAnsi="Verdana" w:cs="Times New Roman"/>
            <w:color w:val="0068AC"/>
            <w:sz w:val="24"/>
            <w:szCs w:val="24"/>
            <w:u w:val="single"/>
          </w:rPr>
          <w:t>used for commercial purposes</w:t>
        </w:r>
      </w:hyperlink>
      <w:r w:rsidRPr="0089032D">
        <w:rPr>
          <w:rFonts w:ascii="Verdana" w:eastAsia="Times New Roman" w:hAnsi="Verdana" w:cs="Times New Roman"/>
          <w:color w:val="333333"/>
          <w:sz w:val="24"/>
          <w:szCs w:val="24"/>
        </w:rPr>
        <w:t>” means the carriage of persons or property for any fare, fee, rate, charge or other consideration, or directly or indirectly in connection with any business, or other undertaking intended for profit.</w:t>
      </w:r>
    </w:p>
    <w:p w14:paraId="33082FAF" w14:textId="77777777" w:rsidR="006852FB" w:rsidRDefault="006852FB"/>
    <w:sectPr w:rsidR="0068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85341"/>
    <w:multiLevelType w:val="multilevel"/>
    <w:tmpl w:val="332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2D"/>
    <w:rsid w:val="006852FB"/>
    <w:rsid w:val="0089032D"/>
    <w:rsid w:val="00C7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D0DD"/>
  <w15:chartTrackingRefBased/>
  <w15:docId w15:val="{F95C845C-85E8-4351-BC38-0EFFDB0C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39207">
      <w:bodyDiv w:val="1"/>
      <w:marLeft w:val="0"/>
      <w:marRight w:val="0"/>
      <w:marTop w:val="0"/>
      <w:marBottom w:val="0"/>
      <w:divBdr>
        <w:top w:val="none" w:sz="0" w:space="0" w:color="auto"/>
        <w:left w:val="none" w:sz="0" w:space="0" w:color="auto"/>
        <w:bottom w:val="none" w:sz="0" w:space="0" w:color="auto"/>
        <w:right w:val="none" w:sz="0" w:space="0" w:color="auto"/>
      </w:divBdr>
      <w:divsChild>
        <w:div w:id="1785806550">
          <w:marLeft w:val="0"/>
          <w:marRight w:val="0"/>
          <w:marTop w:val="0"/>
          <w:marBottom w:val="0"/>
          <w:divBdr>
            <w:top w:val="single" w:sz="6" w:space="8" w:color="EEEEEE"/>
            <w:left w:val="single" w:sz="6" w:space="8" w:color="EEEEEE"/>
            <w:bottom w:val="single" w:sz="6" w:space="8" w:color="EEEEEE"/>
            <w:right w:val="single" w:sz="6" w:space="8" w:color="EEEEEE"/>
          </w:divBdr>
          <w:divsChild>
            <w:div w:id="1326742392">
              <w:marLeft w:val="0"/>
              <w:marRight w:val="0"/>
              <w:marTop w:val="0"/>
              <w:marBottom w:val="0"/>
              <w:divBdr>
                <w:top w:val="none" w:sz="0" w:space="0" w:color="auto"/>
                <w:left w:val="none" w:sz="0" w:space="0" w:color="auto"/>
                <w:bottom w:val="none" w:sz="0" w:space="0" w:color="auto"/>
                <w:right w:val="none" w:sz="0" w:space="0" w:color="auto"/>
              </w:divBdr>
              <w:divsChild>
                <w:div w:id="1752774045">
                  <w:marLeft w:val="0"/>
                  <w:marRight w:val="0"/>
                  <w:marTop w:val="0"/>
                  <w:marBottom w:val="0"/>
                  <w:divBdr>
                    <w:top w:val="single" w:sz="6" w:space="11" w:color="EEEEEE"/>
                    <w:left w:val="none" w:sz="0" w:space="0" w:color="auto"/>
                    <w:bottom w:val="none" w:sz="0" w:space="11" w:color="auto"/>
                    <w:right w:val="none" w:sz="0" w:space="0" w:color="auto"/>
                  </w:divBdr>
                  <w:divsChild>
                    <w:div w:id="2066250139">
                      <w:marLeft w:val="0"/>
                      <w:marRight w:val="0"/>
                      <w:marTop w:val="0"/>
                      <w:marBottom w:val="0"/>
                      <w:divBdr>
                        <w:top w:val="none" w:sz="0" w:space="0" w:color="auto"/>
                        <w:left w:val="none" w:sz="0" w:space="0" w:color="auto"/>
                        <w:bottom w:val="none" w:sz="0" w:space="0" w:color="auto"/>
                        <w:right w:val="none" w:sz="0" w:space="0" w:color="auto"/>
                      </w:divBdr>
                      <w:divsChild>
                        <w:div w:id="999573983">
                          <w:marLeft w:val="0"/>
                          <w:marRight w:val="0"/>
                          <w:marTop w:val="0"/>
                          <w:marBottom w:val="0"/>
                          <w:divBdr>
                            <w:top w:val="none" w:sz="0" w:space="0" w:color="auto"/>
                            <w:left w:val="none" w:sz="0" w:space="0" w:color="auto"/>
                            <w:bottom w:val="none" w:sz="0" w:space="0" w:color="auto"/>
                            <w:right w:val="none" w:sz="0" w:space="0" w:color="auto"/>
                          </w:divBdr>
                          <w:divsChild>
                            <w:div w:id="1352300944">
                              <w:marLeft w:val="0"/>
                              <w:marRight w:val="0"/>
                              <w:marTop w:val="240"/>
                              <w:marBottom w:val="60"/>
                              <w:divBdr>
                                <w:top w:val="none" w:sz="0" w:space="0" w:color="auto"/>
                                <w:left w:val="none" w:sz="0" w:space="0" w:color="auto"/>
                                <w:bottom w:val="none" w:sz="0" w:space="0" w:color="auto"/>
                                <w:right w:val="none" w:sz="0" w:space="0" w:color="auto"/>
                              </w:divBdr>
                              <w:divsChild>
                                <w:div w:id="247273426">
                                  <w:marLeft w:val="240"/>
                                  <w:marRight w:val="0"/>
                                  <w:marTop w:val="60"/>
                                  <w:marBottom w:val="60"/>
                                  <w:divBdr>
                                    <w:top w:val="none" w:sz="0" w:space="0" w:color="auto"/>
                                    <w:left w:val="none" w:sz="0" w:space="0" w:color="auto"/>
                                    <w:bottom w:val="none" w:sz="0" w:space="0" w:color="auto"/>
                                    <w:right w:val="none" w:sz="0" w:space="0" w:color="auto"/>
                                  </w:divBdr>
                                  <w:divsChild>
                                    <w:div w:id="1551259479">
                                      <w:marLeft w:val="240"/>
                                      <w:marRight w:val="0"/>
                                      <w:marTop w:val="60"/>
                                      <w:marBottom w:val="60"/>
                                      <w:divBdr>
                                        <w:top w:val="none" w:sz="0" w:space="0" w:color="auto"/>
                                        <w:left w:val="none" w:sz="0" w:space="0" w:color="auto"/>
                                        <w:bottom w:val="none" w:sz="0" w:space="0" w:color="auto"/>
                                        <w:right w:val="none" w:sz="0" w:space="0" w:color="auto"/>
                                      </w:divBdr>
                                      <w:divsChild>
                                        <w:div w:id="479342854">
                                          <w:marLeft w:val="0"/>
                                          <w:marRight w:val="0"/>
                                          <w:marTop w:val="0"/>
                                          <w:marBottom w:val="0"/>
                                          <w:divBdr>
                                            <w:top w:val="none" w:sz="0" w:space="0" w:color="auto"/>
                                            <w:left w:val="none" w:sz="0" w:space="0" w:color="auto"/>
                                            <w:bottom w:val="none" w:sz="0" w:space="0" w:color="auto"/>
                                            <w:right w:val="none" w:sz="0" w:space="0" w:color="auto"/>
                                          </w:divBdr>
                                        </w:div>
                                      </w:divsChild>
                                    </w:div>
                                    <w:div w:id="1503427196">
                                      <w:marLeft w:val="240"/>
                                      <w:marRight w:val="0"/>
                                      <w:marTop w:val="60"/>
                                      <w:marBottom w:val="60"/>
                                      <w:divBdr>
                                        <w:top w:val="none" w:sz="0" w:space="0" w:color="auto"/>
                                        <w:left w:val="none" w:sz="0" w:space="0" w:color="auto"/>
                                        <w:bottom w:val="none" w:sz="0" w:space="0" w:color="auto"/>
                                        <w:right w:val="none" w:sz="0" w:space="0" w:color="auto"/>
                                      </w:divBdr>
                                      <w:divsChild>
                                        <w:div w:id="1185897661">
                                          <w:marLeft w:val="0"/>
                                          <w:marRight w:val="0"/>
                                          <w:marTop w:val="0"/>
                                          <w:marBottom w:val="0"/>
                                          <w:divBdr>
                                            <w:top w:val="none" w:sz="0" w:space="0" w:color="auto"/>
                                            <w:left w:val="none" w:sz="0" w:space="0" w:color="auto"/>
                                            <w:bottom w:val="none" w:sz="0" w:space="0" w:color="auto"/>
                                            <w:right w:val="none" w:sz="0" w:space="0" w:color="auto"/>
                                          </w:divBdr>
                                        </w:div>
                                      </w:divsChild>
                                    </w:div>
                                    <w:div w:id="1374576382">
                                      <w:marLeft w:val="240"/>
                                      <w:marRight w:val="0"/>
                                      <w:marTop w:val="60"/>
                                      <w:marBottom w:val="60"/>
                                      <w:divBdr>
                                        <w:top w:val="none" w:sz="0" w:space="0" w:color="auto"/>
                                        <w:left w:val="none" w:sz="0" w:space="0" w:color="auto"/>
                                        <w:bottom w:val="none" w:sz="0" w:space="0" w:color="auto"/>
                                        <w:right w:val="none" w:sz="0" w:space="0" w:color="auto"/>
                                      </w:divBdr>
                                      <w:divsChild>
                                        <w:div w:id="25449490">
                                          <w:marLeft w:val="0"/>
                                          <w:marRight w:val="0"/>
                                          <w:marTop w:val="0"/>
                                          <w:marBottom w:val="0"/>
                                          <w:divBdr>
                                            <w:top w:val="none" w:sz="0" w:space="0" w:color="auto"/>
                                            <w:left w:val="none" w:sz="0" w:space="0" w:color="auto"/>
                                            <w:bottom w:val="none" w:sz="0" w:space="0" w:color="auto"/>
                                            <w:right w:val="none" w:sz="0" w:space="0" w:color="auto"/>
                                          </w:divBdr>
                                        </w:div>
                                      </w:divsChild>
                                    </w:div>
                                    <w:div w:id="1218971280">
                                      <w:marLeft w:val="240"/>
                                      <w:marRight w:val="0"/>
                                      <w:marTop w:val="60"/>
                                      <w:marBottom w:val="60"/>
                                      <w:divBdr>
                                        <w:top w:val="none" w:sz="0" w:space="0" w:color="auto"/>
                                        <w:left w:val="none" w:sz="0" w:space="0" w:color="auto"/>
                                        <w:bottom w:val="none" w:sz="0" w:space="0" w:color="auto"/>
                                        <w:right w:val="none" w:sz="0" w:space="0" w:color="auto"/>
                                      </w:divBdr>
                                      <w:divsChild>
                                        <w:div w:id="578907608">
                                          <w:marLeft w:val="240"/>
                                          <w:marRight w:val="0"/>
                                          <w:marTop w:val="60"/>
                                          <w:marBottom w:val="60"/>
                                          <w:divBdr>
                                            <w:top w:val="none" w:sz="0" w:space="0" w:color="auto"/>
                                            <w:left w:val="none" w:sz="0" w:space="0" w:color="auto"/>
                                            <w:bottom w:val="none" w:sz="0" w:space="0" w:color="auto"/>
                                            <w:right w:val="none" w:sz="0" w:space="0" w:color="auto"/>
                                          </w:divBdr>
                                          <w:divsChild>
                                            <w:div w:id="1441488506">
                                              <w:marLeft w:val="0"/>
                                              <w:marRight w:val="0"/>
                                              <w:marTop w:val="0"/>
                                              <w:marBottom w:val="0"/>
                                              <w:divBdr>
                                                <w:top w:val="none" w:sz="0" w:space="0" w:color="auto"/>
                                                <w:left w:val="none" w:sz="0" w:space="0" w:color="auto"/>
                                                <w:bottom w:val="none" w:sz="0" w:space="0" w:color="auto"/>
                                                <w:right w:val="none" w:sz="0" w:space="0" w:color="auto"/>
                                              </w:divBdr>
                                            </w:div>
                                          </w:divsChild>
                                        </w:div>
                                        <w:div w:id="496775814">
                                          <w:marLeft w:val="240"/>
                                          <w:marRight w:val="0"/>
                                          <w:marTop w:val="60"/>
                                          <w:marBottom w:val="60"/>
                                          <w:divBdr>
                                            <w:top w:val="none" w:sz="0" w:space="0" w:color="auto"/>
                                            <w:left w:val="none" w:sz="0" w:space="0" w:color="auto"/>
                                            <w:bottom w:val="none" w:sz="0" w:space="0" w:color="auto"/>
                                            <w:right w:val="none" w:sz="0" w:space="0" w:color="auto"/>
                                          </w:divBdr>
                                          <w:divsChild>
                                            <w:div w:id="5954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6312">
                                      <w:marLeft w:val="240"/>
                                      <w:marRight w:val="0"/>
                                      <w:marTop w:val="60"/>
                                      <w:marBottom w:val="60"/>
                                      <w:divBdr>
                                        <w:top w:val="none" w:sz="0" w:space="0" w:color="auto"/>
                                        <w:left w:val="none" w:sz="0" w:space="0" w:color="auto"/>
                                        <w:bottom w:val="none" w:sz="0" w:space="0" w:color="auto"/>
                                        <w:right w:val="none" w:sz="0" w:space="0" w:color="auto"/>
                                      </w:divBdr>
                                      <w:divsChild>
                                        <w:div w:id="528447886">
                                          <w:marLeft w:val="240"/>
                                          <w:marRight w:val="0"/>
                                          <w:marTop w:val="60"/>
                                          <w:marBottom w:val="60"/>
                                          <w:divBdr>
                                            <w:top w:val="none" w:sz="0" w:space="0" w:color="auto"/>
                                            <w:left w:val="none" w:sz="0" w:space="0" w:color="auto"/>
                                            <w:bottom w:val="none" w:sz="0" w:space="0" w:color="auto"/>
                                            <w:right w:val="none" w:sz="0" w:space="0" w:color="auto"/>
                                          </w:divBdr>
                                          <w:divsChild>
                                            <w:div w:id="956260156">
                                              <w:marLeft w:val="0"/>
                                              <w:marRight w:val="0"/>
                                              <w:marTop w:val="0"/>
                                              <w:marBottom w:val="0"/>
                                              <w:divBdr>
                                                <w:top w:val="none" w:sz="0" w:space="0" w:color="auto"/>
                                                <w:left w:val="none" w:sz="0" w:space="0" w:color="auto"/>
                                                <w:bottom w:val="none" w:sz="0" w:space="0" w:color="auto"/>
                                                <w:right w:val="none" w:sz="0" w:space="0" w:color="auto"/>
                                              </w:divBdr>
                                            </w:div>
                                          </w:divsChild>
                                        </w:div>
                                        <w:div w:id="124811865">
                                          <w:marLeft w:val="240"/>
                                          <w:marRight w:val="0"/>
                                          <w:marTop w:val="60"/>
                                          <w:marBottom w:val="60"/>
                                          <w:divBdr>
                                            <w:top w:val="none" w:sz="0" w:space="0" w:color="auto"/>
                                            <w:left w:val="none" w:sz="0" w:space="0" w:color="auto"/>
                                            <w:bottom w:val="none" w:sz="0" w:space="0" w:color="auto"/>
                                            <w:right w:val="none" w:sz="0" w:space="0" w:color="auto"/>
                                          </w:divBdr>
                                          <w:divsChild>
                                            <w:div w:id="16548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7354">
                                      <w:marLeft w:val="240"/>
                                      <w:marRight w:val="0"/>
                                      <w:marTop w:val="60"/>
                                      <w:marBottom w:val="60"/>
                                      <w:divBdr>
                                        <w:top w:val="none" w:sz="0" w:space="0" w:color="auto"/>
                                        <w:left w:val="none" w:sz="0" w:space="0" w:color="auto"/>
                                        <w:bottom w:val="none" w:sz="0" w:space="0" w:color="auto"/>
                                        <w:right w:val="none" w:sz="0" w:space="0" w:color="auto"/>
                                      </w:divBdr>
                                      <w:divsChild>
                                        <w:div w:id="1231649516">
                                          <w:marLeft w:val="0"/>
                                          <w:marRight w:val="0"/>
                                          <w:marTop w:val="0"/>
                                          <w:marBottom w:val="0"/>
                                          <w:divBdr>
                                            <w:top w:val="none" w:sz="0" w:space="0" w:color="auto"/>
                                            <w:left w:val="none" w:sz="0" w:space="0" w:color="auto"/>
                                            <w:bottom w:val="none" w:sz="0" w:space="0" w:color="auto"/>
                                            <w:right w:val="none" w:sz="0" w:space="0" w:color="auto"/>
                                          </w:divBdr>
                                        </w:div>
                                      </w:divsChild>
                                    </w:div>
                                    <w:div w:id="1053457051">
                                      <w:marLeft w:val="240"/>
                                      <w:marRight w:val="0"/>
                                      <w:marTop w:val="60"/>
                                      <w:marBottom w:val="60"/>
                                      <w:divBdr>
                                        <w:top w:val="none" w:sz="0" w:space="0" w:color="auto"/>
                                        <w:left w:val="none" w:sz="0" w:space="0" w:color="auto"/>
                                        <w:bottom w:val="none" w:sz="0" w:space="0" w:color="auto"/>
                                        <w:right w:val="none" w:sz="0" w:space="0" w:color="auto"/>
                                      </w:divBdr>
                                      <w:divsChild>
                                        <w:div w:id="877282173">
                                          <w:marLeft w:val="0"/>
                                          <w:marRight w:val="0"/>
                                          <w:marTop w:val="0"/>
                                          <w:marBottom w:val="0"/>
                                          <w:divBdr>
                                            <w:top w:val="none" w:sz="0" w:space="0" w:color="auto"/>
                                            <w:left w:val="none" w:sz="0" w:space="0" w:color="auto"/>
                                            <w:bottom w:val="none" w:sz="0" w:space="0" w:color="auto"/>
                                            <w:right w:val="none" w:sz="0" w:space="0" w:color="auto"/>
                                          </w:divBdr>
                                        </w:div>
                                      </w:divsChild>
                                    </w:div>
                                    <w:div w:id="1889493896">
                                      <w:marLeft w:val="240"/>
                                      <w:marRight w:val="0"/>
                                      <w:marTop w:val="60"/>
                                      <w:marBottom w:val="60"/>
                                      <w:divBdr>
                                        <w:top w:val="none" w:sz="0" w:space="0" w:color="auto"/>
                                        <w:left w:val="none" w:sz="0" w:space="0" w:color="auto"/>
                                        <w:bottom w:val="none" w:sz="0" w:space="0" w:color="auto"/>
                                        <w:right w:val="none" w:sz="0" w:space="0" w:color="auto"/>
                                      </w:divBdr>
                                      <w:divsChild>
                                        <w:div w:id="702243656">
                                          <w:marLeft w:val="0"/>
                                          <w:marRight w:val="0"/>
                                          <w:marTop w:val="0"/>
                                          <w:marBottom w:val="0"/>
                                          <w:divBdr>
                                            <w:top w:val="none" w:sz="0" w:space="0" w:color="auto"/>
                                            <w:left w:val="none" w:sz="0" w:space="0" w:color="auto"/>
                                            <w:bottom w:val="none" w:sz="0" w:space="0" w:color="auto"/>
                                            <w:right w:val="none" w:sz="0" w:space="0" w:color="auto"/>
                                          </w:divBdr>
                                        </w:div>
                                      </w:divsChild>
                                    </w:div>
                                    <w:div w:id="449473575">
                                      <w:marLeft w:val="240"/>
                                      <w:marRight w:val="0"/>
                                      <w:marTop w:val="60"/>
                                      <w:marBottom w:val="60"/>
                                      <w:divBdr>
                                        <w:top w:val="none" w:sz="0" w:space="0" w:color="auto"/>
                                        <w:left w:val="none" w:sz="0" w:space="0" w:color="auto"/>
                                        <w:bottom w:val="none" w:sz="0" w:space="0" w:color="auto"/>
                                        <w:right w:val="none" w:sz="0" w:space="0" w:color="auto"/>
                                      </w:divBdr>
                                      <w:divsChild>
                                        <w:div w:id="172257956">
                                          <w:marLeft w:val="0"/>
                                          <w:marRight w:val="0"/>
                                          <w:marTop w:val="0"/>
                                          <w:marBottom w:val="0"/>
                                          <w:divBdr>
                                            <w:top w:val="none" w:sz="0" w:space="0" w:color="auto"/>
                                            <w:left w:val="none" w:sz="0" w:space="0" w:color="auto"/>
                                            <w:bottom w:val="none" w:sz="0" w:space="0" w:color="auto"/>
                                            <w:right w:val="none" w:sz="0" w:space="0" w:color="auto"/>
                                          </w:divBdr>
                                        </w:div>
                                      </w:divsChild>
                                    </w:div>
                                    <w:div w:id="464812998">
                                      <w:marLeft w:val="240"/>
                                      <w:marRight w:val="0"/>
                                      <w:marTop w:val="60"/>
                                      <w:marBottom w:val="60"/>
                                      <w:divBdr>
                                        <w:top w:val="none" w:sz="0" w:space="0" w:color="auto"/>
                                        <w:left w:val="none" w:sz="0" w:space="0" w:color="auto"/>
                                        <w:bottom w:val="none" w:sz="0" w:space="0" w:color="auto"/>
                                        <w:right w:val="none" w:sz="0" w:space="0" w:color="auto"/>
                                      </w:divBdr>
                                      <w:divsChild>
                                        <w:div w:id="11014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18-USC-1582046849-1388884878&amp;term_occur=999&amp;term_src=title:18:part:I:chapter:2:section:31" TargetMode="External"/><Relationship Id="rId3" Type="http://schemas.openxmlformats.org/officeDocument/2006/relationships/settings" Target="settings.xml"/><Relationship Id="rId7" Type="http://schemas.openxmlformats.org/officeDocument/2006/relationships/hyperlink" Target="https://www.law.cornell.edu/uscode/text/18/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18/31" TargetMode="External"/><Relationship Id="rId11" Type="http://schemas.openxmlformats.org/officeDocument/2006/relationships/fontTable" Target="fontTable.xml"/><Relationship Id="rId5" Type="http://schemas.openxmlformats.org/officeDocument/2006/relationships/hyperlink" Target="https://www.law.cornell.edu/uscode/text/18/31" TargetMode="External"/><Relationship Id="rId10" Type="http://schemas.openxmlformats.org/officeDocument/2006/relationships/hyperlink" Target="https://www.law.cornell.edu/definitions/uscode.php?width=840&amp;height=800&amp;iframe=true&amp;def_id=18-USC-538810865-105758365&amp;term_occur=999&amp;term_src="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18-USC-538810865-105758365&amp;term_occur=999&amp;term_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karen</dc:creator>
  <cp:keywords/>
  <dc:description/>
  <cp:lastModifiedBy>sandra karen</cp:lastModifiedBy>
  <cp:revision>1</cp:revision>
  <dcterms:created xsi:type="dcterms:W3CDTF">2021-08-17T15:21:00Z</dcterms:created>
  <dcterms:modified xsi:type="dcterms:W3CDTF">2021-08-17T15:24:00Z</dcterms:modified>
</cp:coreProperties>
</file>