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F2FA9" w14:textId="7D0C3AAD" w:rsidR="00DE0175" w:rsidRPr="00853487" w:rsidRDefault="00DE0175" w:rsidP="00DE0175">
      <w:pPr>
        <w:spacing w:after="0" w:line="240" w:lineRule="auto"/>
        <w:rPr>
          <w:rFonts w:cstheme="minorHAnsi"/>
          <w:sz w:val="20"/>
          <w:szCs w:val="20"/>
        </w:rPr>
      </w:pPr>
      <w:r>
        <w:rPr>
          <w:rFonts w:cstheme="minorHAnsi"/>
          <w:sz w:val="20"/>
          <w:szCs w:val="20"/>
        </w:rPr>
        <w:t>6/25/2025</w:t>
      </w:r>
      <w:r w:rsidRPr="00853487">
        <w:rPr>
          <w:rFonts w:cstheme="minorHAnsi"/>
          <w:sz w:val="20"/>
          <w:szCs w:val="20"/>
        </w:rPr>
        <w:t xml:space="preserve"> </w:t>
      </w:r>
    </w:p>
    <w:p w14:paraId="1B6422F0" w14:textId="77777777" w:rsidR="00DE0175" w:rsidRPr="00853487" w:rsidRDefault="00DE0175" w:rsidP="00DE0175">
      <w:pPr>
        <w:spacing w:after="0" w:line="240" w:lineRule="auto"/>
        <w:rPr>
          <w:rFonts w:cstheme="minorHAnsi"/>
          <w:sz w:val="20"/>
          <w:szCs w:val="20"/>
        </w:rPr>
      </w:pPr>
    </w:p>
    <w:p w14:paraId="6B9D2208" w14:textId="435C97BE" w:rsidR="00DE0175" w:rsidRPr="00853487" w:rsidRDefault="00DE0175" w:rsidP="00DE0175">
      <w:pPr>
        <w:spacing w:after="0" w:line="240" w:lineRule="auto"/>
        <w:jc w:val="center"/>
        <w:rPr>
          <w:rFonts w:cstheme="minorHAnsi"/>
          <w:b/>
          <w:sz w:val="20"/>
          <w:szCs w:val="20"/>
        </w:rPr>
      </w:pPr>
      <w:r>
        <w:rPr>
          <w:rFonts w:cstheme="minorHAnsi"/>
          <w:b/>
          <w:sz w:val="20"/>
          <w:szCs w:val="20"/>
        </w:rPr>
        <w:t>Bayview Condominium Association, Inc.</w:t>
      </w:r>
      <w:r w:rsidRPr="00853487">
        <w:rPr>
          <w:rFonts w:cstheme="minorHAnsi"/>
          <w:b/>
          <w:sz w:val="20"/>
          <w:szCs w:val="20"/>
        </w:rPr>
        <w:t xml:space="preserve"> </w:t>
      </w:r>
    </w:p>
    <w:p w14:paraId="062F8CBD" w14:textId="77777777" w:rsidR="00DE0175" w:rsidRPr="00853487" w:rsidRDefault="00DE0175" w:rsidP="00DE0175">
      <w:pPr>
        <w:spacing w:after="0" w:line="240" w:lineRule="auto"/>
        <w:jc w:val="center"/>
        <w:rPr>
          <w:rFonts w:cstheme="minorHAnsi"/>
          <w:sz w:val="20"/>
          <w:szCs w:val="20"/>
        </w:rPr>
      </w:pPr>
      <w:r w:rsidRPr="00853487">
        <w:rPr>
          <w:rFonts w:cstheme="minorHAnsi"/>
          <w:sz w:val="20"/>
          <w:szCs w:val="20"/>
        </w:rPr>
        <w:t>Civil Code 5300(b)(9) Disclosure Summary Form</w:t>
      </w:r>
    </w:p>
    <w:p w14:paraId="6936DDA3" w14:textId="77777777" w:rsidR="00DE0175" w:rsidRPr="00853487" w:rsidRDefault="00DE0175" w:rsidP="00DE0175">
      <w:pPr>
        <w:spacing w:after="0" w:line="240" w:lineRule="auto"/>
        <w:rPr>
          <w:rFonts w:cstheme="minorHAnsi"/>
          <w:sz w:val="20"/>
          <w:szCs w:val="20"/>
        </w:rPr>
      </w:pPr>
    </w:p>
    <w:p w14:paraId="76467E24" w14:textId="48D5E699" w:rsidR="005F67DA" w:rsidRPr="005F67DA" w:rsidRDefault="00DE0175" w:rsidP="00DE0175">
      <w:pPr>
        <w:spacing w:after="0" w:line="240" w:lineRule="auto"/>
        <w:rPr>
          <w:rFonts w:cstheme="minorHAnsi"/>
          <w:noProof/>
          <w:sz w:val="20"/>
          <w:szCs w:val="20"/>
          <w:u w:val="single"/>
        </w:rPr>
      </w:pPr>
      <w:r w:rsidRPr="005F67DA">
        <w:rPr>
          <w:rFonts w:cstheme="minorHAnsi"/>
          <w:sz w:val="20"/>
          <w:szCs w:val="20"/>
          <w:u w:val="single"/>
        </w:rPr>
        <w:t>Property:</w:t>
      </w:r>
      <w:r w:rsidR="00EC0344" w:rsidRPr="005F67DA">
        <w:rPr>
          <w:rFonts w:cstheme="minorHAnsi"/>
          <w:sz w:val="20"/>
          <w:szCs w:val="20"/>
          <w:u w:val="single"/>
        </w:rPr>
        <w:t xml:space="preserve"> </w:t>
      </w:r>
      <w:r w:rsidR="005F67DA" w:rsidRPr="005F67DA">
        <w:rPr>
          <w:rFonts w:cstheme="minorHAnsi"/>
          <w:noProof/>
          <w:sz w:val="20"/>
          <w:szCs w:val="20"/>
          <w:u w:val="single"/>
        </w:rPr>
        <w:t xml:space="preserve">Sierra Specialty Insurance Company: 7/1/2025 - 7/1/2026 </w:t>
      </w:r>
    </w:p>
    <w:p w14:paraId="096232DA" w14:textId="448809CA" w:rsidR="005F67DA" w:rsidRPr="00853487" w:rsidRDefault="005F67DA" w:rsidP="00DE0175">
      <w:pPr>
        <w:spacing w:after="0" w:line="240" w:lineRule="auto"/>
        <w:rPr>
          <w:rFonts w:cstheme="minorHAnsi"/>
          <w:noProof/>
          <w:sz w:val="20"/>
          <w:szCs w:val="20"/>
        </w:rPr>
      </w:pPr>
      <w:r>
        <w:rPr>
          <w:rFonts w:cstheme="minorHAnsi"/>
          <w:noProof/>
          <w:sz w:val="20"/>
          <w:szCs w:val="20"/>
        </w:rPr>
        <w:t>$28,943,000</w:t>
      </w:r>
      <w:r w:rsidRPr="00853487">
        <w:rPr>
          <w:rFonts w:cstheme="minorHAnsi"/>
          <w:noProof/>
          <w:sz w:val="20"/>
          <w:szCs w:val="20"/>
        </w:rPr>
        <w:t xml:space="preserve"> Special </w:t>
      </w:r>
      <w:r w:rsidRPr="005F67DA">
        <w:rPr>
          <w:rFonts w:cstheme="minorHAnsi"/>
          <w:noProof/>
          <w:sz w:val="20"/>
          <w:szCs w:val="20"/>
        </w:rPr>
        <w:t>Form (wind included), 100% Replacement Cost with no co-insurance and a $25,000 per unit Deductible per Occurrence. Equipment breakdown coverage</w:t>
      </w:r>
      <w:r>
        <w:rPr>
          <w:rFonts w:cstheme="minorHAnsi"/>
          <w:noProof/>
          <w:sz w:val="20"/>
          <w:szCs w:val="20"/>
        </w:rPr>
        <w:t xml:space="preserve"> included. </w:t>
      </w:r>
    </w:p>
    <w:p w14:paraId="15F525A6" w14:textId="42E791EC" w:rsidR="00EC0344" w:rsidRPr="00853487" w:rsidRDefault="00EC0344" w:rsidP="00DE0175">
      <w:pPr>
        <w:spacing w:after="0" w:line="240" w:lineRule="auto"/>
        <w:rPr>
          <w:rFonts w:cstheme="minorHAnsi"/>
          <w:sz w:val="20"/>
          <w:szCs w:val="20"/>
        </w:rPr>
      </w:pPr>
    </w:p>
    <w:p w14:paraId="61D921FA" w14:textId="30F27384" w:rsidR="005F67DA" w:rsidRPr="005F67DA" w:rsidRDefault="00DE0175" w:rsidP="00DE0175">
      <w:pPr>
        <w:spacing w:after="0" w:line="240" w:lineRule="auto"/>
        <w:rPr>
          <w:rFonts w:cstheme="minorHAnsi"/>
          <w:noProof/>
          <w:sz w:val="20"/>
          <w:szCs w:val="20"/>
          <w:u w:val="single"/>
        </w:rPr>
      </w:pPr>
      <w:r w:rsidRPr="005F67DA">
        <w:rPr>
          <w:rFonts w:cstheme="minorHAnsi"/>
          <w:sz w:val="20"/>
          <w:szCs w:val="20"/>
          <w:u w:val="single"/>
        </w:rPr>
        <w:t>General Liability:</w:t>
      </w:r>
      <w:r w:rsidR="00253F07" w:rsidRPr="005F67DA">
        <w:rPr>
          <w:rFonts w:cstheme="minorHAnsi"/>
          <w:sz w:val="20"/>
          <w:szCs w:val="20"/>
          <w:u w:val="single"/>
        </w:rPr>
        <w:t xml:space="preserve"> </w:t>
      </w:r>
      <w:r w:rsidR="005F67DA" w:rsidRPr="005F67DA">
        <w:rPr>
          <w:rFonts w:cstheme="minorHAnsi"/>
          <w:noProof/>
          <w:sz w:val="20"/>
          <w:szCs w:val="20"/>
          <w:u w:val="single"/>
        </w:rPr>
        <w:t xml:space="preserve">Sierra Specialty Insurance Company: 7/1/2025 - 7/1/2026 </w:t>
      </w:r>
    </w:p>
    <w:p w14:paraId="55A546AE" w14:textId="77777777" w:rsidR="005F67DA" w:rsidRDefault="005F67DA" w:rsidP="00DE0175">
      <w:pPr>
        <w:spacing w:after="0" w:line="240" w:lineRule="auto"/>
        <w:rPr>
          <w:rFonts w:cstheme="minorHAnsi"/>
          <w:noProof/>
          <w:sz w:val="20"/>
          <w:szCs w:val="20"/>
        </w:rPr>
      </w:pPr>
      <w:r>
        <w:rPr>
          <w:rFonts w:cstheme="minorHAnsi"/>
          <w:noProof/>
          <w:sz w:val="20"/>
          <w:szCs w:val="20"/>
        </w:rPr>
        <w:t>$1,000,000/$2,000,000</w:t>
      </w:r>
      <w:r w:rsidRPr="00853487">
        <w:rPr>
          <w:rFonts w:cstheme="minorHAnsi"/>
          <w:noProof/>
          <w:sz w:val="20"/>
          <w:szCs w:val="20"/>
        </w:rPr>
        <w:t xml:space="preserve"> per Occurrence/General Aggregate with a </w:t>
      </w:r>
      <w:r>
        <w:rPr>
          <w:rFonts w:cstheme="minorHAnsi"/>
          <w:noProof/>
          <w:sz w:val="20"/>
          <w:szCs w:val="20"/>
        </w:rPr>
        <w:t>$5,000</w:t>
      </w:r>
      <w:r w:rsidRPr="00853487">
        <w:rPr>
          <w:rFonts w:cstheme="minorHAnsi"/>
          <w:noProof/>
          <w:sz w:val="20"/>
          <w:szCs w:val="20"/>
        </w:rPr>
        <w:t xml:space="preserve"> Deductible. </w:t>
      </w:r>
    </w:p>
    <w:p w14:paraId="2B4F6801" w14:textId="31EC69D8" w:rsidR="00DE0175" w:rsidRPr="00853487" w:rsidRDefault="005F67DA" w:rsidP="00DE0175">
      <w:pPr>
        <w:spacing w:after="0" w:line="240" w:lineRule="auto"/>
        <w:rPr>
          <w:rFonts w:cstheme="minorHAnsi"/>
          <w:sz w:val="20"/>
          <w:szCs w:val="20"/>
          <w:u w:val="single"/>
        </w:rPr>
      </w:pPr>
      <w:r>
        <w:rPr>
          <w:rFonts w:cstheme="minorHAnsi"/>
          <w:noProof/>
          <w:sz w:val="20"/>
          <w:szCs w:val="20"/>
        </w:rPr>
        <w:t>$1,000,000</w:t>
      </w:r>
      <w:r w:rsidRPr="00853487">
        <w:rPr>
          <w:rFonts w:cstheme="minorHAnsi"/>
          <w:noProof/>
          <w:sz w:val="20"/>
          <w:szCs w:val="20"/>
        </w:rPr>
        <w:t xml:space="preserve"> Non-Owned and Hired Automobile Liability is included in this policy.</w:t>
      </w:r>
    </w:p>
    <w:p w14:paraId="06ADD743" w14:textId="77777777" w:rsidR="00DE0175" w:rsidRPr="00853487" w:rsidRDefault="00DE0175" w:rsidP="00DE0175">
      <w:pPr>
        <w:spacing w:after="0" w:line="240" w:lineRule="auto"/>
        <w:rPr>
          <w:rFonts w:cstheme="minorHAnsi"/>
          <w:sz w:val="20"/>
          <w:szCs w:val="20"/>
        </w:rPr>
      </w:pPr>
    </w:p>
    <w:p w14:paraId="117C601C" w14:textId="7D23D1B9" w:rsidR="005F67DA" w:rsidRPr="005F67DA" w:rsidRDefault="00DE0175" w:rsidP="00007589">
      <w:pPr>
        <w:spacing w:after="0" w:line="240" w:lineRule="auto"/>
        <w:rPr>
          <w:rFonts w:cstheme="minorHAnsi"/>
          <w:noProof/>
          <w:sz w:val="20"/>
          <w:szCs w:val="20"/>
          <w:u w:val="single"/>
        </w:rPr>
      </w:pPr>
      <w:r w:rsidRPr="005F67DA">
        <w:rPr>
          <w:rFonts w:cstheme="minorHAnsi"/>
          <w:sz w:val="20"/>
          <w:szCs w:val="20"/>
          <w:u w:val="single"/>
        </w:rPr>
        <w:t>Umbrella Liability:</w:t>
      </w:r>
      <w:r w:rsidR="00007589" w:rsidRPr="005F67DA">
        <w:rPr>
          <w:rFonts w:cstheme="minorHAnsi"/>
          <w:sz w:val="20"/>
          <w:szCs w:val="20"/>
          <w:u w:val="single"/>
        </w:rPr>
        <w:t xml:space="preserve"> </w:t>
      </w:r>
      <w:r w:rsidR="005F67DA" w:rsidRPr="005F67DA">
        <w:rPr>
          <w:rFonts w:cstheme="minorHAnsi"/>
          <w:noProof/>
          <w:sz w:val="20"/>
          <w:szCs w:val="20"/>
          <w:u w:val="single"/>
        </w:rPr>
        <w:t xml:space="preserve">Federal Insurance Company: 7/1/2025 - 7/1/2026 </w:t>
      </w:r>
    </w:p>
    <w:p w14:paraId="583F950B" w14:textId="545933C4" w:rsidR="00007589" w:rsidRPr="00853487" w:rsidRDefault="005F67DA" w:rsidP="00007589">
      <w:pPr>
        <w:spacing w:after="0" w:line="240" w:lineRule="auto"/>
        <w:rPr>
          <w:rFonts w:cstheme="minorHAnsi"/>
          <w:sz w:val="20"/>
          <w:szCs w:val="20"/>
        </w:rPr>
      </w:pPr>
      <w:r>
        <w:rPr>
          <w:rFonts w:cstheme="minorHAnsi"/>
          <w:noProof/>
          <w:sz w:val="20"/>
          <w:szCs w:val="20"/>
        </w:rPr>
        <w:t>$15,000,000</w:t>
      </w:r>
      <w:r w:rsidRPr="00853487">
        <w:rPr>
          <w:rFonts w:cstheme="minorHAnsi"/>
          <w:noProof/>
          <w:sz w:val="20"/>
          <w:szCs w:val="20"/>
        </w:rPr>
        <w:t xml:space="preserve"> Each Occurrence/General Aggregate with a </w:t>
      </w:r>
      <w:r>
        <w:rPr>
          <w:rFonts w:cstheme="minorHAnsi"/>
          <w:noProof/>
          <w:sz w:val="20"/>
          <w:szCs w:val="20"/>
        </w:rPr>
        <w:t>$0</w:t>
      </w:r>
      <w:r w:rsidRPr="00853487">
        <w:rPr>
          <w:rFonts w:cstheme="minorHAnsi"/>
          <w:noProof/>
          <w:sz w:val="20"/>
          <w:szCs w:val="20"/>
        </w:rPr>
        <w:t xml:space="preserve"> self insured retention each occurrence.</w:t>
      </w:r>
    </w:p>
    <w:p w14:paraId="019C14C0" w14:textId="77777777" w:rsidR="00DE0175" w:rsidRPr="00853487" w:rsidRDefault="00DE0175" w:rsidP="00DE0175">
      <w:pPr>
        <w:spacing w:after="0" w:line="240" w:lineRule="auto"/>
        <w:rPr>
          <w:rFonts w:cstheme="minorHAnsi"/>
          <w:sz w:val="20"/>
          <w:szCs w:val="20"/>
          <w:u w:val="single"/>
        </w:rPr>
      </w:pPr>
    </w:p>
    <w:p w14:paraId="1A83CF0F" w14:textId="0FD52184" w:rsidR="005F67DA" w:rsidRPr="00853487" w:rsidRDefault="00DE0175" w:rsidP="00DE0175">
      <w:pPr>
        <w:spacing w:after="0" w:line="240" w:lineRule="auto"/>
        <w:rPr>
          <w:rFonts w:cstheme="minorHAnsi"/>
          <w:noProof/>
          <w:sz w:val="20"/>
          <w:szCs w:val="20"/>
        </w:rPr>
      </w:pPr>
      <w:r w:rsidRPr="00853487">
        <w:rPr>
          <w:rFonts w:cstheme="minorHAnsi"/>
          <w:sz w:val="20"/>
          <w:szCs w:val="20"/>
          <w:u w:val="single"/>
        </w:rPr>
        <w:t xml:space="preserve">Directors’ and </w:t>
      </w:r>
      <w:r w:rsidRPr="005F67DA">
        <w:rPr>
          <w:rFonts w:cstheme="minorHAnsi"/>
          <w:sz w:val="20"/>
          <w:szCs w:val="20"/>
          <w:u w:val="single"/>
        </w:rPr>
        <w:t>Officers</w:t>
      </w:r>
      <w:r w:rsidR="0047529C" w:rsidRPr="005F67DA">
        <w:rPr>
          <w:rFonts w:cstheme="minorHAnsi"/>
          <w:sz w:val="20"/>
          <w:szCs w:val="20"/>
          <w:u w:val="single"/>
        </w:rPr>
        <w:t>’</w:t>
      </w:r>
      <w:r w:rsidRPr="005F67DA">
        <w:rPr>
          <w:rFonts w:cstheme="minorHAnsi"/>
          <w:sz w:val="20"/>
          <w:szCs w:val="20"/>
          <w:u w:val="single"/>
        </w:rPr>
        <w:t xml:space="preserve"> Liability:</w:t>
      </w:r>
      <w:r w:rsidR="003D424D" w:rsidRPr="005F67DA">
        <w:rPr>
          <w:rFonts w:cstheme="minorHAnsi"/>
          <w:sz w:val="20"/>
          <w:szCs w:val="20"/>
          <w:u w:val="single"/>
        </w:rPr>
        <w:t xml:space="preserve"> </w:t>
      </w:r>
      <w:r w:rsidR="005F67DA" w:rsidRPr="005F67DA">
        <w:rPr>
          <w:rFonts w:cstheme="minorHAnsi"/>
          <w:noProof/>
          <w:sz w:val="20"/>
          <w:szCs w:val="20"/>
          <w:u w:val="single"/>
        </w:rPr>
        <w:t>Continental Casualty Company: 7/1/2025 - 7/1/2026</w:t>
      </w:r>
      <w:r w:rsidR="005F67DA" w:rsidRPr="00853487">
        <w:rPr>
          <w:rFonts w:cstheme="minorHAnsi"/>
          <w:noProof/>
          <w:sz w:val="20"/>
          <w:szCs w:val="20"/>
        </w:rPr>
        <w:t xml:space="preserve"> </w:t>
      </w:r>
    </w:p>
    <w:p w14:paraId="5D88CB7A" w14:textId="347BE38B" w:rsidR="003D424D" w:rsidRPr="00853487" w:rsidRDefault="005F67DA" w:rsidP="00DE0175">
      <w:pPr>
        <w:spacing w:after="0" w:line="240" w:lineRule="auto"/>
        <w:rPr>
          <w:rFonts w:cstheme="minorHAnsi"/>
          <w:sz w:val="20"/>
          <w:szCs w:val="20"/>
        </w:rPr>
      </w:pPr>
      <w:r>
        <w:rPr>
          <w:rFonts w:cstheme="minorHAnsi"/>
          <w:noProof/>
          <w:sz w:val="20"/>
          <w:szCs w:val="20"/>
        </w:rPr>
        <w:t>$1,000,000</w:t>
      </w:r>
      <w:r w:rsidRPr="00853487">
        <w:rPr>
          <w:rFonts w:cstheme="minorHAnsi"/>
          <w:noProof/>
          <w:sz w:val="20"/>
          <w:szCs w:val="20"/>
        </w:rPr>
        <w:t xml:space="preserve"> per Occurrence/General Aggregate with a </w:t>
      </w:r>
      <w:r>
        <w:rPr>
          <w:rFonts w:cstheme="minorHAnsi"/>
          <w:noProof/>
          <w:sz w:val="20"/>
          <w:szCs w:val="20"/>
        </w:rPr>
        <w:t>$1,000</w:t>
      </w:r>
      <w:r w:rsidRPr="00853487">
        <w:rPr>
          <w:rFonts w:cstheme="minorHAnsi"/>
          <w:noProof/>
          <w:sz w:val="20"/>
          <w:szCs w:val="20"/>
        </w:rPr>
        <w:t xml:space="preserve"> Retention per Occurrence.</w:t>
      </w:r>
    </w:p>
    <w:p w14:paraId="791363C9" w14:textId="77777777" w:rsidR="003D424D" w:rsidRPr="00853487" w:rsidRDefault="003D424D" w:rsidP="00DE0175">
      <w:pPr>
        <w:spacing w:after="0" w:line="240" w:lineRule="auto"/>
        <w:rPr>
          <w:rFonts w:cstheme="minorHAnsi"/>
          <w:sz w:val="20"/>
          <w:szCs w:val="20"/>
        </w:rPr>
      </w:pPr>
    </w:p>
    <w:p w14:paraId="11575B5E" w14:textId="33BC2D2D" w:rsidR="005F67DA" w:rsidRPr="00853487" w:rsidRDefault="00DE0175" w:rsidP="00DE0175">
      <w:pPr>
        <w:spacing w:after="0" w:line="240" w:lineRule="auto"/>
        <w:rPr>
          <w:rFonts w:cstheme="minorHAnsi"/>
          <w:noProof/>
          <w:sz w:val="20"/>
          <w:szCs w:val="20"/>
        </w:rPr>
      </w:pPr>
      <w:r w:rsidRPr="00853487">
        <w:rPr>
          <w:rFonts w:cstheme="minorHAnsi"/>
          <w:sz w:val="20"/>
          <w:szCs w:val="20"/>
          <w:u w:val="single"/>
        </w:rPr>
        <w:t xml:space="preserve">Employee </w:t>
      </w:r>
      <w:r w:rsidRPr="005F67DA">
        <w:rPr>
          <w:rFonts w:cstheme="minorHAnsi"/>
          <w:sz w:val="20"/>
          <w:szCs w:val="20"/>
          <w:u w:val="single"/>
        </w:rPr>
        <w:t>Dishonesty:</w:t>
      </w:r>
      <w:r w:rsidR="0047529C" w:rsidRPr="005F67DA">
        <w:rPr>
          <w:rFonts w:cstheme="minorHAnsi"/>
          <w:sz w:val="20"/>
          <w:szCs w:val="20"/>
          <w:u w:val="single"/>
        </w:rPr>
        <w:t xml:space="preserve"> </w:t>
      </w:r>
      <w:r w:rsidR="005F67DA" w:rsidRPr="005F67DA">
        <w:rPr>
          <w:rFonts w:cstheme="minorHAnsi"/>
          <w:noProof/>
          <w:sz w:val="20"/>
          <w:szCs w:val="20"/>
          <w:u w:val="single"/>
        </w:rPr>
        <w:t>Continental Casualty Company: 7/1/2025 - 7/1/2026</w:t>
      </w:r>
      <w:r w:rsidR="005F67DA" w:rsidRPr="00853487">
        <w:rPr>
          <w:rFonts w:cstheme="minorHAnsi"/>
          <w:noProof/>
          <w:sz w:val="20"/>
          <w:szCs w:val="20"/>
        </w:rPr>
        <w:t xml:space="preserve"> </w:t>
      </w:r>
    </w:p>
    <w:p w14:paraId="6F37630F" w14:textId="63183BD4" w:rsidR="00B43FFD" w:rsidRPr="00853487" w:rsidRDefault="005F67DA" w:rsidP="00DE0175">
      <w:pPr>
        <w:spacing w:after="0" w:line="240" w:lineRule="auto"/>
        <w:rPr>
          <w:rFonts w:cstheme="minorHAnsi"/>
          <w:sz w:val="20"/>
          <w:szCs w:val="20"/>
        </w:rPr>
      </w:pPr>
      <w:r>
        <w:rPr>
          <w:rFonts w:cstheme="minorHAnsi"/>
          <w:noProof/>
          <w:sz w:val="20"/>
          <w:szCs w:val="20"/>
        </w:rPr>
        <w:t>$750,000</w:t>
      </w:r>
      <w:r w:rsidRPr="00853487">
        <w:rPr>
          <w:rFonts w:cstheme="minorHAnsi"/>
          <w:noProof/>
          <w:sz w:val="20"/>
          <w:szCs w:val="20"/>
        </w:rPr>
        <w:t xml:space="preserve"> per Occurrence with a </w:t>
      </w:r>
      <w:r>
        <w:rPr>
          <w:rFonts w:cstheme="minorHAnsi"/>
          <w:noProof/>
          <w:sz w:val="20"/>
          <w:szCs w:val="20"/>
        </w:rPr>
        <w:t>$1,000</w:t>
      </w:r>
      <w:r w:rsidRPr="00853487">
        <w:rPr>
          <w:rFonts w:cstheme="minorHAnsi"/>
          <w:noProof/>
          <w:sz w:val="20"/>
          <w:szCs w:val="20"/>
        </w:rPr>
        <w:t xml:space="preserve"> Deductible.</w:t>
      </w:r>
    </w:p>
    <w:p w14:paraId="2E57E72C" w14:textId="77777777" w:rsidR="00FA2469" w:rsidRPr="00853487" w:rsidRDefault="00FA2469" w:rsidP="00DE0175">
      <w:pPr>
        <w:spacing w:after="0" w:line="240" w:lineRule="auto"/>
        <w:rPr>
          <w:rFonts w:cstheme="minorHAnsi"/>
          <w:sz w:val="20"/>
          <w:szCs w:val="20"/>
          <w:u w:val="single"/>
        </w:rPr>
      </w:pPr>
    </w:p>
    <w:p w14:paraId="407FC6C4" w14:textId="197A9B63" w:rsidR="00FA2469" w:rsidRPr="00853487" w:rsidRDefault="00DE0175" w:rsidP="00DE0175">
      <w:pPr>
        <w:spacing w:after="0" w:line="240" w:lineRule="auto"/>
        <w:rPr>
          <w:rFonts w:cstheme="minorHAnsi"/>
          <w:sz w:val="20"/>
          <w:szCs w:val="20"/>
        </w:rPr>
      </w:pPr>
      <w:r w:rsidRPr="00853487">
        <w:rPr>
          <w:rFonts w:cstheme="minorHAnsi"/>
          <w:sz w:val="20"/>
          <w:szCs w:val="20"/>
          <w:u w:val="single"/>
        </w:rPr>
        <w:t xml:space="preserve">Workers’ </w:t>
      </w:r>
      <w:r w:rsidRPr="005F67DA">
        <w:rPr>
          <w:rFonts w:cstheme="minorHAnsi"/>
          <w:sz w:val="20"/>
          <w:szCs w:val="20"/>
          <w:u w:val="single"/>
        </w:rPr>
        <w:t>Compensation:</w:t>
      </w:r>
      <w:r w:rsidR="00FA2469" w:rsidRPr="005F67DA">
        <w:rPr>
          <w:rFonts w:cstheme="minorHAnsi"/>
          <w:sz w:val="20"/>
          <w:szCs w:val="20"/>
          <w:u w:val="single"/>
        </w:rPr>
        <w:t xml:space="preserve"> </w:t>
      </w:r>
      <w:r w:rsidR="005F67DA" w:rsidRPr="005F67DA">
        <w:rPr>
          <w:rFonts w:cstheme="minorHAnsi"/>
          <w:noProof/>
          <w:sz w:val="20"/>
          <w:szCs w:val="20"/>
          <w:u w:val="single"/>
        </w:rPr>
        <w:t>No Coverage through our Agency.</w:t>
      </w:r>
    </w:p>
    <w:p w14:paraId="5875447C" w14:textId="77777777" w:rsidR="00DE0175" w:rsidRPr="00853487" w:rsidRDefault="00DE0175" w:rsidP="00DE0175">
      <w:pPr>
        <w:pStyle w:val="Header"/>
        <w:tabs>
          <w:tab w:val="left" w:pos="720"/>
        </w:tabs>
        <w:rPr>
          <w:rFonts w:asciiTheme="minorHAnsi" w:hAnsiTheme="minorHAnsi" w:cstheme="minorHAnsi"/>
          <w:sz w:val="20"/>
          <w:szCs w:val="20"/>
        </w:rPr>
      </w:pPr>
    </w:p>
    <w:p w14:paraId="1F5339DF" w14:textId="7962E772" w:rsidR="00FA6AB2" w:rsidRPr="00853487" w:rsidRDefault="00DE0175" w:rsidP="00DE0175">
      <w:pPr>
        <w:pStyle w:val="PlainText"/>
        <w:jc w:val="both"/>
        <w:rPr>
          <w:rFonts w:asciiTheme="minorHAnsi" w:hAnsiTheme="minorHAnsi" w:cstheme="minorHAnsi"/>
          <w:bCs/>
        </w:rPr>
      </w:pPr>
      <w:r w:rsidRPr="00853487">
        <w:rPr>
          <w:rFonts w:asciiTheme="minorHAnsi" w:hAnsiTheme="minorHAnsi" w:cstheme="minorHAnsi"/>
          <w:bCs/>
          <w:u w:val="single"/>
        </w:rPr>
        <w:t xml:space="preserve">Earthquake </w:t>
      </w:r>
      <w:r w:rsidRPr="005F67DA">
        <w:rPr>
          <w:rFonts w:asciiTheme="minorHAnsi" w:hAnsiTheme="minorHAnsi" w:cstheme="minorHAnsi"/>
          <w:bCs/>
          <w:u w:val="single"/>
        </w:rPr>
        <w:t>Insurance:</w:t>
      </w:r>
      <w:r w:rsidR="00FA6AB2" w:rsidRPr="005F67DA">
        <w:rPr>
          <w:rFonts w:asciiTheme="minorHAnsi" w:hAnsiTheme="minorHAnsi" w:cstheme="minorHAnsi"/>
          <w:bCs/>
          <w:u w:val="single"/>
        </w:rPr>
        <w:t xml:space="preserve"> </w:t>
      </w:r>
      <w:r w:rsidR="005F67DA" w:rsidRPr="005F67DA">
        <w:rPr>
          <w:rFonts w:asciiTheme="minorHAnsi" w:hAnsiTheme="minorHAnsi" w:cstheme="minorHAnsi"/>
          <w:bCs/>
          <w:noProof/>
          <w:u w:val="single"/>
        </w:rPr>
        <w:t>No Coverage through our Agency.</w:t>
      </w:r>
    </w:p>
    <w:p w14:paraId="63795750" w14:textId="77777777" w:rsidR="00FA6AB2" w:rsidRPr="00853487" w:rsidRDefault="00FA6AB2" w:rsidP="00DE0175">
      <w:pPr>
        <w:pStyle w:val="PlainText"/>
        <w:jc w:val="both"/>
        <w:rPr>
          <w:rFonts w:asciiTheme="minorHAnsi" w:hAnsiTheme="minorHAnsi" w:cstheme="minorHAnsi"/>
          <w:u w:val="single"/>
        </w:rPr>
      </w:pPr>
    </w:p>
    <w:p w14:paraId="58A7A80B" w14:textId="2D39C7FD" w:rsidR="00007589" w:rsidRPr="005F67DA" w:rsidRDefault="00DE0175" w:rsidP="00DE0175">
      <w:pPr>
        <w:spacing w:after="0" w:line="240" w:lineRule="auto"/>
        <w:rPr>
          <w:rFonts w:cstheme="minorHAnsi"/>
          <w:sz w:val="20"/>
          <w:szCs w:val="20"/>
          <w:u w:val="single"/>
        </w:rPr>
      </w:pPr>
      <w:r w:rsidRPr="00853487">
        <w:rPr>
          <w:rFonts w:cstheme="minorHAnsi"/>
          <w:sz w:val="20"/>
          <w:szCs w:val="20"/>
          <w:u w:val="single"/>
        </w:rPr>
        <w:t>Flood:</w:t>
      </w:r>
      <w:r w:rsidR="005F67DA">
        <w:rPr>
          <w:rFonts w:cstheme="minorHAnsi"/>
          <w:sz w:val="20"/>
          <w:szCs w:val="20"/>
          <w:u w:val="single"/>
        </w:rPr>
        <w:t xml:space="preserve"> no coverage through our agency.</w:t>
      </w:r>
    </w:p>
    <w:p w14:paraId="2254C9F7" w14:textId="77777777" w:rsidR="00DE0175" w:rsidRPr="00853487" w:rsidRDefault="00DE0175" w:rsidP="00DE0175">
      <w:pPr>
        <w:spacing w:after="0" w:line="240" w:lineRule="auto"/>
        <w:rPr>
          <w:rFonts w:cstheme="minorHAnsi"/>
          <w:sz w:val="20"/>
          <w:szCs w:val="20"/>
        </w:rPr>
      </w:pPr>
    </w:p>
    <w:p w14:paraId="29D4CB58" w14:textId="77777777" w:rsidR="00DE0175" w:rsidRPr="00853487" w:rsidRDefault="00DE0175" w:rsidP="00DE0175">
      <w:pPr>
        <w:widowControl w:val="0"/>
        <w:autoSpaceDE w:val="0"/>
        <w:autoSpaceDN w:val="0"/>
        <w:adjustRightInd w:val="0"/>
        <w:spacing w:after="0" w:line="240" w:lineRule="auto"/>
        <w:rPr>
          <w:rFonts w:eastAsia="SimSun" w:cstheme="minorHAnsi"/>
          <w:sz w:val="20"/>
          <w:szCs w:val="20"/>
        </w:rPr>
      </w:pPr>
      <w:r w:rsidRPr="00853487">
        <w:rPr>
          <w:rFonts w:cstheme="minorHAnsi"/>
          <w:b/>
          <w:sz w:val="20"/>
          <w:szCs w:val="20"/>
        </w:rPr>
        <w:t xml:space="preserve">This summary of the Association’s policies of insurance provides only certain information, as required by subdivision (b) of Section 5300 of the Civil </w:t>
      </w:r>
      <w:proofErr w:type="gramStart"/>
      <w:r w:rsidRPr="00853487">
        <w:rPr>
          <w:rFonts w:cstheme="minorHAnsi"/>
          <w:b/>
          <w:sz w:val="20"/>
          <w:szCs w:val="20"/>
        </w:rPr>
        <w:t>Code, and</w:t>
      </w:r>
      <w:proofErr w:type="gramEnd"/>
      <w:r w:rsidRPr="00853487">
        <w:rPr>
          <w:rFonts w:cstheme="minorHAnsi"/>
          <w:b/>
          <w:sz w:val="20"/>
          <w:szCs w:val="20"/>
        </w:rPr>
        <w:t xml:space="preserve"> should not be considered a substitute for the complete policy terms and conditions contained in the actual policies of insurance. Any Association Member may, upon request and provision of reasonable notice, review the Association’s Insurance Policies and, upon request and payment of reasonable duplication charges, obtain copies of those policies. Although the Association maintains the Policies of Insurance specified in this summary, the Association’s Policies of Insurance may not cover your property, including personal property or real property improvements to or around your dwelling, or personal injuries or other losses that occur within or around your dwelling. Even if a loss is covered, you may nevertheless be responsible for paying all or a portion of any Deductible that applies. Association Members should consult with their individual Insurance Broker or Agent for appropriate additional coverage.</w:t>
      </w:r>
    </w:p>
    <w:p w14:paraId="42A976F4" w14:textId="6F9B63D6" w:rsidR="000572B5" w:rsidRPr="00853487" w:rsidRDefault="000572B5">
      <w:pPr>
        <w:rPr>
          <w:rFonts w:cstheme="minorHAnsi"/>
          <w:sz w:val="20"/>
          <w:szCs w:val="20"/>
        </w:rPr>
      </w:pPr>
    </w:p>
    <w:p w14:paraId="2FA445BE" w14:textId="4C1469DB" w:rsidR="008B3B59" w:rsidRPr="00853487" w:rsidRDefault="008B3B59">
      <w:pPr>
        <w:rPr>
          <w:rFonts w:cstheme="minorHAnsi"/>
          <w:sz w:val="20"/>
          <w:szCs w:val="20"/>
        </w:rPr>
      </w:pPr>
    </w:p>
    <w:p w14:paraId="462DDC9C" w14:textId="687535A5" w:rsidR="008B3B59" w:rsidRPr="00853487" w:rsidRDefault="008B3B59">
      <w:pPr>
        <w:rPr>
          <w:rFonts w:cstheme="minorHAnsi"/>
          <w:sz w:val="20"/>
          <w:szCs w:val="20"/>
        </w:rPr>
      </w:pPr>
    </w:p>
    <w:p w14:paraId="26E65DE1" w14:textId="77777777" w:rsidR="008B3B59" w:rsidRPr="00853487" w:rsidRDefault="008B3B59" w:rsidP="008B3B59">
      <w:pPr>
        <w:pStyle w:val="Footer"/>
        <w:tabs>
          <w:tab w:val="left" w:pos="7940"/>
        </w:tabs>
        <w:jc w:val="center"/>
        <w:rPr>
          <w:rFonts w:asciiTheme="minorHAnsi" w:hAnsiTheme="minorHAnsi" w:cstheme="minorHAnsi"/>
          <w:b/>
          <w:i/>
          <w:sz w:val="20"/>
          <w:szCs w:val="20"/>
        </w:rPr>
      </w:pPr>
    </w:p>
    <w:p w14:paraId="258B0EA5" w14:textId="6EAC4B84" w:rsidR="008B3B59" w:rsidRPr="00853487" w:rsidRDefault="008B3B59" w:rsidP="008B3B59">
      <w:pPr>
        <w:pStyle w:val="Footer"/>
        <w:tabs>
          <w:tab w:val="left" w:pos="7940"/>
        </w:tabs>
        <w:jc w:val="center"/>
        <w:rPr>
          <w:rFonts w:asciiTheme="minorHAnsi" w:hAnsiTheme="minorHAnsi" w:cstheme="minorHAnsi"/>
          <w:b/>
          <w:i/>
          <w:sz w:val="20"/>
          <w:szCs w:val="20"/>
        </w:rPr>
      </w:pPr>
      <w:r w:rsidRPr="00853487">
        <w:rPr>
          <w:rFonts w:asciiTheme="minorHAnsi" w:hAnsiTheme="minorHAnsi" w:cstheme="minorHAnsi"/>
          <w:b/>
          <w:i/>
          <w:sz w:val="20"/>
          <w:szCs w:val="20"/>
        </w:rPr>
        <w:t>**For lender and/or unit specific Evidence of Insurance please call EOI Direct at 877-456-3643. For general proof of insurance please contact Socher Insurance at 877-317-9300**</w:t>
      </w:r>
    </w:p>
    <w:sectPr w:rsidR="008B3B59" w:rsidRPr="00853487" w:rsidSect="008B3B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39719" w14:textId="77777777" w:rsidR="00DE0175" w:rsidRDefault="00DE0175" w:rsidP="00DE0175">
      <w:pPr>
        <w:spacing w:after="0" w:line="240" w:lineRule="auto"/>
      </w:pPr>
      <w:r>
        <w:separator/>
      </w:r>
    </w:p>
  </w:endnote>
  <w:endnote w:type="continuationSeparator" w:id="0">
    <w:p w14:paraId="779837AE" w14:textId="77777777" w:rsidR="00DE0175" w:rsidRDefault="00DE0175" w:rsidP="00DE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56D4F" w14:textId="77777777" w:rsidR="008B3B59" w:rsidRDefault="008B3B59" w:rsidP="008B3B59">
    <w:pPr>
      <w:pStyle w:val="Footer"/>
      <w:tabs>
        <w:tab w:val="clear" w:pos="9360"/>
      </w:tabs>
      <w:ind w:left="-1440" w:right="-1440"/>
    </w:pPr>
    <w:r>
      <w:rPr>
        <w:noProof/>
      </w:rPr>
      <w:drawing>
        <wp:inline distT="0" distB="0" distL="0" distR="0" wp14:anchorId="31956FE2" wp14:editId="0C445B45">
          <wp:extent cx="7760970" cy="688975"/>
          <wp:effectExtent l="0" t="0" r="0" b="0"/>
          <wp:docPr id="6" name="b7fa927e-44e5-4f11-a652-cc033bdd4b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0970" cy="68897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6F730" w14:textId="356E235C" w:rsidR="008B3B59" w:rsidRDefault="008B3B59" w:rsidP="008B3B59">
    <w:pPr>
      <w:pStyle w:val="Footer"/>
      <w:tabs>
        <w:tab w:val="clear" w:pos="9360"/>
      </w:tabs>
      <w:ind w:left="-1440" w:right="-1440"/>
    </w:pPr>
    <w:r>
      <w:rPr>
        <w:noProof/>
      </w:rPr>
      <w:drawing>
        <wp:inline distT="0" distB="0" distL="0" distR="0" wp14:anchorId="31956FE2" wp14:editId="0C445B45">
          <wp:extent cx="7760970" cy="688975"/>
          <wp:effectExtent l="0" t="0" r="0" b="0"/>
          <wp:docPr id="5" name="38d6f48a-399e-4a7e-bce4-f1e6af01df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0970" cy="68897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4ABA" w14:textId="77777777" w:rsidR="005F67DA" w:rsidRDefault="005F6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20CAF" w14:textId="77777777" w:rsidR="00DE0175" w:rsidRDefault="00DE0175" w:rsidP="00DE0175">
      <w:pPr>
        <w:spacing w:after="0" w:line="240" w:lineRule="auto"/>
      </w:pPr>
      <w:r>
        <w:separator/>
      </w:r>
    </w:p>
  </w:footnote>
  <w:footnote w:type="continuationSeparator" w:id="0">
    <w:p w14:paraId="58F95DF1" w14:textId="77777777" w:rsidR="00DE0175" w:rsidRDefault="00DE0175" w:rsidP="00DE0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D2038" w14:textId="77777777" w:rsidR="00DE0175" w:rsidRDefault="00DE0175" w:rsidP="00DE0175">
    <w:pPr>
      <w:ind w:left="-1440" w:right="-1440"/>
      <w:jc w:val="center"/>
    </w:pPr>
    <w:r>
      <w:rPr>
        <w:noProof/>
      </w:rPr>
      <w:drawing>
        <wp:inline distT="0" distB="0" distL="0" distR="0" wp14:anchorId="519598BF" wp14:editId="5C461D1C">
          <wp:extent cx="7924800" cy="1076325"/>
          <wp:effectExtent l="0" t="0" r="0" b="9525"/>
          <wp:docPr id="4" name="067ba37e-d522-45cf-995b-d85103e5d8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0" cy="1076325"/>
                  </a:xfrm>
                  <a:prstGeom prst="rect">
                    <a:avLst/>
                  </a:prstGeom>
                  <a:noFill/>
                  <a:ln>
                    <a:noFill/>
                  </a:ln>
                </pic:spPr>
              </pic:pic>
            </a:graphicData>
          </a:graphic>
        </wp:inline>
      </w:drawing>
    </w:r>
  </w:p>
  <w:p w14:paraId="76F9F57C" w14:textId="77777777" w:rsidR="00DE0175" w:rsidRDefault="00DE0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BA37" w14:textId="08D79CE2" w:rsidR="00DE0175" w:rsidRDefault="00DE0175" w:rsidP="00DE0175">
    <w:pPr>
      <w:ind w:left="-1440" w:right="-1440"/>
      <w:jc w:val="center"/>
    </w:pPr>
    <w:r>
      <w:rPr>
        <w:noProof/>
      </w:rPr>
      <w:drawing>
        <wp:inline distT="0" distB="0" distL="0" distR="0" wp14:anchorId="519598BF" wp14:editId="5C461D1C">
          <wp:extent cx="7924800" cy="1076325"/>
          <wp:effectExtent l="0" t="0" r="0" b="9525"/>
          <wp:docPr id="3" name="c9b85d8c-d589-43fd-acb1-8ac52f013b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0" cy="1076325"/>
                  </a:xfrm>
                  <a:prstGeom prst="rect">
                    <a:avLst/>
                  </a:prstGeom>
                  <a:noFill/>
                  <a:ln>
                    <a:noFill/>
                  </a:ln>
                </pic:spPr>
              </pic:pic>
            </a:graphicData>
          </a:graphic>
        </wp:inline>
      </w:drawing>
    </w:r>
  </w:p>
  <w:p w14:paraId="2FB7C0BC" w14:textId="77777777" w:rsidR="00DE0175" w:rsidRDefault="00DE0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20138" w14:textId="77777777" w:rsidR="005F67DA" w:rsidRDefault="005F67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GINREP" w:val="BEGINREP"/>
    <w:docVar w:name="ENDREP" w:val="ENDREP"/>
    <w:docVar w:name="GeneralDataMerge.TodayDate*1*1" w:val="TODAYDATE"/>
    <w:docVar w:name="MasterAccountMerge.Account.Common.Common.AcctName*0*2" w:val="ACCTNAME"/>
    <w:docVar w:name="MasterAccountMerge.Policy.Line.LOB.Custom.[CustomLine.65581].Current/ExpiringCoverage.ec4e35f6-6ec0-4d0e-bc9c-61a67b2383a5.EquipmentBreakdownDeductible*0*32" w:val="EQUIPMENTBREAKDOWNDEDUCTIBLE"/>
    <w:docVar w:name="MasterAccountMerge.Policy.Line.LOB.Custom.[CustomLine.65581].Current/ExpiringCoverage.ec4e35f6-6ec0-4d0e-bc9c-61a67b2383a5.EquipmentBreakdownDeductible*0*37" w:val="EQUIPMENTBREAKDOWNDEDUCTIBLE"/>
    <w:docVar w:name="MasterAccountMerge.Policy.Line.LOB.Custom.[CustomLine.65581].Current/ExpiringCoverage.ecbf7bf3-783c-41da-ab2d-a9b2194ab365.D&amp;OInsuranceCompany*0*16" w:val="D&amp;OINSURANCECOMPANY"/>
    <w:docVar w:name="MasterAccountMerge.Policy.Line.LOB.Custom.[CustomLine.65586].Current/ExpiringCoverage.17bfa185-993d-4ca5-bbf5-af5f6e82fb92.EquipmentBreakdownInsuranceCompany*0*46" w:val="EQUIPMENTBREAKDOWNINSURANCECOMPANY"/>
    <w:docVar w:name="MasterAccountMerge.Policy.Line.LOB.Custom.[CustomLine.65586].Current/ExpiringCoverage.2e3f90b5-89ea-4ff1-979f-c4820c4ff867.PropertyDeductible*0*47" w:val="PROPERTYDEDUCTIBLE"/>
    <w:docVar w:name="MasterAccountMerge.Policy.Line.LOB.Custom.[CustomLine.65586].Current/ExpiringCoverage.7358abc3-c899-4c34-bf69-3b4d16f10140.PropertyInsuranceCarrier*0*51" w:val="PROPERTYINSURANCECARRIER"/>
    <w:docVar w:name="MasterAccountMerge.Policy.Line.LOB.Custom.[CustomLine.65586].Current/ExpiringCoverage.8ab99380-64de-47e7-b2df-7924370a3e6e.PropertyLimits*0*48" w:val="PROPERTYLIMITS"/>
    <w:docVar w:name="MasterAccountMerge.Policy.Line.LOB.Custom.[CustomLine.65586].Current/ExpiringCoverage.afc44853-6dae-489d-9c40-d8b97d36b0b6.EquipmentBreakdownLimit*0*43" w:val="EQUIPMENTBREAKDOWNLIMIT"/>
    <w:docVar w:name="MasterAccountMerge.Policy.Line.LOB.Custom.[CustomLine.65586].Current/ExpiringCoverage.ec4e35f6-6ec0-4d0e-bc9c-61a67b2383a5.EquipmentBreakdownDeductible*0*42" w:val="EQUIPMENTBREAKDOWNDEDUCTIBLE"/>
    <w:docVar w:name="MasterAccountMerge.Policy.Line.LOB.Custom.[CustomLine.65589].Current/ExpiringCoverage.1b9b806c-6713-436b-8dac-5a2b209c2571.EmployeeDishonestyLimit*0*69" w:val="EMPLOYEEDISHONESTYLIMIT"/>
    <w:docVar w:name="MasterAccountMerge.Policy.Line.LOB.Custom.[CustomLine.65589].Current/ExpiringCoverage.1b9b806c-6713-436b-8dac-5a2b209c2571.EmployeeDishonestyLimit*0*78" w:val="EMPLOYEEDISHONESTYLIMIT"/>
    <w:docVar w:name="MasterAccountMerge.Policy.Line.LOB.Custom.[CustomLine.65589].Current/ExpiringCoverage.21bb5ec0-fd42-4be2-bbe3-ded95583df4d.NO&amp;HLimits*0*52" w:val="NO&amp;HLIMITS"/>
    <w:docVar w:name="MasterAccountMerge.Policy.Line.LOB.Custom.[CustomLine.65589].Current/ExpiringCoverage.4369aaec-05df-46e4-a218-e5334b9e5179.WorkersCompensationInsuranceCompany*0*76" w:val="WORKERSCOMPENSATIONINSURANCECOMPANY"/>
    <w:docVar w:name="MasterAccountMerge.Policy.Line.LOB.Custom.[CustomLine.65589].Current/ExpiringCoverage.53b61df1-4afe-4a68-88b6-a6ccd7cf27e8.WorkersCompensationLimit*0*73" w:val="WORKERSCOMPENSATIONLIMIT"/>
    <w:docVar w:name="MasterAccountMerge.Policy.Line.LOB.Custom.[CustomLine.65589].Current/ExpiringCoverage.60161266-b4e0-4d00-b57d-356976f8a7c5.EQInsuranceCompany*0*85" w:val="EQINSURANCECOMPANY"/>
    <w:docVar w:name="MasterAccountMerge.Policy.Line.LOB.Custom.[CustomLine.65589].Current/ExpiringCoverage.654a2a8b-1cac-4dfa-bc7b-ad04c7783d76.UmbrellaLimit*0*59" w:val="UMBRELLALIMIT"/>
    <w:docVar w:name="MasterAccountMerge.Policy.Line.LOB.Custom.[CustomLine.65589].Current/ExpiringCoverage.654a2a8b-1cac-4dfa-bc7b-ad04c7783d76.UmbrellaLimit*0*87" w:val="UMBRELLALIMIT"/>
    <w:docVar w:name="MasterAccountMerge.Policy.Line.LOB.Custom.[CustomLine.65589].Current/ExpiringCoverage.6cb576fd-6d60-4b8d-87a7-0a4ed15357c9.GLInsuranceCompany*0*57" w:val="GLINSURANCECOMPANY"/>
    <w:docVar w:name="MasterAccountMerge.Policy.Line.LOB.Custom.[CustomLine.65589].Current/ExpiringCoverage.72198938-bc8c-4e0b-86ee-9985a092c29a.GLDeductible*0*53" w:val="GLDEDUCTIBLE"/>
    <w:docVar w:name="MasterAccountMerge.Policy.Line.LOB.Custom.[CustomLine.65589].Current/ExpiringCoverage.79b4808b-b826-4522-891c-9f3fd6170e9c.EQLimits*0*82" w:val="EQLIMITS"/>
    <w:docVar w:name="MasterAccountMerge.Policy.Line.LOB.Custom.[CustomLine.65589].Current/ExpiringCoverage.8d457e6d-c8e4-446b-9922-17023d4bc044.EmployeeDishonestyDeductible*0*68" w:val="EMPLOYEEDISHONESTYDEDUCTIBLE"/>
    <w:docVar w:name="MasterAccountMerge.Policy.Line.LOB.Custom.[CustomLine.65589].Current/ExpiringCoverage.8d457e6d-c8e4-446b-9922-17023d4bc044.EmployeeDishonestyDeductible*0*77" w:val="EMPLOYEEDISHONESTYDEDUCTIBLE"/>
    <w:docVar w:name="MasterAccountMerge.Policy.Line.LOB.Custom.[CustomLine.65589].Current/ExpiringCoverage.9234355e-f491-4ea5-8b19-520d2e4ec435.EmployeeDishonestyInsuranceCompany*0*72" w:val="EMPLOYEEDISHONESTYINSURANCECOMPANY"/>
    <w:docVar w:name="MasterAccountMerge.Policy.Line.LOB.Custom.[CustomLine.65589].Current/ExpiringCoverage.96e8879b-77e2-4aba-ba5c-d8f57eed26be.EQDeductible*0*81" w:val="EQDEDUCTIBLE"/>
    <w:docVar w:name="MasterAccountMerge.Policy.Line.LOB.Custom.[CustomLine.65589].Current/ExpiringCoverage.9a86d572-a2a8-42dc-997c-005f514ca15f.UmbrellaInsuranceCompany*0*62" w:val="UMBRELLAINSURANCECOMPANY"/>
    <w:docVar w:name="MasterAccountMerge.Policy.Line.LOB.Custom.[CustomLine.65589].Current/ExpiringCoverage.9a86d572-a2a8-42dc-997c-005f514ca15f.UmbrellaInsuranceCompany*0*90" w:val="UMBRELLAINSURANCECOMPANY"/>
    <w:docVar w:name="MasterAccountMerge.Policy.Line.LOB.Custom.[CustomLine.65589].Current/ExpiringCoverage.a6703d40-87d2-4b24-bc29-f4b146e92414.UmbrellaDeductible*0*58" w:val="UMBRELLADEDUCTIBLE"/>
    <w:docVar w:name="MasterAccountMerge.Policy.Line.LOB.Custom.[CustomLine.65589].Current/ExpiringCoverage.a6703d40-87d2-4b24-bc29-f4b146e92414.UmbrellaDeductible*0*86" w:val="UMBRELLADEDUCTIBLE"/>
    <w:docVar w:name="MasterAccountMerge.Policy.Line.LOB.Custom.[CustomLine.65589].Current/ExpiringCoverage.afc44853-6dae-489d-9c40-d8b97d36b0b6.EquipmentBreakdownLimit*0*80" w:val="EQUIPMENTBREAKDOWNLIMIT"/>
    <w:docVar w:name="MasterAccountMerge.Policy.Line.LOB.Custom.[CustomLine.65589].Current/ExpiringCoverage.d3763300-60f3-4ce9-899a-82afc91a7086.D&amp;OLImit*0*64" w:val="D&amp;OLIMIT"/>
    <w:docVar w:name="MasterAccountMerge.Policy.Line.LOB.Custom.[CustomLine.65589].Current/ExpiringCoverage.e778b814-7d91-4f48-82bd-f3c6d072a320.D&amp;ODeductible*0*63" w:val="D&amp;ODEDUCTIBLE"/>
    <w:docVar w:name="MasterAccountMerge.Policy.Line.LOB.Custom.[CustomLine.65589].Current/ExpiringCoverage.e959ea31-77a4-4bb9-a822-e753972c5df2.GLLimits*0*54" w:val="GLLIMITS"/>
    <w:docVar w:name="MasterAccountMerge.Policy.Line.LOB.Custom.[CustomLine.65589].Current/ExpiringCoverage.ec4e35f6-6ec0-4d0e-bc9c-61a67b2383a5.EquipmentBreakdownDeductible*0*79" w:val="EQUIPMENTBREAKDOWNDEDUCTIBLE"/>
    <w:docVar w:name="MasterAccountMerge.Policy.Line.LOB.Custom.[CustomLine.65589].Current/ExpiringCoverage.ecbf7bf3-783c-41da-ab2d-a9b2194ab365.D&amp;OInsuranceCompany*0*67" w:val="D&amp;OINSURANCECOMPANY"/>
    <w:docVar w:name="MasterAccountMerge.Policy.Line.LOB.Custom.[CustomLine.65592].Current/ExpiringCoverage.17bfa185-993d-4ca5-bbf5-af5f6e82fb92.EquipmentBreakdownInsuranceCompany*0*100" w:val="EQUIPMENTBREAKDOWNINSURANCECOMPANY"/>
    <w:docVar w:name="MasterAccountMerge.Policy.Line.LOB.Custom.[CustomLine.65592].Current/ExpiringCoverage.1b9b806c-6713-436b-8dac-5a2b209c2571.EmployeeDishonestyLimit*0*92" w:val="EMPLOYEEDISHONESTYLIMIT"/>
    <w:docVar w:name="MasterAccountMerge.Policy.Line.LOB.Custom.[CustomLine.65592].Current/ExpiringCoverage.8d457e6d-c8e4-446b-9922-17023d4bc044.EmployeeDishonestyDeductible*0*91" w:val="EMPLOYEEDISHONESTYDEDUCTIBLE"/>
    <w:docVar w:name="MasterAccountMerge.Policy.Line.LOB.Custom.[CustomLine.65592].Current/ExpiringCoverage.9234355e-f491-4ea5-8b19-520d2e4ec435.EmployeeDishonestyInsuranceCompany*0*95" w:val="EMPLOYEEDISHONESTYINSURANCECOMPANY"/>
    <w:docVar w:name="MasterAccountMerge.Policy.Line.LOB.Custom.[CustomLine.65592].Current/ExpiringCoverage.afc44853-6dae-489d-9c40-d8b97d36b0b6.EquipmentBreakdownLimit*0*97" w:val="EQUIPMENTBREAKDOWNLIMIT"/>
    <w:docVar w:name="MasterAccountMerge.Policy.Line.LOB.Custom.[CustomLine.65592].Current/ExpiringCoverage.ec4e35f6-6ec0-4d0e-bc9c-61a67b2383a5.EquipmentBreakdownDeductible*0*96" w:val="EQUIPMENTBREAKDOWNDEDUCTIBLE"/>
    <w:docVar w:name="MasterAccountMerge.Policy.MultiCarrier.Issuing.Name*0*3" w:val="NAME"/>
    <w:docVar w:name="MasterAccountMerge.Policy.Policy.Detail.PolEffDate*1*25" w:val="POLEFFDATE"/>
    <w:docVar w:name="MasterAccountMerge.Policy.Policy.Detail.PolEffDate*1*30" w:val="POLEFFDATE"/>
    <w:docVar w:name="MasterAccountMerge.Policy.Policy.Detail.PolEffDate*1*35" w:val="POLEFFDATE"/>
    <w:docVar w:name="MasterAccountMerge.Policy.Policy.Detail.PolEffDate*1*4" w:val="POLEFFDATE"/>
    <w:docVar w:name="MasterAccountMerge.Policy.Policy.Detail.PolEffDate*1*40" w:val="POLEFFDATE"/>
    <w:docVar w:name="MasterAccountMerge.Policy.Policy.Detail.PolEffDate*1*45" w:val="POLEFFDATE"/>
    <w:docVar w:name="MasterAccountMerge.Policy.Policy.Detail.PolEffDate*1*50" w:val="POLEFFDATE"/>
    <w:docVar w:name="MasterAccountMerge.Policy.Policy.Detail.PolEffDate*1*56" w:val="POLEFFDATE"/>
    <w:docVar w:name="MasterAccountMerge.Policy.Policy.Detail.PolEffDate*1*61" w:val="POLEFFDATE"/>
    <w:docVar w:name="MasterAccountMerge.Policy.Policy.Detail.PolEffDate*1*66" w:val="POLEFFDATE"/>
    <w:docVar w:name="MasterAccountMerge.Policy.Policy.Detail.PolEffDate*1*71" w:val="POLEFFDATE"/>
    <w:docVar w:name="MasterAccountMerge.Policy.Policy.Detail.PolEffDate*1*75" w:val="POLEFFDATE"/>
    <w:docVar w:name="MasterAccountMerge.Policy.Policy.Detail.PolEffDate*1*84" w:val="POLEFFDATE"/>
    <w:docVar w:name="MasterAccountMerge.Policy.Policy.Detail.PolEffDate*1*89" w:val="POLEFFDATE"/>
    <w:docVar w:name="MasterAccountMerge.Policy.Policy.Detail.PolEffDate*1*94" w:val="POLEFFDATE"/>
    <w:docVar w:name="MasterAccountMerge.Policy.Policy.Detail.PolEffDate*1*99" w:val="POLEFFDATE"/>
    <w:docVar w:name="MasterAccountMerge.Policy.Policy.Detail.PolExpDate*1*24" w:val="POLEXPDATE"/>
    <w:docVar w:name="MasterAccountMerge.Policy.Policy.Detail.PolExpDate*1*29" w:val="POLEXPDATE"/>
    <w:docVar w:name="MasterAccountMerge.Policy.Policy.Detail.PolExpDate*1*34" w:val="POLEXPDATE"/>
    <w:docVar w:name="MasterAccountMerge.Policy.Policy.Detail.PolExpDate*1*39" w:val="POLEXPDATE"/>
    <w:docVar w:name="MasterAccountMerge.Policy.Policy.Detail.PolExpDate*1*44" w:val="POLEXPDATE"/>
    <w:docVar w:name="MasterAccountMerge.Policy.Policy.Detail.PolExpDate*1*49" w:val="POLEXPDATE"/>
    <w:docVar w:name="MasterAccountMerge.Policy.Policy.Detail.PolExpDate*1*5" w:val="POLEXPDATE"/>
    <w:docVar w:name="MasterAccountMerge.Policy.Policy.Detail.PolExpDate*1*55" w:val="POLEXPDATE"/>
    <w:docVar w:name="MasterAccountMerge.Policy.Policy.Detail.PolExpDate*1*60" w:val="POLEXPDATE"/>
    <w:docVar w:name="MasterAccountMerge.Policy.Policy.Detail.PolExpDate*1*65" w:val="POLEXPDATE"/>
    <w:docVar w:name="MasterAccountMerge.Policy.Policy.Detail.PolExpDate*1*70" w:val="POLEXPDATE"/>
    <w:docVar w:name="MasterAccountMerge.Policy.Policy.Detail.PolExpDate*1*74" w:val="POLEXPDATE"/>
    <w:docVar w:name="MasterAccountMerge.Policy.Policy.Detail.PolExpDate*1*83" w:val="POLEXPDATE"/>
    <w:docVar w:name="MasterAccountMerge.Policy.Policy.Detail.PolExpDate*1*88" w:val="POLEXPDATE"/>
    <w:docVar w:name="MasterAccountMerge.Policy.Policy.Detail.PolExpDate*1*93" w:val="POLEXPDATE"/>
    <w:docVar w:name="MasterAccountMerge.Policy.Policy.Detail.PolExpDate*1*98" w:val="POLEXPDATE"/>
  </w:docVars>
  <w:rsids>
    <w:rsidRoot w:val="00DE0175"/>
    <w:rsid w:val="00007589"/>
    <w:rsid w:val="000147B7"/>
    <w:rsid w:val="00054C7C"/>
    <w:rsid w:val="000572B5"/>
    <w:rsid w:val="00062FCB"/>
    <w:rsid w:val="000674A2"/>
    <w:rsid w:val="000E6F23"/>
    <w:rsid w:val="000F1A36"/>
    <w:rsid w:val="00104EB0"/>
    <w:rsid w:val="001150EF"/>
    <w:rsid w:val="00130AED"/>
    <w:rsid w:val="0015245C"/>
    <w:rsid w:val="001654DD"/>
    <w:rsid w:val="00192010"/>
    <w:rsid w:val="00247D1C"/>
    <w:rsid w:val="00253F07"/>
    <w:rsid w:val="00264BA4"/>
    <w:rsid w:val="002708A3"/>
    <w:rsid w:val="00271E65"/>
    <w:rsid w:val="00276486"/>
    <w:rsid w:val="002B1F90"/>
    <w:rsid w:val="002B5D4A"/>
    <w:rsid w:val="002C1A08"/>
    <w:rsid w:val="002C7CA8"/>
    <w:rsid w:val="002D6D80"/>
    <w:rsid w:val="002F0C8A"/>
    <w:rsid w:val="003275DC"/>
    <w:rsid w:val="00341813"/>
    <w:rsid w:val="00351C82"/>
    <w:rsid w:val="003865FF"/>
    <w:rsid w:val="003B0F9F"/>
    <w:rsid w:val="003C5C91"/>
    <w:rsid w:val="003D424D"/>
    <w:rsid w:val="003E0232"/>
    <w:rsid w:val="003F1C0F"/>
    <w:rsid w:val="00406A3E"/>
    <w:rsid w:val="00447429"/>
    <w:rsid w:val="004646C7"/>
    <w:rsid w:val="0047529C"/>
    <w:rsid w:val="00490473"/>
    <w:rsid w:val="004F6B59"/>
    <w:rsid w:val="00553593"/>
    <w:rsid w:val="005B7FA6"/>
    <w:rsid w:val="005F67DA"/>
    <w:rsid w:val="00651811"/>
    <w:rsid w:val="00655B77"/>
    <w:rsid w:val="00670A17"/>
    <w:rsid w:val="00670A4D"/>
    <w:rsid w:val="006D5B21"/>
    <w:rsid w:val="007C2211"/>
    <w:rsid w:val="00807DD4"/>
    <w:rsid w:val="008143D1"/>
    <w:rsid w:val="008434B4"/>
    <w:rsid w:val="00844CE0"/>
    <w:rsid w:val="00853487"/>
    <w:rsid w:val="00860A47"/>
    <w:rsid w:val="008B3B59"/>
    <w:rsid w:val="008C0C63"/>
    <w:rsid w:val="008C2172"/>
    <w:rsid w:val="008C7A05"/>
    <w:rsid w:val="009105CA"/>
    <w:rsid w:val="0093292A"/>
    <w:rsid w:val="0097428F"/>
    <w:rsid w:val="00996E65"/>
    <w:rsid w:val="009C2C67"/>
    <w:rsid w:val="009C5270"/>
    <w:rsid w:val="009D7F22"/>
    <w:rsid w:val="00A20155"/>
    <w:rsid w:val="00A9443F"/>
    <w:rsid w:val="00AE677B"/>
    <w:rsid w:val="00B257EE"/>
    <w:rsid w:val="00B43FFD"/>
    <w:rsid w:val="00B504D0"/>
    <w:rsid w:val="00B57763"/>
    <w:rsid w:val="00BD028B"/>
    <w:rsid w:val="00C054F4"/>
    <w:rsid w:val="00C71A18"/>
    <w:rsid w:val="00C77056"/>
    <w:rsid w:val="00CC5B78"/>
    <w:rsid w:val="00D10508"/>
    <w:rsid w:val="00D731B1"/>
    <w:rsid w:val="00D92242"/>
    <w:rsid w:val="00DE0175"/>
    <w:rsid w:val="00DF0A39"/>
    <w:rsid w:val="00E12AF3"/>
    <w:rsid w:val="00E31D31"/>
    <w:rsid w:val="00E37EE3"/>
    <w:rsid w:val="00E912D4"/>
    <w:rsid w:val="00EC0344"/>
    <w:rsid w:val="00ED74F7"/>
    <w:rsid w:val="00EE1193"/>
    <w:rsid w:val="00F07607"/>
    <w:rsid w:val="00FA2469"/>
    <w:rsid w:val="00FA6AB2"/>
    <w:rsid w:val="00FD09C4"/>
    <w:rsid w:val="00FD1259"/>
    <w:rsid w:val="00FF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D09A2C3"/>
  <w15:chartTrackingRefBased/>
  <w15:docId w15:val="{64C23A87-B15A-475E-89E4-6E66914D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175"/>
    <w:pPr>
      <w:spacing w:after="200" w:line="276" w:lineRule="auto"/>
    </w:pPr>
    <w:rPr>
      <w:rFonts w:asciiTheme="minorHAnsi" w:eastAsiaTheme="minorEastAsia" w:hAnsiTheme="minorHAns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175"/>
    <w:pPr>
      <w:tabs>
        <w:tab w:val="center" w:pos="4680"/>
        <w:tab w:val="right" w:pos="9360"/>
      </w:tabs>
      <w:spacing w:after="0" w:line="240" w:lineRule="auto"/>
    </w:pPr>
    <w:rPr>
      <w:rFonts w:ascii="Calibri" w:eastAsia="Calibri" w:hAnsi="Calibri"/>
      <w:lang w:eastAsia="en-US"/>
    </w:rPr>
  </w:style>
  <w:style w:type="character" w:customStyle="1" w:styleId="HeaderChar">
    <w:name w:val="Header Char"/>
    <w:basedOn w:val="DefaultParagraphFont"/>
    <w:link w:val="Header"/>
    <w:uiPriority w:val="99"/>
    <w:rsid w:val="00DE0175"/>
    <w:rPr>
      <w:sz w:val="22"/>
      <w:szCs w:val="22"/>
    </w:rPr>
  </w:style>
  <w:style w:type="paragraph" w:styleId="Footer">
    <w:name w:val="footer"/>
    <w:basedOn w:val="Normal"/>
    <w:link w:val="FooterChar"/>
    <w:uiPriority w:val="99"/>
    <w:unhideWhenUsed/>
    <w:rsid w:val="00DE0175"/>
    <w:pPr>
      <w:tabs>
        <w:tab w:val="center" w:pos="4680"/>
        <w:tab w:val="right" w:pos="9360"/>
      </w:tabs>
      <w:spacing w:after="0" w:line="240" w:lineRule="auto"/>
    </w:pPr>
    <w:rPr>
      <w:rFonts w:ascii="Calibri" w:eastAsia="Calibri" w:hAnsi="Calibri"/>
      <w:lang w:eastAsia="en-US"/>
    </w:rPr>
  </w:style>
  <w:style w:type="character" w:customStyle="1" w:styleId="FooterChar">
    <w:name w:val="Footer Char"/>
    <w:basedOn w:val="DefaultParagraphFont"/>
    <w:link w:val="Footer"/>
    <w:uiPriority w:val="99"/>
    <w:rsid w:val="00DE0175"/>
    <w:rPr>
      <w:sz w:val="22"/>
      <w:szCs w:val="22"/>
    </w:rPr>
  </w:style>
  <w:style w:type="paragraph" w:styleId="PlainText">
    <w:name w:val="Plain Text"/>
    <w:basedOn w:val="Normal"/>
    <w:link w:val="PlainTextChar"/>
    <w:uiPriority w:val="99"/>
    <w:semiHidden/>
    <w:unhideWhenUsed/>
    <w:rsid w:val="00DE0175"/>
    <w:pPr>
      <w:spacing w:after="0" w:line="240" w:lineRule="auto"/>
    </w:pPr>
    <w:rPr>
      <w:rFonts w:ascii="Courier New" w:hAnsi="Courier New"/>
      <w:sz w:val="20"/>
      <w:szCs w:val="20"/>
      <w:lang w:eastAsia="en-US"/>
    </w:rPr>
  </w:style>
  <w:style w:type="character" w:customStyle="1" w:styleId="PlainTextChar">
    <w:name w:val="Plain Text Char"/>
    <w:basedOn w:val="DefaultParagraphFont"/>
    <w:link w:val="PlainText"/>
    <w:uiPriority w:val="99"/>
    <w:semiHidden/>
    <w:rsid w:val="00DE0175"/>
    <w:rPr>
      <w:rFonts w:ascii="Courier New" w:eastAsiaTheme="minorEastAsia" w:hAnsi="Courier New"/>
    </w:rPr>
  </w:style>
  <w:style w:type="character" w:styleId="PlaceholderText">
    <w:name w:val="Placeholder Text"/>
    <w:basedOn w:val="DefaultParagraphFont"/>
    <w:uiPriority w:val="99"/>
    <w:semiHidden/>
    <w:rsid w:val="00DE0175"/>
    <w:rPr>
      <w:color w:val="808080"/>
    </w:rPr>
  </w:style>
  <w:style w:type="paragraph" w:styleId="BalloonText">
    <w:name w:val="Balloon Text"/>
    <w:basedOn w:val="Normal"/>
    <w:link w:val="BalloonTextChar"/>
    <w:uiPriority w:val="99"/>
    <w:semiHidden/>
    <w:unhideWhenUsed/>
    <w:rsid w:val="008B3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B59"/>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102580">
      <w:bodyDiv w:val="1"/>
      <w:marLeft w:val="0"/>
      <w:marRight w:val="0"/>
      <w:marTop w:val="0"/>
      <w:marBottom w:val="0"/>
      <w:divBdr>
        <w:top w:val="none" w:sz="0" w:space="0" w:color="auto"/>
        <w:left w:val="none" w:sz="0" w:space="0" w:color="auto"/>
        <w:bottom w:val="none" w:sz="0" w:space="0" w:color="auto"/>
        <w:right w:val="none" w:sz="0" w:space="0" w:color="auto"/>
      </w:divBdr>
    </w:div>
    <w:div w:id="789402744">
      <w:bodyDiv w:val="1"/>
      <w:marLeft w:val="0"/>
      <w:marRight w:val="0"/>
      <w:marTop w:val="0"/>
      <w:marBottom w:val="0"/>
      <w:divBdr>
        <w:top w:val="none" w:sz="0" w:space="0" w:color="auto"/>
        <w:left w:val="none" w:sz="0" w:space="0" w:color="auto"/>
        <w:bottom w:val="none" w:sz="0" w:space="0" w:color="auto"/>
        <w:right w:val="none" w:sz="0" w:space="0" w:color="auto"/>
      </w:divBdr>
    </w:div>
    <w:div w:id="20685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SI\ASI.TAM\ThinClient\Software\ASI.SMART.Client.Integration.Word.WordU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ASI.SMART.Client.Integration.Word.WordUI</Template>
  <TotalTime>2</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Applied Systems, Inc.</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Lyons</dc:creator>
  <cp:keywords/>
  <cp:lastModifiedBy>Kayla Rea</cp:lastModifiedBy>
  <cp:revision>2</cp:revision>
  <cp:lastPrinted>2025-06-25T18:54:00Z</cp:lastPrinted>
  <dcterms:created xsi:type="dcterms:W3CDTF">2025-06-25T18:54:00Z</dcterms:created>
  <dcterms:modified xsi:type="dcterms:W3CDTF">2025-06-25T18:54:00Z</dcterms:modified>
</cp:coreProperties>
</file>