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524E" w14:textId="77777777" w:rsidR="00714D18" w:rsidRPr="00271F86" w:rsidRDefault="00714D18" w:rsidP="00714D18">
      <w:pPr>
        <w:jc w:val="center"/>
        <w:rPr>
          <w:b/>
          <w:sz w:val="24"/>
          <w:szCs w:val="24"/>
        </w:rPr>
      </w:pPr>
      <w:r w:rsidRPr="00271F86">
        <w:rPr>
          <w:b/>
          <w:sz w:val="24"/>
          <w:szCs w:val="24"/>
        </w:rPr>
        <w:t>Collection and Delinquency Policy</w:t>
      </w:r>
    </w:p>
    <w:p w14:paraId="2D426616" w14:textId="77777777" w:rsidR="00714D18" w:rsidRPr="00AE7E7E" w:rsidRDefault="003074B9" w:rsidP="00714D18">
      <w:pPr>
        <w:jc w:val="center"/>
      </w:pPr>
      <w:r>
        <w:rPr>
          <w:b/>
          <w:bCs/>
        </w:rPr>
        <w:t xml:space="preserve">Bayview </w:t>
      </w:r>
      <w:r w:rsidR="00D479A7">
        <w:rPr>
          <w:b/>
          <w:bCs/>
        </w:rPr>
        <w:t>Condominium</w:t>
      </w:r>
      <w:r>
        <w:rPr>
          <w:b/>
          <w:bCs/>
        </w:rPr>
        <w:t xml:space="preserve"> Association, Inc.</w:t>
      </w:r>
      <w:r w:rsidR="00714D18" w:rsidRPr="00AE7E7E">
        <w:rPr>
          <w:b/>
          <w:bCs/>
        </w:rPr>
        <w:t xml:space="preserve"> </w:t>
      </w:r>
      <w:r w:rsidR="00714D18" w:rsidRPr="00AE7E7E">
        <w:t>“Association”</w:t>
      </w:r>
    </w:p>
    <w:p w14:paraId="67531542" w14:textId="77777777" w:rsidR="00714D18" w:rsidRPr="00AE7E7E" w:rsidRDefault="00714D18" w:rsidP="00714D18"/>
    <w:p w14:paraId="796378D0" w14:textId="77777777" w:rsidR="00714D18" w:rsidRPr="0039576C" w:rsidRDefault="00714D18" w:rsidP="00714D18">
      <w:pPr>
        <w:rPr>
          <w:rFonts w:ascii="Arial Narrow" w:hAnsi="Arial Narrow"/>
        </w:rPr>
      </w:pPr>
      <w:r w:rsidRPr="0039576C">
        <w:rPr>
          <w:rFonts w:ascii="Arial Narrow" w:hAnsi="Arial Narrow"/>
        </w:rPr>
        <w:t>Prompt payment of Assessments by all owners is critical to the financial health of the Association and to the enhancement of the property values of our homes.  Your Board of Directors takes very seriously its obligation under the Declaration of Covenants, Conditions, and Restrictions (CC&amp;Rs) and the California Civil Code to enforce the members’ obligation to pay assessments.  The policies and practices outlined shall remain in effect until such time as they may be changed, modified, or amended by a duly adopted resolution of the Board of Directors.  Therefore, pursuant to the CC&amp;Rs a</w:t>
      </w:r>
      <w:r>
        <w:rPr>
          <w:rFonts w:ascii="Arial Narrow" w:hAnsi="Arial Narrow"/>
        </w:rPr>
        <w:t>nd Civil Code Section 5730</w:t>
      </w:r>
      <w:r w:rsidRPr="0039576C">
        <w:rPr>
          <w:rFonts w:ascii="Arial Narrow" w:hAnsi="Arial Narrow"/>
        </w:rPr>
        <w:t>, the following are the Association’s assessment practices and policies:</w:t>
      </w:r>
    </w:p>
    <w:p w14:paraId="781EBCB8" w14:textId="77777777" w:rsidR="00714D18" w:rsidRPr="0039576C" w:rsidRDefault="00714D18" w:rsidP="00271F86">
      <w:pPr>
        <w:pStyle w:val="BodyText"/>
        <w:rPr>
          <w:rFonts w:ascii="Arial Narrow" w:hAnsi="Arial Narrow"/>
        </w:rPr>
      </w:pPr>
      <w:r w:rsidRPr="0039576C">
        <w:rPr>
          <w:rFonts w:ascii="Arial Narrow" w:hAnsi="Arial Narrow"/>
        </w:rPr>
        <w:t xml:space="preserve"> </w:t>
      </w:r>
    </w:p>
    <w:p w14:paraId="4E3AD41B"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Assessments, late charges, </w:t>
      </w:r>
      <w:proofErr w:type="gramStart"/>
      <w:r w:rsidRPr="0039576C">
        <w:rPr>
          <w:rFonts w:ascii="Arial Narrow" w:hAnsi="Arial Narrow"/>
        </w:rPr>
        <w:t>interest</w:t>
      </w:r>
      <w:proofErr w:type="gramEnd"/>
      <w:r w:rsidRPr="0039576C">
        <w:rPr>
          <w:rFonts w:ascii="Arial Narrow" w:hAnsi="Arial Narrow"/>
        </w:rPr>
        <w:t xml:space="preserve"> and collection costs, including any attorneys’ fees, are the personal obligation of the owner of the property at the time the assessment or other sums are levi</w:t>
      </w:r>
      <w:r>
        <w:rPr>
          <w:rFonts w:ascii="Arial Narrow" w:hAnsi="Arial Narrow"/>
        </w:rPr>
        <w:t>ed (Civil Code Section 5730</w:t>
      </w:r>
      <w:r w:rsidRPr="0039576C">
        <w:rPr>
          <w:rFonts w:ascii="Arial Narrow" w:hAnsi="Arial Narrow"/>
        </w:rPr>
        <w:t xml:space="preserve">). </w:t>
      </w:r>
    </w:p>
    <w:p w14:paraId="41E7F3FD" w14:textId="77777777" w:rsidR="00714D18" w:rsidRPr="0039576C" w:rsidRDefault="00714D18" w:rsidP="00714D18">
      <w:pPr>
        <w:ind w:left="720" w:hanging="720"/>
        <w:jc w:val="both"/>
        <w:rPr>
          <w:rFonts w:ascii="Arial Narrow" w:hAnsi="Arial Narrow"/>
        </w:rPr>
      </w:pPr>
    </w:p>
    <w:p w14:paraId="7A880520"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Regular monthly assessments are due and payable on the first day of each month. </w:t>
      </w:r>
      <w:r w:rsidRPr="006D7175">
        <w:rPr>
          <w:rFonts w:ascii="Arial Narrow" w:hAnsi="Arial Narrow"/>
          <w:b/>
          <w:u w:val="single"/>
        </w:rPr>
        <w:t xml:space="preserve">No statements are </w:t>
      </w:r>
      <w:r w:rsidR="001A7D55" w:rsidRPr="006D7175">
        <w:rPr>
          <w:rFonts w:ascii="Arial Narrow" w:hAnsi="Arial Narrow"/>
          <w:b/>
          <w:u w:val="single"/>
        </w:rPr>
        <w:t>mailed,</w:t>
      </w:r>
      <w:r>
        <w:rPr>
          <w:rFonts w:ascii="Arial Narrow" w:hAnsi="Arial Narrow"/>
        </w:rPr>
        <w:t xml:space="preserve"> and</w:t>
      </w:r>
      <w:r w:rsidRPr="0039576C">
        <w:rPr>
          <w:rFonts w:ascii="Arial Narrow" w:hAnsi="Arial Narrow"/>
          <w:b/>
        </w:rPr>
        <w:t xml:space="preserve"> it is the owner of record's responsibility to pay each assessment in full each month.</w:t>
      </w:r>
      <w:r w:rsidRPr="0039576C">
        <w:rPr>
          <w:rFonts w:ascii="Arial Narrow" w:hAnsi="Arial Narrow"/>
        </w:rPr>
        <w:t xml:space="preserve"> All other assessments, including special assessments, are due and payable on the date specified by the Board on the Notice of Assessment, which date will not be less than thirty (30) days after the date of notice of the special assessment.</w:t>
      </w:r>
    </w:p>
    <w:p w14:paraId="4F39A31F" w14:textId="77777777" w:rsidR="00714D18" w:rsidRPr="0039576C" w:rsidRDefault="00714D18" w:rsidP="00714D18">
      <w:pPr>
        <w:ind w:left="720" w:hanging="720"/>
        <w:jc w:val="both"/>
        <w:rPr>
          <w:rFonts w:ascii="Arial Narrow" w:hAnsi="Arial Narrow"/>
        </w:rPr>
      </w:pPr>
    </w:p>
    <w:p w14:paraId="7133B7E5"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Any payments made shall be first applied to assessments owed and only after the assessments owed are paid in full, shall such payments be applied to late charges, interest, and collection expenses, including attorneys’ fees, unless the owner and the Association enter into an agreement providing for payments to be applied in a different manner.</w:t>
      </w:r>
    </w:p>
    <w:p w14:paraId="6822D203" w14:textId="77777777" w:rsidR="00714D18" w:rsidRPr="0039576C" w:rsidRDefault="00714D18" w:rsidP="00714D18">
      <w:pPr>
        <w:ind w:left="720" w:hanging="720"/>
        <w:jc w:val="both"/>
        <w:rPr>
          <w:rFonts w:ascii="Arial Narrow" w:hAnsi="Arial Narrow"/>
        </w:rPr>
      </w:pPr>
    </w:p>
    <w:p w14:paraId="1ADFA6D1" w14:textId="77777777" w:rsidR="00714D18" w:rsidRPr="00F8058A" w:rsidRDefault="00714D18" w:rsidP="00714D18">
      <w:pPr>
        <w:numPr>
          <w:ilvl w:val="0"/>
          <w:numId w:val="12"/>
        </w:numPr>
        <w:tabs>
          <w:tab w:val="clear" w:pos="1440"/>
          <w:tab w:val="num" w:pos="720"/>
        </w:tabs>
        <w:ind w:left="720" w:hanging="720"/>
        <w:jc w:val="both"/>
        <w:rPr>
          <w:rFonts w:ascii="Arial Narrow" w:hAnsi="Arial Narrow"/>
        </w:rPr>
      </w:pPr>
      <w:r w:rsidRPr="00F8058A">
        <w:rPr>
          <w:rFonts w:ascii="Arial Narrow" w:hAnsi="Arial Narrow"/>
        </w:rPr>
        <w:t xml:space="preserve">Assessments not received within fifteen (15) days of the stated due date are delinquent and shall be subject to a late charge of ten percent (10%) of the delinquent assessment or ten dollars ($10), whichever is greater. </w:t>
      </w:r>
    </w:p>
    <w:p w14:paraId="110F5EB8" w14:textId="77777777" w:rsidR="00714D18" w:rsidRDefault="00714D18" w:rsidP="00714D18"/>
    <w:p w14:paraId="15B17491"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An interest charge at the rate of twelve percent (12%) per annum will be assessed against any outstanding balance, including delinquent assessments, late </w:t>
      </w:r>
      <w:proofErr w:type="gramStart"/>
      <w:r w:rsidRPr="0039576C">
        <w:rPr>
          <w:rFonts w:ascii="Arial Narrow" w:hAnsi="Arial Narrow"/>
        </w:rPr>
        <w:t>charges</w:t>
      </w:r>
      <w:proofErr w:type="gramEnd"/>
      <w:r w:rsidRPr="0039576C">
        <w:rPr>
          <w:rFonts w:ascii="Arial Narrow" w:hAnsi="Arial Narrow"/>
        </w:rPr>
        <w:t xml:space="preserve"> and cost of collection, which may include attorneys’ fees. Such interest charges shall accrue thirty (30) days after the assessment becomes due and shall continue to be assessed each month until the account is brought current. </w:t>
      </w:r>
    </w:p>
    <w:p w14:paraId="53D1893C" w14:textId="77777777" w:rsidR="00714D18" w:rsidRPr="0039576C" w:rsidRDefault="00714D18" w:rsidP="00714D18">
      <w:pPr>
        <w:ind w:left="720" w:hanging="720"/>
        <w:jc w:val="both"/>
        <w:rPr>
          <w:rFonts w:ascii="Arial Narrow" w:hAnsi="Arial Narrow"/>
        </w:rPr>
      </w:pPr>
    </w:p>
    <w:p w14:paraId="288AA33B" w14:textId="6A5F203E"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If a special assessment is payable in installments and an installment payment of that special assessment is delinquent for more than thirty (30) days, all installments will be </w:t>
      </w:r>
      <w:r w:rsidR="0043356B" w:rsidRPr="0039576C">
        <w:rPr>
          <w:rFonts w:ascii="Arial Narrow" w:hAnsi="Arial Narrow"/>
        </w:rPr>
        <w:t>accelerated,</w:t>
      </w:r>
      <w:r w:rsidRPr="0039576C">
        <w:rPr>
          <w:rFonts w:ascii="Arial Narrow" w:hAnsi="Arial Narrow"/>
        </w:rPr>
        <w:t xml:space="preserve"> and the entire unpaid balance of the special assessment shall become immediately due and payable.  The remaining balance shall be subject to a late charge and interest as provided above.</w:t>
      </w:r>
    </w:p>
    <w:p w14:paraId="69A4DF81" w14:textId="77777777" w:rsidR="00714D18" w:rsidRPr="0039576C" w:rsidRDefault="00714D18" w:rsidP="00714D18">
      <w:pPr>
        <w:ind w:left="720" w:hanging="720"/>
        <w:jc w:val="both"/>
        <w:rPr>
          <w:rFonts w:ascii="Arial Narrow" w:hAnsi="Arial Narrow"/>
        </w:rPr>
      </w:pPr>
    </w:p>
    <w:p w14:paraId="751F463B" w14:textId="1EDE006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A first notice of past due assessment (“late letter”) will be prepared and mailed once an assessment becomes delinquent.  A </w:t>
      </w:r>
      <w:r w:rsidR="005A5469" w:rsidRPr="0039576C">
        <w:rPr>
          <w:rFonts w:ascii="Arial Narrow" w:hAnsi="Arial Narrow"/>
        </w:rPr>
        <w:t>twenty</w:t>
      </w:r>
      <w:r w:rsidR="005A5469">
        <w:rPr>
          <w:rFonts w:ascii="Arial Narrow" w:hAnsi="Arial Narrow"/>
        </w:rPr>
        <w:t>-</w:t>
      </w:r>
      <w:r w:rsidR="005A5469" w:rsidRPr="0039576C">
        <w:rPr>
          <w:rFonts w:ascii="Arial Narrow" w:hAnsi="Arial Narrow"/>
        </w:rPr>
        <w:t>five-dollar</w:t>
      </w:r>
      <w:r w:rsidRPr="0039576C">
        <w:rPr>
          <w:rFonts w:ascii="Arial Narrow" w:hAnsi="Arial Narrow"/>
        </w:rPr>
        <w:t xml:space="preserve"> ($25) charge for the late letter will be made against the delinquent owner’s account. </w:t>
      </w:r>
    </w:p>
    <w:p w14:paraId="4BD634A0" w14:textId="77777777" w:rsidR="00714D18" w:rsidRPr="0039576C" w:rsidRDefault="00714D18" w:rsidP="00714D18">
      <w:pPr>
        <w:ind w:left="720" w:hanging="720"/>
        <w:jc w:val="both"/>
        <w:rPr>
          <w:rFonts w:ascii="Arial Narrow" w:hAnsi="Arial Narrow"/>
        </w:rPr>
      </w:pPr>
    </w:p>
    <w:p w14:paraId="73ADCD3E"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If an assessment is not received within </w:t>
      </w:r>
      <w:r w:rsidRPr="0039576C">
        <w:rPr>
          <w:rFonts w:ascii="Arial Narrow" w:hAnsi="Arial Narrow"/>
          <w:b/>
        </w:rPr>
        <w:t>ten</w:t>
      </w:r>
      <w:r w:rsidRPr="0039576C">
        <w:rPr>
          <w:rFonts w:ascii="Arial Narrow" w:hAnsi="Arial Narrow"/>
        </w:rPr>
        <w:t xml:space="preserve"> (10) days after the assessment becomes delinquent, the Association or its designee, in the event the account is turned over to a collection agent, will send a pre-lien letter to the owner as required by Civil Code Se</w:t>
      </w:r>
      <w:r>
        <w:rPr>
          <w:rFonts w:ascii="Arial Narrow" w:hAnsi="Arial Narrow"/>
        </w:rPr>
        <w:t>ction 5660</w:t>
      </w:r>
      <w:r w:rsidRPr="0039576C">
        <w:rPr>
          <w:rFonts w:ascii="Arial Narrow" w:hAnsi="Arial Narrow"/>
        </w:rPr>
        <w:t xml:space="preserve"> by certified and first class mail, to the owner’s mailing address of record advising of the delinquent status of the account, impending collection action and the owner’s right to request that the Association participate in some form of internal dispute resolution process (“IDR”).  The owner will be charged a fee for the pre-lien letter. Notwithstanding the provisions of this Paragraph, the Association may (</w:t>
      </w:r>
      <w:proofErr w:type="spellStart"/>
      <w:r w:rsidRPr="0039576C">
        <w:rPr>
          <w:rFonts w:ascii="Arial Narrow" w:hAnsi="Arial Narrow"/>
        </w:rPr>
        <w:t>i</w:t>
      </w:r>
      <w:proofErr w:type="spellEnd"/>
      <w:r w:rsidRPr="0039576C">
        <w:rPr>
          <w:rFonts w:ascii="Arial Narrow" w:hAnsi="Arial Narrow"/>
        </w:rPr>
        <w:t xml:space="preserve">) send a pre-lien letter to a delinquent Owner at any time when there is an open escrow involving the Owner’s Unit/Lot, and/or (ii) issue a pre-lien letter immediately if any Special Assessment becomes delinquent. </w:t>
      </w:r>
    </w:p>
    <w:p w14:paraId="6DA7ABAC" w14:textId="77777777" w:rsidR="00714D18" w:rsidRPr="0039576C" w:rsidRDefault="00714D18" w:rsidP="00714D18">
      <w:pPr>
        <w:ind w:left="720" w:hanging="720"/>
        <w:jc w:val="both"/>
        <w:rPr>
          <w:rFonts w:ascii="Arial Narrow" w:hAnsi="Arial Narrow"/>
        </w:rPr>
      </w:pPr>
    </w:p>
    <w:p w14:paraId="5471D1E8"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If an owner fails to pay the amounts set forth in the pre-lien letter and fails to request IDR within thirty (30) days of the date of the pre-lien letter, the Board shall decide, by majority vote in an open meeting, whether to authorize ALS to record a lien </w:t>
      </w:r>
      <w:proofErr w:type="gramStart"/>
      <w:r w:rsidRPr="0039576C">
        <w:rPr>
          <w:rFonts w:ascii="Arial Narrow" w:hAnsi="Arial Narrow"/>
        </w:rPr>
        <w:t>for the amount of</w:t>
      </w:r>
      <w:proofErr w:type="gramEnd"/>
      <w:r w:rsidRPr="0039576C">
        <w:rPr>
          <w:rFonts w:ascii="Arial Narrow" w:hAnsi="Arial Narrow"/>
        </w:rPr>
        <w:t xml:space="preserve"> any delinquent assessments, late charges, interest and/or costs of collection, including attorneys’ fees, against the owner’s property. If the Association authorizes ALS to record a lien against the owner’s property, the owner will be charged for the fees and costs of preparing and recording the lien.  The lien may be enforced in any manner permitted by law, including, without limitation, judicial or non-judicial foreclosu</w:t>
      </w:r>
      <w:r>
        <w:rPr>
          <w:rFonts w:ascii="Arial Narrow" w:hAnsi="Arial Narrow"/>
        </w:rPr>
        <w:t>re (Civil Code Section 5735</w:t>
      </w:r>
      <w:r w:rsidRPr="0039576C">
        <w:rPr>
          <w:rFonts w:ascii="Arial Narrow" w:hAnsi="Arial Narrow"/>
        </w:rPr>
        <w:t xml:space="preserve">). </w:t>
      </w:r>
    </w:p>
    <w:p w14:paraId="2D8E84D4" w14:textId="77777777" w:rsidR="00714D18" w:rsidRPr="0039576C" w:rsidRDefault="00714D18" w:rsidP="00714D18">
      <w:pPr>
        <w:ind w:left="720" w:hanging="720"/>
        <w:jc w:val="both"/>
        <w:rPr>
          <w:rFonts w:ascii="Arial Narrow" w:hAnsi="Arial Narrow"/>
        </w:rPr>
      </w:pPr>
    </w:p>
    <w:p w14:paraId="4F8A80CC"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Once the matter has been transferred to ALS, ALS may be authorized to enforce the lien thirty (30) days after recordation of the lien and may be authorized to foreclose the lien by non-judicial foreclosure sale when either (a) the delinquent assessment amount totals One Thousand, Eight Hundred Dollars ($1,800) or more, excluding accelerated assessments and specified late charges and fees or (b) the assessments are delinquent for more than twelve (12) months. You could lose ownership of your property if a foreclosure action is completed. You will be responsible for significant additional fees and costs if a foreclosure action is commenced against your property.  </w:t>
      </w:r>
    </w:p>
    <w:p w14:paraId="0F7BEC67" w14:textId="77777777" w:rsidR="00714D18" w:rsidRPr="0039576C" w:rsidRDefault="00714D18" w:rsidP="00714D18">
      <w:pPr>
        <w:ind w:left="720" w:hanging="720"/>
        <w:jc w:val="both"/>
        <w:rPr>
          <w:rFonts w:ascii="Arial Narrow" w:hAnsi="Arial Narrow"/>
        </w:rPr>
      </w:pPr>
    </w:p>
    <w:p w14:paraId="2028DA2D"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The decision to foreclose on a lien must be made by </w:t>
      </w:r>
      <w:proofErr w:type="gramStart"/>
      <w:r w:rsidRPr="0039576C">
        <w:rPr>
          <w:rFonts w:ascii="Arial Narrow" w:hAnsi="Arial Narrow"/>
        </w:rPr>
        <w:t>a majority of</w:t>
      </w:r>
      <w:proofErr w:type="gramEnd"/>
      <w:r w:rsidRPr="0039576C">
        <w:rPr>
          <w:rFonts w:ascii="Arial Narrow" w:hAnsi="Arial Narrow"/>
        </w:rPr>
        <w:t xml:space="preserve"> the Board of Directors in an Executive Session meeting and the Board of Directors must record their votes in the minutes of the next open meeting of the Board.  The Board must maintain the confidentiality of the delinquent owner(s) by identifying the matter in the minutes by only the parcel number of the owner’s property.  Prior to initiating any </w:t>
      </w:r>
      <w:r w:rsidRPr="0039576C">
        <w:rPr>
          <w:rFonts w:ascii="Arial Narrow" w:hAnsi="Arial Narrow"/>
        </w:rPr>
        <w:lastRenderedPageBreak/>
        <w:t>foreclosure sale on a recorded lien, the Association shall offer delinquent homeowners the option of participating in IDR or Alternative Dispute Resolution (“ADR”).</w:t>
      </w:r>
    </w:p>
    <w:p w14:paraId="5A46B102" w14:textId="77777777" w:rsidR="00714D18" w:rsidRPr="0039576C" w:rsidRDefault="00714D18" w:rsidP="00714D18">
      <w:pPr>
        <w:ind w:left="720" w:hanging="720"/>
        <w:jc w:val="both"/>
        <w:rPr>
          <w:rFonts w:ascii="Arial Narrow" w:hAnsi="Arial Narrow"/>
        </w:rPr>
      </w:pPr>
    </w:p>
    <w:p w14:paraId="65019090"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An owner is entitled to inspect the Association’s accounting books and records to verify the amounts owed pursuant to Corporations Code Section 8333.</w:t>
      </w:r>
    </w:p>
    <w:p w14:paraId="0813C14D" w14:textId="77777777" w:rsidR="00714D18" w:rsidRPr="0039576C" w:rsidRDefault="00714D18" w:rsidP="00714D18">
      <w:pPr>
        <w:ind w:left="720" w:hanging="720"/>
        <w:jc w:val="both"/>
        <w:rPr>
          <w:rFonts w:ascii="Arial Narrow" w:hAnsi="Arial Narrow"/>
        </w:rPr>
      </w:pPr>
    </w:p>
    <w:p w14:paraId="78EB6A68"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In the event it is determined that the owner has paid the assessments on time, the owner will not be liable to pay the charges, interests, and costs of collection associated with collection of those assessments.</w:t>
      </w:r>
    </w:p>
    <w:p w14:paraId="7A5E03E6" w14:textId="77777777" w:rsidR="00714D18" w:rsidRPr="0039576C" w:rsidRDefault="00714D18" w:rsidP="00714D18">
      <w:pPr>
        <w:ind w:left="720" w:hanging="720"/>
        <w:jc w:val="both"/>
        <w:rPr>
          <w:rFonts w:ascii="Arial Narrow" w:hAnsi="Arial Narrow"/>
        </w:rPr>
      </w:pPr>
    </w:p>
    <w:p w14:paraId="03C892F5"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An owner has the right to dispute the assessment debt by submitting a written request for dispute resolution to ALS for delivery to the Association pursuant to Civil Code Sect</w:t>
      </w:r>
      <w:r>
        <w:rPr>
          <w:rFonts w:ascii="Arial Narrow" w:hAnsi="Arial Narrow"/>
        </w:rPr>
        <w:t>ion 5900</w:t>
      </w:r>
      <w:r w:rsidRPr="0039576C">
        <w:rPr>
          <w:rFonts w:ascii="Arial Narrow" w:hAnsi="Arial Narrow"/>
        </w:rPr>
        <w:t xml:space="preserve"> </w:t>
      </w:r>
      <w:r w:rsidRPr="0039576C">
        <w:rPr>
          <w:rFonts w:ascii="Arial Narrow" w:hAnsi="Arial Narrow"/>
          <w:i/>
        </w:rPr>
        <w:t>et seq.</w:t>
      </w:r>
      <w:r w:rsidRPr="0039576C">
        <w:rPr>
          <w:rFonts w:ascii="Arial Narrow" w:hAnsi="Arial Narrow"/>
        </w:rPr>
        <w:t xml:space="preserve"> </w:t>
      </w:r>
    </w:p>
    <w:p w14:paraId="40BA72FB" w14:textId="77777777" w:rsidR="00714D18" w:rsidRPr="0039576C" w:rsidRDefault="00714D18" w:rsidP="00714D18">
      <w:pPr>
        <w:jc w:val="both"/>
        <w:rPr>
          <w:rFonts w:ascii="Arial Narrow" w:hAnsi="Arial Narrow"/>
        </w:rPr>
      </w:pPr>
    </w:p>
    <w:p w14:paraId="4BD9E6F1"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An owner has the right to request alternative dispute resolution with a neutral third party pursuant to Civil Code Section </w:t>
      </w:r>
      <w:r>
        <w:rPr>
          <w:rFonts w:ascii="Arial Narrow" w:hAnsi="Arial Narrow"/>
        </w:rPr>
        <w:t>5925</w:t>
      </w:r>
      <w:r w:rsidRPr="0039576C">
        <w:rPr>
          <w:rFonts w:ascii="Arial Narrow" w:hAnsi="Arial Narrow"/>
        </w:rPr>
        <w:t xml:space="preserve"> </w:t>
      </w:r>
      <w:r w:rsidRPr="0039576C">
        <w:rPr>
          <w:rFonts w:ascii="Arial Narrow" w:hAnsi="Arial Narrow"/>
          <w:i/>
        </w:rPr>
        <w:t>et seq</w:t>
      </w:r>
      <w:r w:rsidRPr="0039576C">
        <w:rPr>
          <w:rFonts w:ascii="Arial Narrow" w:hAnsi="Arial Narrow"/>
        </w:rPr>
        <w:t>. before the association may initiate foreclosure against the owner’s separate interest, except that binding arbitration shall not be available if the Association intends to initiate a judicial foreclosure.</w:t>
      </w:r>
    </w:p>
    <w:p w14:paraId="017D8AA4" w14:textId="77777777" w:rsidR="00714D18" w:rsidRPr="0039576C" w:rsidRDefault="00714D18" w:rsidP="00714D18">
      <w:pPr>
        <w:ind w:left="720" w:hanging="720"/>
        <w:jc w:val="both"/>
        <w:rPr>
          <w:rFonts w:ascii="Arial Narrow" w:hAnsi="Arial Narrow"/>
        </w:rPr>
      </w:pPr>
    </w:p>
    <w:p w14:paraId="483C55F2"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bookmarkStart w:id="0" w:name="OLE_LINK1"/>
      <w:r w:rsidRPr="0039576C">
        <w:rPr>
          <w:rFonts w:ascii="Arial Narrow" w:hAnsi="Arial Narrow"/>
        </w:rPr>
        <w:t xml:space="preserve">Any owner who is unable to pay assessments will be entitled to make a written request for a payment plan to ALS to be considered by the Board of Directors. An owner may also request to meet with the Board in executive session to discuss a payment plan if the payment plan request is mailed within fifteen (15) days of the postmark date of the pre-lien Letter.  The Board will consider payment plan requests on a case-by-case basis and is under no obligation to grant payment plan requests. Payment plans shall not interfere with the Association’s ability to record a lien on an owner’s separate interest to secure payment for the owner’s delinquent assessments.  If the Board authorizes a payment plan, it may incorporate payment of ongoing assessments that accrue during the payment plan period.  If a payment plan is approved, additional late fees from the homeowner will not accrue while the owner remains current under the terms of the payment plan.  If the owner breaches an approved payment plan, the Association may resume its collection action from the time the payment plan was approved.  </w:t>
      </w:r>
    </w:p>
    <w:bookmarkEnd w:id="0"/>
    <w:p w14:paraId="4DBA10BD" w14:textId="77777777" w:rsidR="00714D18" w:rsidRPr="0039576C" w:rsidRDefault="00714D18" w:rsidP="00714D18">
      <w:pPr>
        <w:ind w:left="720" w:hanging="720"/>
        <w:jc w:val="both"/>
        <w:rPr>
          <w:rFonts w:ascii="Arial Narrow" w:hAnsi="Arial Narrow"/>
        </w:rPr>
      </w:pPr>
    </w:p>
    <w:p w14:paraId="7620F035"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Nothing herein limits or otherwise affects the Association’s right to proceed in any lawful manner to collect any delinquent sums owed to the Association.</w:t>
      </w:r>
    </w:p>
    <w:p w14:paraId="68AC2161" w14:textId="77777777" w:rsidR="00714D18" w:rsidRPr="0039576C" w:rsidRDefault="00714D18" w:rsidP="00714D18">
      <w:pPr>
        <w:ind w:left="720" w:hanging="720"/>
        <w:jc w:val="both"/>
        <w:rPr>
          <w:rFonts w:ascii="Arial Narrow" w:hAnsi="Arial Narrow"/>
        </w:rPr>
      </w:pPr>
    </w:p>
    <w:p w14:paraId="2E897775"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Prior to the release of any lien, or dismissal of any legal action, all assessments, late charges, interest, and costs of collection, including attorneys’ fees, must be paid in full to the Association.</w:t>
      </w:r>
    </w:p>
    <w:p w14:paraId="6AB88896" w14:textId="77777777" w:rsidR="00714D18" w:rsidRPr="0039576C" w:rsidRDefault="00714D18" w:rsidP="00714D18">
      <w:pPr>
        <w:jc w:val="both"/>
        <w:rPr>
          <w:rFonts w:ascii="Arial Narrow" w:hAnsi="Arial Narrow"/>
        </w:rPr>
      </w:pPr>
    </w:p>
    <w:p w14:paraId="445CCE77"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 xml:space="preserve">There is no right of offset.  An owner may not withhold assessments owed to the Association on the alleged grounds that the owner is entitled to recover money or damages from the Association for some other obligation. </w:t>
      </w:r>
    </w:p>
    <w:p w14:paraId="37697B41" w14:textId="77777777" w:rsidR="00714D18" w:rsidRPr="0039576C" w:rsidRDefault="00714D18" w:rsidP="00714D18">
      <w:pPr>
        <w:ind w:left="720" w:hanging="720"/>
        <w:jc w:val="both"/>
        <w:rPr>
          <w:rFonts w:ascii="Arial Narrow" w:hAnsi="Arial Narrow"/>
        </w:rPr>
      </w:pPr>
    </w:p>
    <w:p w14:paraId="64AA4627" w14:textId="4C881985"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The Association shall charge the ow</w:t>
      </w:r>
      <w:r>
        <w:rPr>
          <w:rFonts w:ascii="Arial Narrow" w:hAnsi="Arial Narrow"/>
        </w:rPr>
        <w:t>ner a T</w:t>
      </w:r>
      <w:r w:rsidR="00BE25A9">
        <w:rPr>
          <w:rFonts w:ascii="Arial Narrow" w:hAnsi="Arial Narrow"/>
        </w:rPr>
        <w:t>hirty</w:t>
      </w:r>
      <w:r>
        <w:rPr>
          <w:rFonts w:ascii="Arial Narrow" w:hAnsi="Arial Narrow"/>
        </w:rPr>
        <w:t xml:space="preserve"> Dollar ($</w:t>
      </w:r>
      <w:r w:rsidR="00BE25A9">
        <w:rPr>
          <w:rFonts w:ascii="Arial Narrow" w:hAnsi="Arial Narrow"/>
        </w:rPr>
        <w:t>30</w:t>
      </w:r>
      <w:r w:rsidRPr="0039576C">
        <w:rPr>
          <w:rFonts w:ascii="Arial Narrow" w:hAnsi="Arial Narrow"/>
        </w:rPr>
        <w:t>) fee for the first check tendered to the Association that is returned unpaid by the owner’s ban</w:t>
      </w:r>
      <w:r>
        <w:rPr>
          <w:rFonts w:ascii="Arial Narrow" w:hAnsi="Arial Narrow"/>
        </w:rPr>
        <w:t>k and Thirty-Five Dollars ($35</w:t>
      </w:r>
      <w:r w:rsidRPr="0039576C">
        <w:rPr>
          <w:rFonts w:ascii="Arial Narrow" w:hAnsi="Arial Narrow"/>
        </w:rPr>
        <w:t>) for each subsequent check passed on insufficient funds.  If the check cannot be negotiated, the Association may also seek to recover damages of at le</w:t>
      </w:r>
      <w:r>
        <w:rPr>
          <w:rFonts w:ascii="Arial Narrow" w:hAnsi="Arial Narrow"/>
        </w:rPr>
        <w:t>ast One Hundred Dollars ($100</w:t>
      </w:r>
      <w:r w:rsidRPr="0039576C">
        <w:rPr>
          <w:rFonts w:ascii="Arial Narrow" w:hAnsi="Arial Narrow"/>
        </w:rPr>
        <w:t>), or, if higher, three (3) times the amount of the check up to One Thousand,</w:t>
      </w:r>
      <w:r>
        <w:rPr>
          <w:rFonts w:ascii="Arial Narrow" w:hAnsi="Arial Narrow"/>
        </w:rPr>
        <w:t xml:space="preserve"> Five Hundred Dollars ($1,500</w:t>
      </w:r>
      <w:r w:rsidRPr="0039576C">
        <w:rPr>
          <w:rFonts w:ascii="Arial Narrow" w:hAnsi="Arial Narrow"/>
        </w:rPr>
        <w:t>) pursuant to Civil Code Section 1719.</w:t>
      </w:r>
    </w:p>
    <w:p w14:paraId="73522254" w14:textId="77777777" w:rsidR="00714D18" w:rsidRPr="0039576C" w:rsidRDefault="00714D18" w:rsidP="00714D18">
      <w:pPr>
        <w:ind w:left="720" w:hanging="720"/>
        <w:jc w:val="both"/>
        <w:rPr>
          <w:rFonts w:ascii="Arial Narrow" w:hAnsi="Arial Narrow"/>
        </w:rPr>
      </w:pPr>
    </w:p>
    <w:p w14:paraId="30FBDA64" w14:textId="472BF8AB" w:rsidR="00714D18"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Owners have the right to provide a secondary address for mailing for purposes of collection to the Association. The owner’s request shall be in writing and shall be mailed to the Association in a way that shall indicate that the Association has received it. An owner may identify or change a secondary address at any time, provided that, if a secondary address is identified or changed during the collection process, the Association shall only be required to send notices to the indicated secondary address from the point the Association receives the request.</w:t>
      </w:r>
    </w:p>
    <w:p w14:paraId="48F5FB21" w14:textId="77777777" w:rsidR="00714D18" w:rsidRPr="0039576C" w:rsidRDefault="00714D18" w:rsidP="00714D18">
      <w:pPr>
        <w:numPr>
          <w:ilvl w:val="0"/>
          <w:numId w:val="12"/>
        </w:numPr>
        <w:tabs>
          <w:tab w:val="clear" w:pos="1440"/>
          <w:tab w:val="num" w:pos="720"/>
        </w:tabs>
        <w:ind w:left="720" w:hanging="720"/>
        <w:jc w:val="both"/>
        <w:rPr>
          <w:rFonts w:ascii="Arial Narrow" w:hAnsi="Arial Narrow"/>
        </w:rPr>
      </w:pPr>
      <w:r w:rsidRPr="0039576C">
        <w:rPr>
          <w:rFonts w:ascii="Arial Narrow" w:hAnsi="Arial Narrow"/>
        </w:rPr>
        <w:t>All charges listed herein are subject to change upon thirty (30) days’ prior written notice.</w:t>
      </w:r>
    </w:p>
    <w:p w14:paraId="1FB001CC" w14:textId="77777777" w:rsidR="00714D18" w:rsidRPr="0039576C" w:rsidRDefault="00714D18" w:rsidP="00714D18">
      <w:pPr>
        <w:ind w:left="720" w:hanging="720"/>
        <w:jc w:val="both"/>
        <w:rPr>
          <w:rFonts w:ascii="Arial Narrow" w:hAnsi="Arial Narrow"/>
        </w:rPr>
      </w:pPr>
    </w:p>
    <w:p w14:paraId="3E41BCA9" w14:textId="77777777" w:rsidR="00714D18" w:rsidRPr="0039576C" w:rsidRDefault="00714D18" w:rsidP="00714D18">
      <w:pPr>
        <w:numPr>
          <w:ilvl w:val="0"/>
          <w:numId w:val="12"/>
        </w:numPr>
        <w:tabs>
          <w:tab w:val="clear" w:pos="1440"/>
          <w:tab w:val="num" w:pos="720"/>
        </w:tabs>
        <w:ind w:left="720" w:hanging="720"/>
        <w:rPr>
          <w:rFonts w:ascii="Arial Narrow" w:hAnsi="Arial Narrow"/>
          <w:color w:val="000000"/>
        </w:rPr>
      </w:pPr>
      <w:r w:rsidRPr="0039576C">
        <w:rPr>
          <w:rFonts w:ascii="Arial Narrow" w:hAnsi="Arial Narrow"/>
        </w:rPr>
        <w:t xml:space="preserve">Until the owner has paid all amounts due, including delinquent assessments, late charges, </w:t>
      </w:r>
      <w:proofErr w:type="gramStart"/>
      <w:r w:rsidRPr="0039576C">
        <w:rPr>
          <w:rFonts w:ascii="Arial Narrow" w:hAnsi="Arial Narrow"/>
        </w:rPr>
        <w:t>interest</w:t>
      </w:r>
      <w:proofErr w:type="gramEnd"/>
      <w:r w:rsidRPr="0039576C">
        <w:rPr>
          <w:rFonts w:ascii="Arial Narrow" w:hAnsi="Arial Narrow"/>
        </w:rPr>
        <w:t xml:space="preserve"> and costs of collection, including attorneys’ fees, the Board of Directors may suspend the owner’s right to vote, and suspend the owner’s right to use the Association’s recreational facilities after providing the owner with a duly noticed hearing pursua</w:t>
      </w:r>
      <w:r>
        <w:rPr>
          <w:rFonts w:ascii="Arial Narrow" w:hAnsi="Arial Narrow"/>
        </w:rPr>
        <w:t>nt to Civil Code Section 5125</w:t>
      </w:r>
      <w:r w:rsidRPr="0039576C">
        <w:rPr>
          <w:rFonts w:ascii="Arial Narrow" w:hAnsi="Arial Narrow"/>
        </w:rPr>
        <w:t xml:space="preserve">.  However, any suspension imposed shall not prevent the delinquent owner from the use, </w:t>
      </w:r>
      <w:proofErr w:type="gramStart"/>
      <w:r w:rsidRPr="0039576C">
        <w:rPr>
          <w:rFonts w:ascii="Arial Narrow" w:hAnsi="Arial Narrow"/>
        </w:rPr>
        <w:t>benefit</w:t>
      </w:r>
      <w:proofErr w:type="gramEnd"/>
      <w:r w:rsidRPr="0039576C">
        <w:rPr>
          <w:rFonts w:ascii="Arial Narrow" w:hAnsi="Arial Narrow"/>
        </w:rPr>
        <w:t xml:space="preserve"> and pleasure of the owner’s lot.  </w:t>
      </w:r>
    </w:p>
    <w:p w14:paraId="7AEF7928" w14:textId="77777777" w:rsidR="00714D18" w:rsidRPr="0039576C" w:rsidRDefault="00714D18" w:rsidP="00714D18">
      <w:pPr>
        <w:ind w:left="720" w:hanging="720"/>
        <w:jc w:val="both"/>
        <w:rPr>
          <w:rFonts w:ascii="Arial Narrow" w:hAnsi="Arial Narrow"/>
          <w:b/>
        </w:rPr>
      </w:pPr>
    </w:p>
    <w:p w14:paraId="5007E499" w14:textId="77777777" w:rsidR="00714D18" w:rsidRPr="001C6C51" w:rsidRDefault="00714D18" w:rsidP="00714D18">
      <w:pPr>
        <w:numPr>
          <w:ilvl w:val="0"/>
          <w:numId w:val="12"/>
        </w:numPr>
        <w:tabs>
          <w:tab w:val="clear" w:pos="1440"/>
          <w:tab w:val="num" w:pos="720"/>
        </w:tabs>
        <w:ind w:left="720" w:hanging="720"/>
        <w:jc w:val="both"/>
        <w:rPr>
          <w:rFonts w:ascii="Arial Narrow" w:hAnsi="Arial Narrow"/>
          <w:color w:val="000000"/>
        </w:rPr>
      </w:pPr>
      <w:r>
        <w:rPr>
          <w:rFonts w:ascii="Arial Narrow" w:hAnsi="Arial Narrow"/>
          <w:b/>
        </w:rPr>
        <w:t>O</w:t>
      </w:r>
      <w:r w:rsidRPr="0039576C">
        <w:rPr>
          <w:rFonts w:ascii="Arial Narrow" w:hAnsi="Arial Narrow"/>
          <w:b/>
        </w:rPr>
        <w:t xml:space="preserve">vernight </w:t>
      </w:r>
      <w:r>
        <w:rPr>
          <w:rFonts w:ascii="Arial Narrow" w:hAnsi="Arial Narrow"/>
          <w:b/>
        </w:rPr>
        <w:t xml:space="preserve">mailing address assessments </w:t>
      </w:r>
      <w:proofErr w:type="gramStart"/>
      <w:r>
        <w:rPr>
          <w:rFonts w:ascii="Arial Narrow" w:hAnsi="Arial Narrow"/>
          <w:b/>
        </w:rPr>
        <w:t>is:</w:t>
      </w:r>
      <w:proofErr w:type="gramEnd"/>
      <w:r>
        <w:rPr>
          <w:rFonts w:ascii="Arial Narrow" w:hAnsi="Arial Narrow"/>
          <w:b/>
        </w:rPr>
        <w:t xml:space="preserve"> </w:t>
      </w:r>
      <w:r w:rsidRPr="001C6C51">
        <w:rPr>
          <w:rFonts w:ascii="Arial Narrow" w:hAnsi="Arial Narrow"/>
          <w:b/>
        </w:rPr>
        <w:t>Davis Stirling Management Corp, 530 El Camino Real #100, Burlingame, CA 94010</w:t>
      </w:r>
    </w:p>
    <w:p w14:paraId="59D99F2B" w14:textId="77777777" w:rsidR="00714D18" w:rsidRPr="004D2816" w:rsidRDefault="00714D18" w:rsidP="00714D18">
      <w:pPr>
        <w:rPr>
          <w:b/>
          <w:color w:val="000000"/>
          <w:spacing w:val="-2"/>
          <w:sz w:val="24"/>
          <w:szCs w:val="24"/>
          <w:u w:val="single"/>
        </w:rPr>
      </w:pPr>
      <w:r>
        <w:rPr>
          <w:rFonts w:ascii="Arial Narrow" w:hAnsi="Arial Narrow"/>
          <w:color w:val="000000"/>
        </w:rPr>
        <w:br w:type="page"/>
      </w:r>
      <w:r w:rsidRPr="004D2816">
        <w:rPr>
          <w:b/>
          <w:color w:val="000000"/>
          <w:spacing w:val="-2"/>
          <w:u w:val="single"/>
        </w:rPr>
        <w:lastRenderedPageBreak/>
        <w:t>SUMMARY OF ALTERNATIVE DISPUTE RESOLUTION REQUIREMENTS</w:t>
      </w:r>
      <w:r w:rsidRPr="004D2816">
        <w:rPr>
          <w:b/>
          <w:color w:val="000000"/>
          <w:spacing w:val="-2"/>
          <w:sz w:val="24"/>
          <w:szCs w:val="24"/>
        </w:rPr>
        <w:t xml:space="preserve">  </w:t>
      </w:r>
      <w:r>
        <w:rPr>
          <w:sz w:val="16"/>
          <w:szCs w:val="16"/>
        </w:rPr>
        <w:t>(Civil Code Section 5920 and 5965</w:t>
      </w:r>
      <w:r w:rsidRPr="004D2816">
        <w:rPr>
          <w:sz w:val="16"/>
          <w:szCs w:val="16"/>
        </w:rPr>
        <w:t>)</w:t>
      </w:r>
    </w:p>
    <w:p w14:paraId="0CBC0972" w14:textId="77777777" w:rsidR="00714D18" w:rsidRPr="004D2816" w:rsidRDefault="00714D18" w:rsidP="00714D18">
      <w:pPr>
        <w:pStyle w:val="NoSpacing"/>
        <w:jc w:val="center"/>
        <w:rPr>
          <w:rFonts w:ascii="Times New Roman" w:hAnsi="Times New Roman"/>
        </w:rPr>
      </w:pPr>
    </w:p>
    <w:p w14:paraId="24C2FF35" w14:textId="77777777" w:rsidR="00714D18" w:rsidRPr="004D2816" w:rsidRDefault="00714D18" w:rsidP="00714D18">
      <w:pPr>
        <w:numPr>
          <w:ilvl w:val="0"/>
          <w:numId w:val="13"/>
        </w:numPr>
        <w:rPr>
          <w:sz w:val="19"/>
          <w:szCs w:val="19"/>
        </w:rPr>
      </w:pPr>
      <w:r w:rsidRPr="004D2816">
        <w:rPr>
          <w:sz w:val="19"/>
          <w:szCs w:val="19"/>
        </w:rPr>
        <w:t>An association, owner or member of an association may not file an action in Superior Court seeking either: (a) declaratory or injunctive relief to enforce the governing documents, the Davis-Sterling Common Interest Development Act, or the Corporations Code, or (b) in conjunction with a claim for $7,500 or less (other than assessments), unless the parties have endeavored to submit their dispute to alternative dispute resolution (ADR), which includes mediation, arbitration, conciliation, or other nonjudicial procedure that involves a neutral party in the decision making process.  The ADR process may be binding or non-binding.</w:t>
      </w:r>
    </w:p>
    <w:p w14:paraId="67C54ED9" w14:textId="77777777" w:rsidR="00714D18" w:rsidRPr="004D2816" w:rsidRDefault="00714D18" w:rsidP="00714D18">
      <w:pPr>
        <w:numPr>
          <w:ilvl w:val="0"/>
          <w:numId w:val="13"/>
        </w:numPr>
        <w:rPr>
          <w:sz w:val="19"/>
          <w:szCs w:val="19"/>
        </w:rPr>
      </w:pPr>
      <w:r w:rsidRPr="004D2816">
        <w:rPr>
          <w:sz w:val="19"/>
          <w:szCs w:val="19"/>
        </w:rPr>
        <w:t>This requirement does not apply to disputes within the jurisdiction of the Small Claims Court or disputes over assessments.</w:t>
      </w:r>
    </w:p>
    <w:p w14:paraId="176EB653" w14:textId="77777777" w:rsidR="00714D18" w:rsidRPr="004D2816" w:rsidRDefault="00714D18" w:rsidP="00714D18">
      <w:pPr>
        <w:numPr>
          <w:ilvl w:val="0"/>
          <w:numId w:val="13"/>
        </w:numPr>
        <w:rPr>
          <w:sz w:val="19"/>
          <w:szCs w:val="19"/>
        </w:rPr>
      </w:pPr>
      <w:r w:rsidRPr="004D2816">
        <w:rPr>
          <w:sz w:val="19"/>
          <w:szCs w:val="19"/>
        </w:rPr>
        <w:t xml:space="preserve">The ADR process is commenced by one party serving the other party with a Request </w:t>
      </w:r>
      <w:proofErr w:type="gramStart"/>
      <w:r w:rsidRPr="004D2816">
        <w:rPr>
          <w:sz w:val="19"/>
          <w:szCs w:val="19"/>
        </w:rPr>
        <w:t>For</w:t>
      </w:r>
      <w:proofErr w:type="gramEnd"/>
      <w:r w:rsidRPr="004D2816">
        <w:rPr>
          <w:sz w:val="19"/>
          <w:szCs w:val="19"/>
        </w:rPr>
        <w:t xml:space="preserve"> Resolution.  It must contain the following:</w:t>
      </w:r>
    </w:p>
    <w:p w14:paraId="0D553951" w14:textId="77777777" w:rsidR="00714D18" w:rsidRPr="004D2816" w:rsidRDefault="00714D18" w:rsidP="00714D18">
      <w:pPr>
        <w:numPr>
          <w:ilvl w:val="1"/>
          <w:numId w:val="13"/>
        </w:numPr>
        <w:rPr>
          <w:sz w:val="19"/>
          <w:szCs w:val="19"/>
        </w:rPr>
      </w:pPr>
      <w:r w:rsidRPr="004D2816">
        <w:rPr>
          <w:sz w:val="19"/>
          <w:szCs w:val="19"/>
        </w:rPr>
        <w:t xml:space="preserve">A brief description of the </w:t>
      </w:r>
      <w:proofErr w:type="gramStart"/>
      <w:r w:rsidRPr="004D2816">
        <w:rPr>
          <w:sz w:val="19"/>
          <w:szCs w:val="19"/>
        </w:rPr>
        <w:t>dispute;</w:t>
      </w:r>
      <w:proofErr w:type="gramEnd"/>
    </w:p>
    <w:p w14:paraId="19847D85" w14:textId="77777777" w:rsidR="00714D18" w:rsidRPr="004D2816" w:rsidRDefault="00714D18" w:rsidP="00714D18">
      <w:pPr>
        <w:numPr>
          <w:ilvl w:val="1"/>
          <w:numId w:val="13"/>
        </w:numPr>
        <w:rPr>
          <w:sz w:val="19"/>
          <w:szCs w:val="19"/>
        </w:rPr>
      </w:pPr>
      <w:r w:rsidRPr="004D2816">
        <w:rPr>
          <w:sz w:val="19"/>
          <w:szCs w:val="19"/>
        </w:rPr>
        <w:t>A request for ADR; and</w:t>
      </w:r>
    </w:p>
    <w:p w14:paraId="0AD0076D" w14:textId="77777777" w:rsidR="00714D18" w:rsidRPr="004D2816" w:rsidRDefault="00714D18" w:rsidP="00714D18">
      <w:pPr>
        <w:numPr>
          <w:ilvl w:val="1"/>
          <w:numId w:val="13"/>
        </w:numPr>
        <w:rPr>
          <w:sz w:val="19"/>
          <w:szCs w:val="19"/>
        </w:rPr>
      </w:pPr>
      <w:r w:rsidRPr="004D2816">
        <w:rPr>
          <w:sz w:val="19"/>
          <w:szCs w:val="19"/>
        </w:rPr>
        <w:t xml:space="preserve">A notice that the party receiving the Request </w:t>
      </w:r>
      <w:proofErr w:type="gramStart"/>
      <w:r w:rsidRPr="004D2816">
        <w:rPr>
          <w:sz w:val="19"/>
          <w:szCs w:val="19"/>
        </w:rPr>
        <w:t>For</w:t>
      </w:r>
      <w:proofErr w:type="gramEnd"/>
      <w:r w:rsidRPr="004D2816">
        <w:rPr>
          <w:sz w:val="19"/>
          <w:szCs w:val="19"/>
        </w:rPr>
        <w:t xml:space="preserve"> Resolution must respond within 30 days or the Request For Resolution will be deemed rejected.</w:t>
      </w:r>
    </w:p>
    <w:p w14:paraId="69B9853C" w14:textId="77777777" w:rsidR="00714D18" w:rsidRPr="004D2816" w:rsidRDefault="00714D18" w:rsidP="00714D18">
      <w:pPr>
        <w:numPr>
          <w:ilvl w:val="1"/>
          <w:numId w:val="13"/>
        </w:numPr>
        <w:rPr>
          <w:sz w:val="19"/>
          <w:szCs w:val="19"/>
        </w:rPr>
      </w:pPr>
      <w:r w:rsidRPr="004D2816">
        <w:rPr>
          <w:sz w:val="19"/>
          <w:szCs w:val="19"/>
        </w:rPr>
        <w:t xml:space="preserve">If the person on whom the Request </w:t>
      </w:r>
      <w:proofErr w:type="gramStart"/>
      <w:r w:rsidRPr="004D2816">
        <w:rPr>
          <w:sz w:val="19"/>
          <w:szCs w:val="19"/>
        </w:rPr>
        <w:t>For</w:t>
      </w:r>
      <w:proofErr w:type="gramEnd"/>
      <w:r w:rsidRPr="004D2816">
        <w:rPr>
          <w:sz w:val="19"/>
          <w:szCs w:val="19"/>
        </w:rPr>
        <w:t xml:space="preserve"> Resolution is served is an owner, a copy of the statutes governing ADR.  </w:t>
      </w:r>
    </w:p>
    <w:p w14:paraId="0D39482F" w14:textId="77777777" w:rsidR="00714D18" w:rsidRPr="004D2816" w:rsidRDefault="00714D18" w:rsidP="00714D18">
      <w:pPr>
        <w:numPr>
          <w:ilvl w:val="1"/>
          <w:numId w:val="13"/>
        </w:numPr>
        <w:rPr>
          <w:sz w:val="19"/>
          <w:szCs w:val="19"/>
        </w:rPr>
      </w:pPr>
      <w:r w:rsidRPr="004D2816">
        <w:rPr>
          <w:sz w:val="19"/>
          <w:szCs w:val="19"/>
        </w:rPr>
        <w:t xml:space="preserve">Service of the Request </w:t>
      </w:r>
      <w:proofErr w:type="gramStart"/>
      <w:r w:rsidRPr="004D2816">
        <w:rPr>
          <w:sz w:val="19"/>
          <w:szCs w:val="19"/>
        </w:rPr>
        <w:t>For</w:t>
      </w:r>
      <w:proofErr w:type="gramEnd"/>
      <w:r w:rsidRPr="004D2816">
        <w:rPr>
          <w:sz w:val="19"/>
          <w:szCs w:val="19"/>
        </w:rPr>
        <w:t xml:space="preserve"> Resolution may be by personal delivery, first-class mail, express mail, facsimile or other means reasonable calculated to give the other party actual notice.</w:t>
      </w:r>
    </w:p>
    <w:p w14:paraId="6992F070" w14:textId="77777777" w:rsidR="00714D18" w:rsidRPr="004D2816" w:rsidRDefault="00714D18" w:rsidP="00714D18">
      <w:pPr>
        <w:numPr>
          <w:ilvl w:val="1"/>
          <w:numId w:val="13"/>
        </w:numPr>
        <w:rPr>
          <w:sz w:val="19"/>
          <w:szCs w:val="19"/>
        </w:rPr>
      </w:pPr>
      <w:r w:rsidRPr="004D2816">
        <w:rPr>
          <w:sz w:val="19"/>
          <w:szCs w:val="19"/>
        </w:rPr>
        <w:t xml:space="preserve">A party served with a Request </w:t>
      </w:r>
      <w:proofErr w:type="gramStart"/>
      <w:r w:rsidRPr="004D2816">
        <w:rPr>
          <w:sz w:val="19"/>
          <w:szCs w:val="19"/>
        </w:rPr>
        <w:t>For</w:t>
      </w:r>
      <w:proofErr w:type="gramEnd"/>
      <w:r w:rsidRPr="004D2816">
        <w:rPr>
          <w:sz w:val="19"/>
          <w:szCs w:val="19"/>
        </w:rPr>
        <w:t xml:space="preserve"> Resolution has 30 days to accept or reject the request.  Failure to accept or reject is deemed a rejection.</w:t>
      </w:r>
    </w:p>
    <w:p w14:paraId="451EEFD3" w14:textId="77777777" w:rsidR="00714D18" w:rsidRPr="004D2816" w:rsidRDefault="00714D18" w:rsidP="00714D18">
      <w:pPr>
        <w:numPr>
          <w:ilvl w:val="0"/>
          <w:numId w:val="13"/>
        </w:numPr>
        <w:rPr>
          <w:sz w:val="19"/>
          <w:szCs w:val="19"/>
        </w:rPr>
      </w:pPr>
      <w:r w:rsidRPr="004D2816">
        <w:rPr>
          <w:sz w:val="19"/>
          <w:szCs w:val="19"/>
        </w:rPr>
        <w:t xml:space="preserve">If the Request </w:t>
      </w:r>
      <w:proofErr w:type="gramStart"/>
      <w:r w:rsidRPr="004D2816">
        <w:rPr>
          <w:sz w:val="19"/>
          <w:szCs w:val="19"/>
        </w:rPr>
        <w:t>For</w:t>
      </w:r>
      <w:proofErr w:type="gramEnd"/>
      <w:r w:rsidRPr="004D2816">
        <w:rPr>
          <w:sz w:val="19"/>
          <w:szCs w:val="19"/>
        </w:rPr>
        <w:t xml:space="preserve"> Resolution is accepted, ADR must be completed within 90 days from the date of acceptance.  The deadline can be extended by a written agreement among all parties.</w:t>
      </w:r>
    </w:p>
    <w:p w14:paraId="4EE34426" w14:textId="77777777" w:rsidR="00714D18" w:rsidRPr="004D2816" w:rsidRDefault="00714D18" w:rsidP="00714D18">
      <w:pPr>
        <w:numPr>
          <w:ilvl w:val="0"/>
          <w:numId w:val="13"/>
        </w:numPr>
        <w:rPr>
          <w:sz w:val="19"/>
          <w:szCs w:val="19"/>
        </w:rPr>
      </w:pPr>
      <w:r w:rsidRPr="004D2816">
        <w:rPr>
          <w:sz w:val="19"/>
          <w:szCs w:val="19"/>
        </w:rPr>
        <w:t>The costs of ADR shall be shared by the parties.</w:t>
      </w:r>
    </w:p>
    <w:p w14:paraId="7FBA3F1E" w14:textId="77777777" w:rsidR="00714D18" w:rsidRPr="004D2816" w:rsidRDefault="00714D18" w:rsidP="00714D18">
      <w:pPr>
        <w:numPr>
          <w:ilvl w:val="0"/>
          <w:numId w:val="13"/>
        </w:numPr>
        <w:rPr>
          <w:sz w:val="19"/>
          <w:szCs w:val="19"/>
        </w:rPr>
      </w:pPr>
      <w:r w:rsidRPr="004D2816">
        <w:rPr>
          <w:sz w:val="19"/>
          <w:szCs w:val="19"/>
        </w:rPr>
        <w:t>The time to file a civil action is suspended while ADR is pending.</w:t>
      </w:r>
    </w:p>
    <w:p w14:paraId="27144F85" w14:textId="77777777" w:rsidR="00714D18" w:rsidRPr="004D2816" w:rsidRDefault="00714D18" w:rsidP="00714D18">
      <w:pPr>
        <w:numPr>
          <w:ilvl w:val="0"/>
          <w:numId w:val="13"/>
        </w:numPr>
        <w:rPr>
          <w:sz w:val="19"/>
          <w:szCs w:val="19"/>
        </w:rPr>
      </w:pPr>
      <w:r w:rsidRPr="004D2816">
        <w:rPr>
          <w:sz w:val="19"/>
          <w:szCs w:val="19"/>
        </w:rPr>
        <w:t>Refusal to participate in ADR may result in the loss of the right to recover attorney fees in a subsequent Superior Court action.</w:t>
      </w:r>
    </w:p>
    <w:p w14:paraId="513B7144" w14:textId="77777777" w:rsidR="00714D18" w:rsidRPr="004D2816" w:rsidRDefault="00714D18" w:rsidP="00714D18">
      <w:pPr>
        <w:pStyle w:val="NoSpacing"/>
        <w:rPr>
          <w:rFonts w:ascii="Times New Roman" w:hAnsi="Times New Roman"/>
          <w:w w:val="105"/>
          <w:sz w:val="18"/>
          <w:szCs w:val="18"/>
        </w:rPr>
      </w:pPr>
    </w:p>
    <w:p w14:paraId="70751045" w14:textId="77777777" w:rsidR="00714D18" w:rsidRPr="004D2816" w:rsidRDefault="00714D18" w:rsidP="00714D18">
      <w:pPr>
        <w:pStyle w:val="NoSpacing"/>
        <w:rPr>
          <w:rFonts w:ascii="Times New Roman" w:hAnsi="Times New Roman"/>
          <w:b/>
          <w:w w:val="105"/>
          <w:sz w:val="18"/>
          <w:szCs w:val="18"/>
        </w:rPr>
      </w:pPr>
      <w:r w:rsidRPr="004D2816">
        <w:rPr>
          <w:rFonts w:ascii="Times New Roman" w:hAnsi="Times New Roman"/>
          <w:b/>
          <w:w w:val="105"/>
          <w:sz w:val="18"/>
          <w:szCs w:val="18"/>
        </w:rPr>
        <w:t xml:space="preserve">FAILURE OF A MEMBER OF THE ASSOCIATION TO COMPLY WITH THE ALTERNATIVE DISPUTE RESOLUTION </w:t>
      </w:r>
      <w:r>
        <w:rPr>
          <w:rFonts w:ascii="Times New Roman" w:hAnsi="Times New Roman"/>
          <w:b/>
          <w:w w:val="105"/>
          <w:sz w:val="18"/>
          <w:szCs w:val="18"/>
        </w:rPr>
        <w:t>REQUIREMENTS OF SECTION 5930</w:t>
      </w:r>
      <w:r w:rsidRPr="004D2816">
        <w:rPr>
          <w:rFonts w:ascii="Times New Roman" w:hAnsi="Times New Roman"/>
          <w:b/>
          <w:w w:val="105"/>
          <w:sz w:val="18"/>
          <w:szCs w:val="18"/>
        </w:rPr>
        <w:t xml:space="preserve"> OF THE CIVIL CODE MAY RESULT IN THE LOSS OF YOUR RIGHT TO SUE THE ASSOCIATION OR ANOTHER MEMBER OF THE ASSOCIATION REGARDING ENFORCEMENT OF THE GOVERNING DOCUMENTS OR THE APPLICABLE LAW.</w:t>
      </w:r>
    </w:p>
    <w:p w14:paraId="55FE2DB6" w14:textId="77777777" w:rsidR="00714D18" w:rsidRPr="004D2816" w:rsidRDefault="00714D18" w:rsidP="00714D18">
      <w:pPr>
        <w:spacing w:before="100" w:beforeAutospacing="1" w:after="100" w:afterAutospacing="1"/>
      </w:pPr>
      <w:r w:rsidRPr="004D2816">
        <w:rPr>
          <w:b/>
          <w:bCs/>
          <w:u w:val="single"/>
        </w:rPr>
        <w:t>INTERNAL DISPUTE RESOLUTION</w:t>
      </w:r>
      <w:r w:rsidRPr="004D2816">
        <w:rPr>
          <w:b/>
          <w:bCs/>
        </w:rPr>
        <w:t xml:space="preserve"> </w:t>
      </w:r>
      <w:r>
        <w:rPr>
          <w:bCs/>
          <w:sz w:val="16"/>
          <w:szCs w:val="16"/>
        </w:rPr>
        <w:t>(Civil Code 5915</w:t>
      </w:r>
      <w:r w:rsidRPr="004D2816">
        <w:rPr>
          <w:bCs/>
          <w:sz w:val="16"/>
          <w:szCs w:val="16"/>
        </w:rPr>
        <w:t>)</w:t>
      </w:r>
      <w:r w:rsidRPr="004D2816">
        <w:rPr>
          <w:b/>
          <w:bCs/>
        </w:rPr>
        <w:t xml:space="preserve"> </w:t>
      </w:r>
    </w:p>
    <w:p w14:paraId="132C88B2" w14:textId="77777777" w:rsidR="00714D18" w:rsidRPr="004D2816" w:rsidRDefault="00714D18" w:rsidP="00714D18">
      <w:pPr>
        <w:numPr>
          <w:ilvl w:val="0"/>
          <w:numId w:val="14"/>
        </w:numPr>
        <w:spacing w:before="100" w:beforeAutospacing="1" w:after="100" w:afterAutospacing="1"/>
        <w:rPr>
          <w:sz w:val="19"/>
          <w:szCs w:val="19"/>
        </w:rPr>
      </w:pPr>
      <w:r w:rsidRPr="004D2816">
        <w:rPr>
          <w:sz w:val="19"/>
          <w:szCs w:val="19"/>
        </w:rPr>
        <w:t xml:space="preserve">Either the association or the member may request that the other side meet and confer </w:t>
      </w:r>
      <w:proofErr w:type="gramStart"/>
      <w:r w:rsidRPr="004D2816">
        <w:rPr>
          <w:sz w:val="19"/>
          <w:szCs w:val="19"/>
        </w:rPr>
        <w:t>in an effort to</w:t>
      </w:r>
      <w:proofErr w:type="gramEnd"/>
      <w:r w:rsidRPr="004D2816">
        <w:rPr>
          <w:sz w:val="19"/>
          <w:szCs w:val="19"/>
        </w:rPr>
        <w:t xml:space="preserve"> resolve the dispute. The request must be in writing. The association may not refuse such a request, and the member may not be charged a fee to participate in the process.</w:t>
      </w:r>
    </w:p>
    <w:p w14:paraId="2E84C585" w14:textId="77777777" w:rsidR="00714D18" w:rsidRPr="004D2816" w:rsidRDefault="00714D18" w:rsidP="00714D18">
      <w:pPr>
        <w:numPr>
          <w:ilvl w:val="0"/>
          <w:numId w:val="14"/>
        </w:numPr>
        <w:spacing w:before="100" w:beforeAutospacing="1" w:after="100" w:afterAutospacing="1"/>
        <w:rPr>
          <w:sz w:val="19"/>
          <w:szCs w:val="19"/>
        </w:rPr>
      </w:pPr>
      <w:r w:rsidRPr="004D2816">
        <w:rPr>
          <w:sz w:val="19"/>
          <w:szCs w:val="19"/>
        </w:rPr>
        <w:t>The association must designate a board member to attend the meet and confer session.</w:t>
      </w:r>
    </w:p>
    <w:p w14:paraId="369A4347" w14:textId="77777777" w:rsidR="00714D18" w:rsidRPr="004D2816" w:rsidRDefault="00714D18" w:rsidP="00714D18">
      <w:pPr>
        <w:numPr>
          <w:ilvl w:val="0"/>
          <w:numId w:val="14"/>
        </w:numPr>
        <w:spacing w:before="100" w:beforeAutospacing="1" w:after="100" w:afterAutospacing="1"/>
        <w:rPr>
          <w:sz w:val="19"/>
          <w:szCs w:val="19"/>
        </w:rPr>
      </w:pPr>
      <w:r w:rsidRPr="004D2816">
        <w:rPr>
          <w:sz w:val="19"/>
          <w:szCs w:val="19"/>
        </w:rPr>
        <w:t xml:space="preserve">The meeting must occur promptly at a mutually convenient time and place. At the meeting, the parties must explain their positions to each other and must confer in good faith </w:t>
      </w:r>
      <w:proofErr w:type="gramStart"/>
      <w:r w:rsidRPr="004D2816">
        <w:rPr>
          <w:sz w:val="19"/>
          <w:szCs w:val="19"/>
        </w:rPr>
        <w:t>in an effort to</w:t>
      </w:r>
      <w:proofErr w:type="gramEnd"/>
      <w:r w:rsidRPr="004D2816">
        <w:rPr>
          <w:sz w:val="19"/>
          <w:szCs w:val="19"/>
        </w:rPr>
        <w:t xml:space="preserve"> resolve the dispute.</w:t>
      </w:r>
    </w:p>
    <w:p w14:paraId="5713CAF7" w14:textId="77777777" w:rsidR="00714D18" w:rsidRPr="004D2816" w:rsidRDefault="00714D18" w:rsidP="00714D18">
      <w:pPr>
        <w:numPr>
          <w:ilvl w:val="0"/>
          <w:numId w:val="14"/>
        </w:numPr>
        <w:spacing w:before="100" w:beforeAutospacing="1" w:after="100" w:afterAutospacing="1"/>
        <w:rPr>
          <w:sz w:val="19"/>
          <w:szCs w:val="19"/>
        </w:rPr>
      </w:pPr>
      <w:r w:rsidRPr="004D2816">
        <w:rPr>
          <w:sz w:val="19"/>
          <w:szCs w:val="19"/>
        </w:rPr>
        <w:t xml:space="preserve">If the parties agree on a resolution of the dispute, the agreement must be put in writing and signed by the parties. The agreement is binding and can be enforced by the courts if: a) it is not in conflict with the law or the governing documents, and b) the association's representative had the authority to </w:t>
      </w:r>
      <w:proofErr w:type="gramStart"/>
      <w:r w:rsidRPr="004D2816">
        <w:rPr>
          <w:sz w:val="19"/>
          <w:szCs w:val="19"/>
        </w:rPr>
        <w:t>enter into</w:t>
      </w:r>
      <w:proofErr w:type="gramEnd"/>
      <w:r w:rsidRPr="004D2816">
        <w:rPr>
          <w:sz w:val="19"/>
          <w:szCs w:val="19"/>
        </w:rPr>
        <w:t xml:space="preserve"> the settlement or the settlement is ratified by the board.</w:t>
      </w:r>
    </w:p>
    <w:p w14:paraId="2D5E4D35" w14:textId="77777777" w:rsidR="00714D18" w:rsidRPr="004D2816" w:rsidRDefault="00714D18" w:rsidP="00714D18">
      <w:pPr>
        <w:spacing w:before="100" w:beforeAutospacing="1" w:after="100" w:afterAutospacing="1"/>
        <w:rPr>
          <w:b/>
          <w:sz w:val="24"/>
          <w:szCs w:val="24"/>
          <w:u w:val="single"/>
        </w:rPr>
      </w:pPr>
      <w:r w:rsidRPr="004D2816">
        <w:rPr>
          <w:b/>
          <w:sz w:val="24"/>
          <w:szCs w:val="24"/>
          <w:u w:val="single"/>
        </w:rPr>
        <w:t>NOTICES TO MEMBERS</w:t>
      </w:r>
    </w:p>
    <w:p w14:paraId="15C4BE2D" w14:textId="77777777" w:rsidR="00001FF1" w:rsidRPr="00EE13AF" w:rsidRDefault="00001FF1" w:rsidP="00001FF1">
      <w:pPr>
        <w:numPr>
          <w:ilvl w:val="0"/>
          <w:numId w:val="15"/>
        </w:numPr>
        <w:rPr>
          <w:sz w:val="19"/>
          <w:szCs w:val="19"/>
        </w:rPr>
      </w:pPr>
      <w:r w:rsidRPr="00EE13AF">
        <w:rPr>
          <w:sz w:val="19"/>
          <w:szCs w:val="19"/>
        </w:rPr>
        <w:t xml:space="preserve">The Board does not anticipate a special assessment(s) </w:t>
      </w:r>
      <w:proofErr w:type="gramStart"/>
      <w:r w:rsidRPr="00EE13AF">
        <w:rPr>
          <w:sz w:val="19"/>
          <w:szCs w:val="19"/>
        </w:rPr>
        <w:t>at this time</w:t>
      </w:r>
      <w:proofErr w:type="gramEnd"/>
      <w:r w:rsidRPr="00EE13AF">
        <w:rPr>
          <w:sz w:val="19"/>
          <w:szCs w:val="19"/>
        </w:rPr>
        <w:t>.</w:t>
      </w:r>
    </w:p>
    <w:p w14:paraId="37C0889C" w14:textId="77777777" w:rsidR="00001FF1" w:rsidRDefault="00001FF1" w:rsidP="00001FF1">
      <w:pPr>
        <w:numPr>
          <w:ilvl w:val="0"/>
          <w:numId w:val="15"/>
        </w:numPr>
        <w:rPr>
          <w:sz w:val="19"/>
          <w:szCs w:val="19"/>
        </w:rPr>
      </w:pPr>
      <w:r w:rsidRPr="00EE13AF">
        <w:rPr>
          <w:sz w:val="19"/>
          <w:szCs w:val="19"/>
        </w:rPr>
        <w:t>Reserve needs were calculated based on reserve study prepared by others.</w:t>
      </w:r>
    </w:p>
    <w:p w14:paraId="70458E5A" w14:textId="77777777" w:rsidR="00001FF1" w:rsidRPr="00EE13AF" w:rsidRDefault="00001FF1" w:rsidP="00001FF1">
      <w:pPr>
        <w:numPr>
          <w:ilvl w:val="0"/>
          <w:numId w:val="15"/>
        </w:numPr>
        <w:rPr>
          <w:sz w:val="19"/>
          <w:szCs w:val="19"/>
        </w:rPr>
      </w:pPr>
      <w:r>
        <w:rPr>
          <w:sz w:val="19"/>
          <w:szCs w:val="19"/>
        </w:rPr>
        <w:t>The Board IS NOT deferring repairs, replacement, or restoration of any major components and has NO outstanding loans.</w:t>
      </w:r>
    </w:p>
    <w:p w14:paraId="3773100D" w14:textId="77777777" w:rsidR="00001FF1" w:rsidRDefault="00001FF1" w:rsidP="00001FF1">
      <w:pPr>
        <w:numPr>
          <w:ilvl w:val="0"/>
          <w:numId w:val="15"/>
        </w:numPr>
        <w:rPr>
          <w:sz w:val="19"/>
          <w:szCs w:val="19"/>
        </w:rPr>
      </w:pPr>
      <w:r w:rsidRPr="001C6C51">
        <w:rPr>
          <w:sz w:val="19"/>
          <w:szCs w:val="19"/>
        </w:rPr>
        <w:t>All members have the right to use a 2</w:t>
      </w:r>
      <w:r w:rsidRPr="001C6C51">
        <w:rPr>
          <w:sz w:val="19"/>
          <w:szCs w:val="19"/>
          <w:vertAlign w:val="superscript"/>
        </w:rPr>
        <w:t>nd</w:t>
      </w:r>
      <w:r w:rsidRPr="001C6C51">
        <w:rPr>
          <w:sz w:val="19"/>
          <w:szCs w:val="19"/>
        </w:rPr>
        <w:t xml:space="preserve"> address and receive copies of minutes of open board meetings, Annual Financial Report, and Annual Statements of Transactions with Interested Persons and of Indemnification which may be obtained by giving </w:t>
      </w:r>
      <w:r w:rsidRPr="001C6C51">
        <w:rPr>
          <w:b/>
          <w:sz w:val="19"/>
          <w:szCs w:val="19"/>
        </w:rPr>
        <w:t>Davis Stirling Management Corp</w:t>
      </w:r>
      <w:r w:rsidRPr="001C6C51">
        <w:rPr>
          <w:sz w:val="19"/>
          <w:szCs w:val="19"/>
        </w:rPr>
        <w:t xml:space="preserve"> written-notice together with postage-paid self-addressed envelopes each year. </w:t>
      </w:r>
    </w:p>
    <w:p w14:paraId="543B9837" w14:textId="5F3ACC43" w:rsidR="00C03BE3" w:rsidRPr="001C6C51" w:rsidRDefault="00C03BE3" w:rsidP="00001FF1">
      <w:pPr>
        <w:numPr>
          <w:ilvl w:val="0"/>
          <w:numId w:val="15"/>
        </w:numPr>
        <w:rPr>
          <w:sz w:val="19"/>
          <w:szCs w:val="19"/>
        </w:rPr>
      </w:pPr>
      <w:r>
        <w:rPr>
          <w:sz w:val="19"/>
          <w:szCs w:val="19"/>
        </w:rPr>
        <w:t xml:space="preserve">Designated recipient to receive official communications </w:t>
      </w:r>
      <w:r w:rsidR="006C12FE">
        <w:rPr>
          <w:sz w:val="19"/>
          <w:szCs w:val="19"/>
        </w:rPr>
        <w:t>and overnight</w:t>
      </w:r>
      <w:r w:rsidR="00B127BB">
        <w:rPr>
          <w:sz w:val="19"/>
          <w:szCs w:val="19"/>
        </w:rPr>
        <w:t xml:space="preserve"> </w:t>
      </w:r>
      <w:r w:rsidR="00842768">
        <w:rPr>
          <w:sz w:val="19"/>
          <w:szCs w:val="19"/>
        </w:rPr>
        <w:t>payments</w:t>
      </w:r>
      <w:r w:rsidR="00B127BB">
        <w:rPr>
          <w:sz w:val="19"/>
          <w:szCs w:val="19"/>
        </w:rPr>
        <w:t xml:space="preserve"> </w:t>
      </w:r>
      <w:r>
        <w:rPr>
          <w:sz w:val="19"/>
          <w:szCs w:val="19"/>
        </w:rPr>
        <w:t xml:space="preserve">to the association: </w:t>
      </w:r>
      <w:r w:rsidRPr="00D14E27">
        <w:rPr>
          <w:b/>
          <w:sz w:val="19"/>
          <w:szCs w:val="19"/>
        </w:rPr>
        <w:t>Davis Stirling Management Corp</w:t>
      </w:r>
      <w:r>
        <w:rPr>
          <w:sz w:val="19"/>
          <w:szCs w:val="19"/>
        </w:rPr>
        <w:t>, 530 El Camino Real #100, Burlingame, CA 94010.</w:t>
      </w:r>
    </w:p>
    <w:p w14:paraId="0D4B597D" w14:textId="437F6DCD" w:rsidR="00001FF1" w:rsidRDefault="00D14E27" w:rsidP="00001FF1">
      <w:pPr>
        <w:numPr>
          <w:ilvl w:val="0"/>
          <w:numId w:val="15"/>
        </w:numPr>
        <w:rPr>
          <w:sz w:val="19"/>
          <w:szCs w:val="19"/>
        </w:rPr>
      </w:pPr>
      <w:r>
        <w:rPr>
          <w:sz w:val="19"/>
          <w:szCs w:val="19"/>
        </w:rPr>
        <w:t xml:space="preserve">Board of Director </w:t>
      </w:r>
      <w:r w:rsidR="00717D63">
        <w:rPr>
          <w:sz w:val="19"/>
          <w:szCs w:val="19"/>
        </w:rPr>
        <w:t xml:space="preserve">Agendas and </w:t>
      </w:r>
      <w:r>
        <w:rPr>
          <w:sz w:val="19"/>
          <w:szCs w:val="19"/>
        </w:rPr>
        <w:t xml:space="preserve">Notices </w:t>
      </w:r>
      <w:r w:rsidR="00001FF1">
        <w:rPr>
          <w:sz w:val="19"/>
          <w:szCs w:val="19"/>
        </w:rPr>
        <w:t>will be posted on bulletin board</w:t>
      </w:r>
      <w:r w:rsidR="00A2275B">
        <w:rPr>
          <w:sz w:val="19"/>
          <w:szCs w:val="19"/>
        </w:rPr>
        <w:t>. Approved</w:t>
      </w:r>
      <w:r w:rsidR="00717D63">
        <w:rPr>
          <w:sz w:val="19"/>
          <w:szCs w:val="19"/>
        </w:rPr>
        <w:t xml:space="preserve"> Minutes and other documents</w:t>
      </w:r>
      <w:r w:rsidR="00D07350">
        <w:rPr>
          <w:sz w:val="19"/>
          <w:szCs w:val="19"/>
        </w:rPr>
        <w:t xml:space="preserve"> may be viewed on Bayview website</w:t>
      </w:r>
      <w:r w:rsidR="00C03BE3">
        <w:rPr>
          <w:sz w:val="19"/>
          <w:szCs w:val="19"/>
        </w:rPr>
        <w:t xml:space="preserve"> </w:t>
      </w:r>
      <w:hyperlink r:id="rId7" w:history="1">
        <w:r w:rsidR="00C03BE3" w:rsidRPr="00ED7D7F">
          <w:rPr>
            <w:rStyle w:val="Hyperlink"/>
            <w:sz w:val="19"/>
            <w:szCs w:val="19"/>
          </w:rPr>
          <w:t>http://bayviewhoa.net</w:t>
        </w:r>
      </w:hyperlink>
      <w:r>
        <w:rPr>
          <w:sz w:val="19"/>
          <w:szCs w:val="19"/>
        </w:rPr>
        <w:t xml:space="preserve">, which </w:t>
      </w:r>
      <w:r w:rsidR="00D07350">
        <w:rPr>
          <w:sz w:val="19"/>
          <w:szCs w:val="19"/>
        </w:rPr>
        <w:t>are</w:t>
      </w:r>
      <w:r>
        <w:rPr>
          <w:sz w:val="19"/>
          <w:szCs w:val="19"/>
        </w:rPr>
        <w:t xml:space="preserve"> the </w:t>
      </w:r>
      <w:r>
        <w:rPr>
          <w:b/>
          <w:sz w:val="19"/>
          <w:szCs w:val="19"/>
        </w:rPr>
        <w:t>General Notice Location</w:t>
      </w:r>
      <w:r w:rsidR="00D07350">
        <w:rPr>
          <w:b/>
          <w:sz w:val="19"/>
          <w:szCs w:val="19"/>
        </w:rPr>
        <w:t>s</w:t>
      </w:r>
      <w:r>
        <w:rPr>
          <w:b/>
          <w:sz w:val="19"/>
          <w:szCs w:val="19"/>
        </w:rPr>
        <w:t>.</w:t>
      </w:r>
      <w:r w:rsidR="00001FF1">
        <w:rPr>
          <w:sz w:val="19"/>
          <w:szCs w:val="19"/>
        </w:rPr>
        <w:t xml:space="preserve">  Members wishing to have them mailed, may provide prepaid postage envelopes.</w:t>
      </w:r>
    </w:p>
    <w:p w14:paraId="1EB4CC48" w14:textId="77777777" w:rsidR="00001FF1" w:rsidRPr="00EE13AF" w:rsidRDefault="00001FF1" w:rsidP="00001FF1">
      <w:pPr>
        <w:numPr>
          <w:ilvl w:val="0"/>
          <w:numId w:val="15"/>
        </w:numPr>
        <w:rPr>
          <w:sz w:val="19"/>
          <w:szCs w:val="19"/>
        </w:rPr>
      </w:pPr>
      <w:r w:rsidRPr="00EE13AF">
        <w:rPr>
          <w:sz w:val="19"/>
          <w:szCs w:val="19"/>
        </w:rPr>
        <w:t xml:space="preserve">No improvements or structure </w:t>
      </w:r>
      <w:r w:rsidRPr="00EE13AF">
        <w:rPr>
          <w:sz w:val="19"/>
          <w:szCs w:val="19"/>
          <w:u w:val="single"/>
        </w:rPr>
        <w:t>of any kind shall</w:t>
      </w:r>
      <w:r w:rsidRPr="00EE13AF">
        <w:rPr>
          <w:sz w:val="19"/>
          <w:szCs w:val="19"/>
        </w:rPr>
        <w:t xml:space="preserve"> be commenced, erected, painted or modified upon, outside, adjacent to or in conjunction with any Residential Unit until approved in writing by the Architectural Control Committee or by the Board of Directors. Noting is to be done within a unit which will change the outward appearance of the building or modify the acoustics of the dwelling which will constitute a nuisance. </w:t>
      </w:r>
    </w:p>
    <w:p w14:paraId="190D9EA8" w14:textId="77777777" w:rsidR="00001FF1" w:rsidRDefault="00001FF1" w:rsidP="00001FF1">
      <w:pPr>
        <w:numPr>
          <w:ilvl w:val="0"/>
          <w:numId w:val="15"/>
        </w:numPr>
        <w:rPr>
          <w:sz w:val="19"/>
          <w:szCs w:val="19"/>
        </w:rPr>
      </w:pPr>
      <w:r w:rsidRPr="00EE13AF">
        <w:rPr>
          <w:sz w:val="19"/>
          <w:szCs w:val="19"/>
        </w:rPr>
        <w:t>If any document utilized in the governance of this association contains any restriction based on race, color, religion, sex, gender, gender identity, gender expression, sexual orientation, familial status, marital status, disability, generic information, national origin, source of income as defined in subdivision (p) of Section 12955, or ancestry, that restriction violates state and federal fair housing laws and is void, and may be removed pursuant to Section 12956.2 of the Government Code.  Lawful restrictions under state and federal law on the age of occupants in senior housing or housing for older persons shall not be construed as restrictions based on familial status.</w:t>
      </w:r>
    </w:p>
    <w:p w14:paraId="3A8C44DC" w14:textId="77777777" w:rsidR="00001FF1" w:rsidRDefault="00001FF1" w:rsidP="00001FF1">
      <w:pPr>
        <w:numPr>
          <w:ilvl w:val="0"/>
          <w:numId w:val="15"/>
        </w:numPr>
        <w:rPr>
          <w:sz w:val="19"/>
          <w:szCs w:val="19"/>
        </w:rPr>
      </w:pPr>
      <w:r>
        <w:rPr>
          <w:sz w:val="19"/>
          <w:szCs w:val="19"/>
        </w:rPr>
        <w:t xml:space="preserve">This development </w:t>
      </w:r>
      <w:r w:rsidRPr="0072787E">
        <w:rPr>
          <w:b/>
          <w:bCs/>
          <w:sz w:val="19"/>
          <w:szCs w:val="19"/>
          <w:u w:val="single"/>
        </w:rPr>
        <w:t>is not</w:t>
      </w:r>
      <w:r>
        <w:rPr>
          <w:sz w:val="19"/>
          <w:szCs w:val="19"/>
        </w:rPr>
        <w:t xml:space="preserve"> a certified Federal Housing Administration or Department of Veterans Affairs project.</w:t>
      </w:r>
    </w:p>
    <w:p w14:paraId="323A7DBF" w14:textId="77777777" w:rsidR="0075557A" w:rsidRDefault="0075557A" w:rsidP="00001FF1">
      <w:pPr>
        <w:numPr>
          <w:ilvl w:val="0"/>
          <w:numId w:val="15"/>
        </w:numPr>
        <w:rPr>
          <w:sz w:val="19"/>
          <w:szCs w:val="19"/>
        </w:rPr>
      </w:pPr>
      <w:r>
        <w:rPr>
          <w:sz w:val="19"/>
          <w:szCs w:val="19"/>
        </w:rPr>
        <w:lastRenderedPageBreak/>
        <w:t xml:space="preserve">Security, safety, and wellbeing are individual </w:t>
      </w:r>
      <w:proofErr w:type="gramStart"/>
      <w:r>
        <w:rPr>
          <w:sz w:val="19"/>
          <w:szCs w:val="19"/>
        </w:rPr>
        <w:t>Members</w:t>
      </w:r>
      <w:proofErr w:type="gramEnd"/>
      <w:r>
        <w:rPr>
          <w:sz w:val="19"/>
          <w:szCs w:val="19"/>
        </w:rPr>
        <w:t xml:space="preserve"> obligations.</w:t>
      </w:r>
    </w:p>
    <w:p w14:paraId="08F6C95A" w14:textId="77777777" w:rsidR="00D14E27" w:rsidRPr="00D14E27" w:rsidRDefault="00001FF1" w:rsidP="00FA00BD">
      <w:pPr>
        <w:numPr>
          <w:ilvl w:val="0"/>
          <w:numId w:val="15"/>
        </w:numPr>
        <w:pBdr>
          <w:top w:val="single" w:sz="4" w:space="1" w:color="auto"/>
          <w:left w:val="single" w:sz="4" w:space="4" w:color="auto"/>
          <w:bottom w:val="single" w:sz="4" w:space="6" w:color="auto"/>
          <w:right w:val="single" w:sz="4" w:space="4" w:color="auto"/>
        </w:pBdr>
        <w:rPr>
          <w:rFonts w:ascii="Arial Narrow" w:hAnsi="Arial Narrow"/>
        </w:rPr>
      </w:pPr>
      <w:r w:rsidRPr="00D14E27">
        <w:rPr>
          <w:rFonts w:ascii="Arial Narrow" w:hAnsi="Arial Narrow"/>
          <w:b/>
          <w:bCs/>
        </w:rPr>
        <w:t xml:space="preserve">Warning:  This Building Contains Chemicals Known to the State of California to Cause Cancer, Birth </w:t>
      </w:r>
      <w:proofErr w:type="gramStart"/>
      <w:r w:rsidRPr="00D14E27">
        <w:rPr>
          <w:rFonts w:ascii="Arial Narrow" w:hAnsi="Arial Narrow"/>
          <w:b/>
          <w:bCs/>
        </w:rPr>
        <w:t>Defects</w:t>
      </w:r>
      <w:proofErr w:type="gramEnd"/>
      <w:r w:rsidRPr="00D14E27">
        <w:rPr>
          <w:rFonts w:ascii="Arial Narrow" w:hAnsi="Arial Narrow"/>
          <w:b/>
          <w:bCs/>
        </w:rPr>
        <w:t xml:space="preserve"> and other Reproductive Harm. </w:t>
      </w:r>
      <w:r w:rsidRPr="00D14E27">
        <w:rPr>
          <w:rFonts w:ascii="Arial Narrow" w:hAnsi="Arial Narrow" w:cs="Arial"/>
          <w:b/>
          <w:bCs/>
        </w:rPr>
        <w:t>(required disclosure for all California residential buildings)</w:t>
      </w:r>
      <w:r w:rsidR="00D14E27" w:rsidRPr="00D14E27">
        <w:rPr>
          <w:rFonts w:ascii="Arial Narrow" w:hAnsi="Arial Narrow" w:cs="Arial"/>
          <w:b/>
          <w:bCs/>
        </w:rPr>
        <w:t xml:space="preserve"> </w:t>
      </w:r>
    </w:p>
    <w:p w14:paraId="7E9747AD" w14:textId="1F3E1295" w:rsidR="00001FF1" w:rsidRPr="00FA00BD" w:rsidRDefault="00D14E27" w:rsidP="00FA00BD">
      <w:pPr>
        <w:numPr>
          <w:ilvl w:val="0"/>
          <w:numId w:val="15"/>
        </w:numPr>
        <w:pBdr>
          <w:top w:val="single" w:sz="4" w:space="1" w:color="auto"/>
          <w:left w:val="single" w:sz="4" w:space="4" w:color="auto"/>
          <w:bottom w:val="single" w:sz="4" w:space="6" w:color="auto"/>
          <w:right w:val="single" w:sz="4" w:space="4" w:color="auto"/>
        </w:pBdr>
        <w:rPr>
          <w:rFonts w:ascii="Arial Narrow" w:hAnsi="Arial Narrow"/>
        </w:rPr>
      </w:pPr>
      <w:r w:rsidRPr="00D14E27">
        <w:rPr>
          <w:rFonts w:ascii="Arial Narrow" w:hAnsi="Arial Narrow" w:cs="Arial"/>
          <w:b/>
          <w:bCs/>
        </w:rPr>
        <w:t xml:space="preserve"> Acoustical ceilings likely contain asbestos and </w:t>
      </w:r>
      <w:r w:rsidRPr="00214F80">
        <w:rPr>
          <w:rFonts w:ascii="Arial Narrow" w:hAnsi="Arial Narrow" w:cs="Arial"/>
          <w:b/>
          <w:bCs/>
          <w:u w:val="single"/>
        </w:rPr>
        <w:t>may not be removed without Board Approval</w:t>
      </w:r>
      <w:r w:rsidRPr="00D14E27">
        <w:rPr>
          <w:rFonts w:ascii="Arial Narrow" w:hAnsi="Arial Narrow" w:cs="Arial"/>
          <w:b/>
          <w:bCs/>
        </w:rPr>
        <w:t xml:space="preserve">. </w:t>
      </w:r>
    </w:p>
    <w:p w14:paraId="13BEA10A" w14:textId="77777777" w:rsidR="00300B56" w:rsidRDefault="00300B56" w:rsidP="00300B56">
      <w:pPr>
        <w:jc w:val="center"/>
        <w:rPr>
          <w:b/>
        </w:rPr>
      </w:pPr>
    </w:p>
    <w:sectPr w:rsidR="00300B56" w:rsidSect="00F8058A">
      <w:footerReference w:type="default" r:id="rId8"/>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55DD" w14:textId="77777777" w:rsidR="00A5733E" w:rsidRDefault="00A5733E">
      <w:r>
        <w:separator/>
      </w:r>
    </w:p>
  </w:endnote>
  <w:endnote w:type="continuationSeparator" w:id="0">
    <w:p w14:paraId="1634D5BC" w14:textId="77777777" w:rsidR="00A5733E" w:rsidRDefault="00A5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3B51" w14:textId="77777777" w:rsidR="00D54994" w:rsidRDefault="00D5499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01FF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956C" w14:textId="77777777" w:rsidR="00A5733E" w:rsidRDefault="00A5733E">
      <w:r>
        <w:separator/>
      </w:r>
    </w:p>
  </w:footnote>
  <w:footnote w:type="continuationSeparator" w:id="0">
    <w:p w14:paraId="2D16799F" w14:textId="77777777" w:rsidR="00A5733E" w:rsidRDefault="00A5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F0409"/>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F040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6F14CA4C"/>
    <w:lvl w:ilvl="0">
      <w:start w:val="1"/>
      <w:numFmt w:val="decimal"/>
      <w:lvlText w:val="%1."/>
      <w:lvlJc w:val="left"/>
      <w:pPr>
        <w:tabs>
          <w:tab w:val="num" w:pos="720"/>
        </w:tabs>
        <w:ind w:left="-720" w:firstLine="720"/>
      </w:pPr>
      <w:rPr>
        <w:rFonts w:ascii="Times" w:hAnsi="Times" w:hint="default"/>
        <w:b w:val="0"/>
        <w:i w:val="0"/>
        <w:caps w:val="0"/>
        <w:strike w:val="0"/>
        <w:dstrike w:val="0"/>
        <w:outline w:val="0"/>
        <w:shadow w:val="0"/>
        <w:emboss w:val="0"/>
        <w:imprint w:val="0"/>
        <w:vanish w:val="0"/>
        <w:sz w:val="24"/>
        <w:vertAlign w:val="baseline"/>
      </w:rPr>
    </w:lvl>
  </w:abstractNum>
  <w:abstractNum w:abstractNumId="10" w15:restartNumberingAfterBreak="0">
    <w:nsid w:val="23524B98"/>
    <w:multiLevelType w:val="hybridMultilevel"/>
    <w:tmpl w:val="82D6C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554BE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B7854FC"/>
    <w:multiLevelType w:val="multilevel"/>
    <w:tmpl w:val="06068C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19B36BF"/>
    <w:multiLevelType w:val="hybridMultilevel"/>
    <w:tmpl w:val="607A98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0154833"/>
    <w:multiLevelType w:val="hybridMultilevel"/>
    <w:tmpl w:val="10DC2F88"/>
    <w:lvl w:ilvl="0" w:tplc="11A64A68">
      <w:start w:val="1"/>
      <w:numFmt w:val="decimal"/>
      <w:lvlText w:val="%1."/>
      <w:lvlJc w:val="left"/>
      <w:pPr>
        <w:tabs>
          <w:tab w:val="num" w:pos="1440"/>
        </w:tabs>
        <w:ind w:left="0" w:firstLine="720"/>
      </w:pPr>
      <w:rPr>
        <w:rFonts w:ascii="Times" w:hAnsi="Times" w:hint="default"/>
        <w:b w:val="0"/>
        <w:i w:val="0"/>
        <w:caps w:val="0"/>
        <w:strike w:val="0"/>
        <w:dstrike w:val="0"/>
        <w:outline w:val="0"/>
        <w:shadow w:val="0"/>
        <w:emboss w:val="0"/>
        <w:imprint w:val="0"/>
        <w:vanish w:val="0"/>
        <w:sz w:val="24"/>
        <w:vertAlign w:val="baseline"/>
      </w:rPr>
    </w:lvl>
    <w:lvl w:ilvl="1" w:tplc="FE826ECC" w:tentative="1">
      <w:start w:val="1"/>
      <w:numFmt w:val="lowerLetter"/>
      <w:lvlText w:val="%2."/>
      <w:lvlJc w:val="left"/>
      <w:pPr>
        <w:tabs>
          <w:tab w:val="num" w:pos="1440"/>
        </w:tabs>
        <w:ind w:left="1440" w:hanging="360"/>
      </w:pPr>
    </w:lvl>
    <w:lvl w:ilvl="2" w:tplc="E6C25F2C" w:tentative="1">
      <w:start w:val="1"/>
      <w:numFmt w:val="lowerRoman"/>
      <w:lvlText w:val="%3."/>
      <w:lvlJc w:val="right"/>
      <w:pPr>
        <w:tabs>
          <w:tab w:val="num" w:pos="2160"/>
        </w:tabs>
        <w:ind w:left="2160" w:hanging="180"/>
      </w:pPr>
    </w:lvl>
    <w:lvl w:ilvl="3" w:tplc="A756371C" w:tentative="1">
      <w:start w:val="1"/>
      <w:numFmt w:val="decimal"/>
      <w:lvlText w:val="%4."/>
      <w:lvlJc w:val="left"/>
      <w:pPr>
        <w:tabs>
          <w:tab w:val="num" w:pos="2880"/>
        </w:tabs>
        <w:ind w:left="2880" w:hanging="360"/>
      </w:pPr>
    </w:lvl>
    <w:lvl w:ilvl="4" w:tplc="B344E606" w:tentative="1">
      <w:start w:val="1"/>
      <w:numFmt w:val="lowerLetter"/>
      <w:lvlText w:val="%5."/>
      <w:lvlJc w:val="left"/>
      <w:pPr>
        <w:tabs>
          <w:tab w:val="num" w:pos="3600"/>
        </w:tabs>
        <w:ind w:left="3600" w:hanging="360"/>
      </w:pPr>
    </w:lvl>
    <w:lvl w:ilvl="5" w:tplc="05C231AC" w:tentative="1">
      <w:start w:val="1"/>
      <w:numFmt w:val="lowerRoman"/>
      <w:lvlText w:val="%6."/>
      <w:lvlJc w:val="right"/>
      <w:pPr>
        <w:tabs>
          <w:tab w:val="num" w:pos="4320"/>
        </w:tabs>
        <w:ind w:left="4320" w:hanging="180"/>
      </w:pPr>
    </w:lvl>
    <w:lvl w:ilvl="6" w:tplc="0E04ED86" w:tentative="1">
      <w:start w:val="1"/>
      <w:numFmt w:val="decimal"/>
      <w:lvlText w:val="%7."/>
      <w:lvlJc w:val="left"/>
      <w:pPr>
        <w:tabs>
          <w:tab w:val="num" w:pos="5040"/>
        </w:tabs>
        <w:ind w:left="5040" w:hanging="360"/>
      </w:pPr>
    </w:lvl>
    <w:lvl w:ilvl="7" w:tplc="BC6AD60C" w:tentative="1">
      <w:start w:val="1"/>
      <w:numFmt w:val="lowerLetter"/>
      <w:lvlText w:val="%8."/>
      <w:lvlJc w:val="left"/>
      <w:pPr>
        <w:tabs>
          <w:tab w:val="num" w:pos="5760"/>
        </w:tabs>
        <w:ind w:left="5760" w:hanging="360"/>
      </w:pPr>
    </w:lvl>
    <w:lvl w:ilvl="8" w:tplc="1842E054" w:tentative="1">
      <w:start w:val="1"/>
      <w:numFmt w:val="lowerRoman"/>
      <w:lvlText w:val="%9."/>
      <w:lvlJc w:val="right"/>
      <w:pPr>
        <w:tabs>
          <w:tab w:val="num" w:pos="6480"/>
        </w:tabs>
        <w:ind w:left="6480" w:hanging="180"/>
      </w:pPr>
    </w:lvl>
  </w:abstractNum>
  <w:abstractNum w:abstractNumId="15" w15:restartNumberingAfterBreak="0">
    <w:nsid w:val="61E00B14"/>
    <w:multiLevelType w:val="hybridMultilevel"/>
    <w:tmpl w:val="0E3ECB72"/>
    <w:lvl w:ilvl="0" w:tplc="CAEA1DAE">
      <w:start w:val="1"/>
      <w:numFmt w:val="decimal"/>
      <w:lvlText w:val="%1."/>
      <w:lvlJc w:val="left"/>
      <w:pPr>
        <w:ind w:left="36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4"/>
  </w:num>
  <w:num w:numId="13">
    <w:abstractNumId w:val="15"/>
  </w:num>
  <w:num w:numId="14">
    <w:abstractNumId w:val="1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58A"/>
    <w:rsid w:val="00001FF1"/>
    <w:rsid w:val="000058B2"/>
    <w:rsid w:val="000138AE"/>
    <w:rsid w:val="00024A1C"/>
    <w:rsid w:val="00024C3E"/>
    <w:rsid w:val="00032030"/>
    <w:rsid w:val="00056C47"/>
    <w:rsid w:val="00061D3F"/>
    <w:rsid w:val="00065CD4"/>
    <w:rsid w:val="000D4488"/>
    <w:rsid w:val="00107C44"/>
    <w:rsid w:val="00126F6A"/>
    <w:rsid w:val="00152C21"/>
    <w:rsid w:val="001617FB"/>
    <w:rsid w:val="001A7D55"/>
    <w:rsid w:val="001B1351"/>
    <w:rsid w:val="001C6222"/>
    <w:rsid w:val="002058CA"/>
    <w:rsid w:val="00210532"/>
    <w:rsid w:val="00214F80"/>
    <w:rsid w:val="00230138"/>
    <w:rsid w:val="00230A30"/>
    <w:rsid w:val="00236909"/>
    <w:rsid w:val="00271F86"/>
    <w:rsid w:val="002C52E8"/>
    <w:rsid w:val="002D7B1F"/>
    <w:rsid w:val="00300B56"/>
    <w:rsid w:val="003074B9"/>
    <w:rsid w:val="00331D5D"/>
    <w:rsid w:val="00362EBA"/>
    <w:rsid w:val="0037054E"/>
    <w:rsid w:val="00370973"/>
    <w:rsid w:val="00392EB9"/>
    <w:rsid w:val="003B5A9D"/>
    <w:rsid w:val="004157F9"/>
    <w:rsid w:val="0043356B"/>
    <w:rsid w:val="00460E02"/>
    <w:rsid w:val="0049202D"/>
    <w:rsid w:val="004B1623"/>
    <w:rsid w:val="004B35B7"/>
    <w:rsid w:val="004E2AF2"/>
    <w:rsid w:val="004F3231"/>
    <w:rsid w:val="004F47D7"/>
    <w:rsid w:val="0055560E"/>
    <w:rsid w:val="00566D8D"/>
    <w:rsid w:val="005744A7"/>
    <w:rsid w:val="005A5469"/>
    <w:rsid w:val="005C66AE"/>
    <w:rsid w:val="005F3F73"/>
    <w:rsid w:val="00652FA2"/>
    <w:rsid w:val="00667DB6"/>
    <w:rsid w:val="006A7428"/>
    <w:rsid w:val="006A783D"/>
    <w:rsid w:val="006C01B5"/>
    <w:rsid w:val="006C12FE"/>
    <w:rsid w:val="006D5F72"/>
    <w:rsid w:val="00701E25"/>
    <w:rsid w:val="00714D18"/>
    <w:rsid w:val="0071522B"/>
    <w:rsid w:val="00717D63"/>
    <w:rsid w:val="0072787E"/>
    <w:rsid w:val="00727963"/>
    <w:rsid w:val="00740B50"/>
    <w:rsid w:val="0075557A"/>
    <w:rsid w:val="0077791F"/>
    <w:rsid w:val="00794656"/>
    <w:rsid w:val="007B08D8"/>
    <w:rsid w:val="007B30AE"/>
    <w:rsid w:val="007B31F1"/>
    <w:rsid w:val="007D0EAA"/>
    <w:rsid w:val="007D73D1"/>
    <w:rsid w:val="00833321"/>
    <w:rsid w:val="00842768"/>
    <w:rsid w:val="00856B8F"/>
    <w:rsid w:val="00885AE8"/>
    <w:rsid w:val="008C7C84"/>
    <w:rsid w:val="008C7F07"/>
    <w:rsid w:val="008F409F"/>
    <w:rsid w:val="008F6F7A"/>
    <w:rsid w:val="00920C64"/>
    <w:rsid w:val="009352F7"/>
    <w:rsid w:val="00951DA6"/>
    <w:rsid w:val="0097113B"/>
    <w:rsid w:val="00972A8D"/>
    <w:rsid w:val="009939C3"/>
    <w:rsid w:val="00994F80"/>
    <w:rsid w:val="009B14DF"/>
    <w:rsid w:val="009F6D94"/>
    <w:rsid w:val="00A02514"/>
    <w:rsid w:val="00A2275B"/>
    <w:rsid w:val="00A36EF1"/>
    <w:rsid w:val="00A565D1"/>
    <w:rsid w:val="00A5733E"/>
    <w:rsid w:val="00A62B3B"/>
    <w:rsid w:val="00A92529"/>
    <w:rsid w:val="00AB4ECC"/>
    <w:rsid w:val="00AC3D3C"/>
    <w:rsid w:val="00AC551F"/>
    <w:rsid w:val="00AE65DF"/>
    <w:rsid w:val="00AF763C"/>
    <w:rsid w:val="00B0039F"/>
    <w:rsid w:val="00B127BB"/>
    <w:rsid w:val="00B168AD"/>
    <w:rsid w:val="00B21D1E"/>
    <w:rsid w:val="00B3059E"/>
    <w:rsid w:val="00B34564"/>
    <w:rsid w:val="00BA5AAF"/>
    <w:rsid w:val="00BA7E39"/>
    <w:rsid w:val="00BB5ADD"/>
    <w:rsid w:val="00BC4DAC"/>
    <w:rsid w:val="00BE25A9"/>
    <w:rsid w:val="00C02E3C"/>
    <w:rsid w:val="00C03BE3"/>
    <w:rsid w:val="00C067EE"/>
    <w:rsid w:val="00C157D4"/>
    <w:rsid w:val="00C30E38"/>
    <w:rsid w:val="00C43E71"/>
    <w:rsid w:val="00C56941"/>
    <w:rsid w:val="00C70CB1"/>
    <w:rsid w:val="00C75DB9"/>
    <w:rsid w:val="00CA782F"/>
    <w:rsid w:val="00CB703F"/>
    <w:rsid w:val="00CF327E"/>
    <w:rsid w:val="00CF35EF"/>
    <w:rsid w:val="00D07350"/>
    <w:rsid w:val="00D14E27"/>
    <w:rsid w:val="00D14F5B"/>
    <w:rsid w:val="00D32EEA"/>
    <w:rsid w:val="00D479A7"/>
    <w:rsid w:val="00D5424E"/>
    <w:rsid w:val="00D54994"/>
    <w:rsid w:val="00D8131E"/>
    <w:rsid w:val="00E57A00"/>
    <w:rsid w:val="00E61212"/>
    <w:rsid w:val="00E723F2"/>
    <w:rsid w:val="00E802BA"/>
    <w:rsid w:val="00E97833"/>
    <w:rsid w:val="00EB05D4"/>
    <w:rsid w:val="00F53982"/>
    <w:rsid w:val="00F8058A"/>
    <w:rsid w:val="00FA00BD"/>
    <w:rsid w:val="00FA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21ECE"/>
  <w15:chartTrackingRefBased/>
  <w15:docId w15:val="{8AE5DE0A-C2E8-4F45-903F-31EE74AC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WEDELNormalText">
    <w:name w:val="SWEDEL Normal Text"/>
    <w:basedOn w:val="Normal"/>
    <w:pPr>
      <w:ind w:left="-80"/>
      <w:jc w:val="both"/>
    </w:pPr>
    <w:rPr>
      <w:color w:val="000080"/>
      <w:sz w:val="24"/>
    </w:rPr>
  </w:style>
  <w:style w:type="paragraph" w:styleId="ListParagraph">
    <w:name w:val="List Paragraph"/>
    <w:basedOn w:val="Normal"/>
    <w:uiPriority w:val="34"/>
    <w:qFormat/>
    <w:rsid w:val="006C01B5"/>
    <w:pPr>
      <w:ind w:left="720"/>
    </w:pPr>
  </w:style>
  <w:style w:type="paragraph" w:styleId="NoSpacing">
    <w:name w:val="No Spacing"/>
    <w:uiPriority w:val="1"/>
    <w:qFormat/>
    <w:rsid w:val="008C7C84"/>
    <w:rPr>
      <w:rFonts w:ascii="Calibri" w:eastAsia="Calibri" w:hAnsi="Calibri"/>
      <w:sz w:val="22"/>
      <w:szCs w:val="22"/>
    </w:rPr>
  </w:style>
  <w:style w:type="paragraph" w:styleId="BalloonText">
    <w:name w:val="Balloon Text"/>
    <w:basedOn w:val="Normal"/>
    <w:link w:val="BalloonTextChar"/>
    <w:uiPriority w:val="99"/>
    <w:semiHidden/>
    <w:unhideWhenUsed/>
    <w:rsid w:val="004F47D7"/>
    <w:rPr>
      <w:rFonts w:ascii="Segoe UI" w:hAnsi="Segoe UI" w:cs="Segoe UI"/>
      <w:sz w:val="18"/>
      <w:szCs w:val="18"/>
    </w:rPr>
  </w:style>
  <w:style w:type="character" w:customStyle="1" w:styleId="BalloonTextChar">
    <w:name w:val="Balloon Text Char"/>
    <w:link w:val="BalloonText"/>
    <w:uiPriority w:val="99"/>
    <w:semiHidden/>
    <w:rsid w:val="004F47D7"/>
    <w:rPr>
      <w:rFonts w:ascii="Segoe UI" w:hAnsi="Segoe UI" w:cs="Segoe UI"/>
      <w:sz w:val="18"/>
      <w:szCs w:val="18"/>
    </w:rPr>
  </w:style>
  <w:style w:type="character" w:styleId="Hyperlink">
    <w:name w:val="Hyperlink"/>
    <w:uiPriority w:val="99"/>
    <w:unhideWhenUsed/>
    <w:rsid w:val="00C03BE3"/>
    <w:rPr>
      <w:color w:val="0563C1"/>
      <w:u w:val="single"/>
    </w:rPr>
  </w:style>
  <w:style w:type="character" w:styleId="UnresolvedMention">
    <w:name w:val="Unresolved Mention"/>
    <w:uiPriority w:val="99"/>
    <w:semiHidden/>
    <w:unhideWhenUsed/>
    <w:rsid w:val="00C03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yviewho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PCM</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PCM</dc:creator>
  <cp:keywords/>
  <dc:description/>
  <cp:lastModifiedBy>David Behling</cp:lastModifiedBy>
  <cp:revision>20</cp:revision>
  <cp:lastPrinted>2017-10-19T21:05:00Z</cp:lastPrinted>
  <dcterms:created xsi:type="dcterms:W3CDTF">2018-11-03T20:59:00Z</dcterms:created>
  <dcterms:modified xsi:type="dcterms:W3CDTF">2021-12-22T20:21:00Z</dcterms:modified>
</cp:coreProperties>
</file>