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"/>
      </w:tblGrid>
      <w:tr w:rsidR="0078637B" w:rsidRPr="0078637B" w14:paraId="210DD941" w14:textId="77777777" w:rsidTr="00376899">
        <w:tc>
          <w:tcPr>
            <w:tcW w:w="0" w:type="auto"/>
            <w:noWrap/>
            <w:hideMark/>
          </w:tcPr>
          <w:p w14:paraId="6FA59F2E" w14:textId="77777777" w:rsidR="00376899" w:rsidRPr="0078637B" w:rsidRDefault="00376899" w:rsidP="008E76E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8EAADB" w:themeColor="accent1" w:themeTint="99"/>
                <w:spacing w:val="3"/>
                <w:sz w:val="32"/>
                <w:szCs w:val="32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3FD8A810" w14:textId="77777777" w:rsidR="00376899" w:rsidRPr="0078637B" w:rsidRDefault="00376899" w:rsidP="008E76E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8EAADB" w:themeColor="accent1" w:themeTint="99"/>
                <w:spacing w:val="3"/>
                <w:sz w:val="32"/>
                <w:szCs w:val="32"/>
                <w:lang w:eastAsia="en-CA"/>
              </w:rPr>
            </w:pPr>
            <w:r w:rsidRPr="0078637B">
              <w:rPr>
                <w:rFonts w:ascii="Helvetica" w:eastAsia="Times New Roman" w:hAnsi="Helvetica" w:cs="Helvetica"/>
                <w:b/>
                <w:bCs/>
                <w:noProof/>
                <w:color w:val="8EAADB" w:themeColor="accent1" w:themeTint="99"/>
                <w:spacing w:val="3"/>
                <w:sz w:val="32"/>
                <w:szCs w:val="32"/>
                <w:lang w:eastAsia="en-CA"/>
              </w:rPr>
              <w:drawing>
                <wp:inline distT="0" distB="0" distL="0" distR="0" wp14:anchorId="73365F3B" wp14:editId="07F05E89">
                  <wp:extent cx="9525" cy="95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44D7E" w14:textId="77777777" w:rsidR="00376899" w:rsidRPr="0078637B" w:rsidRDefault="00376899" w:rsidP="008E76E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8EAADB" w:themeColor="accent1" w:themeTint="99"/>
                <w:spacing w:val="3"/>
                <w:sz w:val="32"/>
                <w:szCs w:val="32"/>
                <w:lang w:eastAsia="en-CA"/>
              </w:rPr>
            </w:pPr>
            <w:r w:rsidRPr="0078637B">
              <w:rPr>
                <w:rFonts w:ascii="Helvetica" w:eastAsia="Times New Roman" w:hAnsi="Helvetica" w:cs="Helvetica"/>
                <w:b/>
                <w:bCs/>
                <w:noProof/>
                <w:color w:val="8EAADB" w:themeColor="accent1" w:themeTint="99"/>
                <w:spacing w:val="3"/>
                <w:sz w:val="32"/>
                <w:szCs w:val="32"/>
                <w:lang w:eastAsia="en-CA"/>
              </w:rPr>
              <w:drawing>
                <wp:inline distT="0" distB="0" distL="0" distR="0" wp14:anchorId="2B676A3D" wp14:editId="3963700A">
                  <wp:extent cx="9525" cy="95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C09700" w14:textId="35BAB74F" w:rsidR="007800B6" w:rsidRPr="00AB23CA" w:rsidRDefault="007800B6" w:rsidP="00AB23CA">
      <w:pPr>
        <w:pStyle w:val="ListParagraph"/>
        <w:numPr>
          <w:ilvl w:val="0"/>
          <w:numId w:val="9"/>
        </w:numPr>
        <w:rPr>
          <w:rFonts w:ascii="Helvetica" w:hAnsi="Helvetica" w:cs="Helvetica"/>
          <w:sz w:val="24"/>
          <w:szCs w:val="24"/>
          <w:shd w:val="clear" w:color="auto" w:fill="FFFFFF"/>
        </w:rPr>
      </w:pPr>
      <w:r w:rsidRPr="00AB23CA">
        <w:rPr>
          <w:rFonts w:ascii="Helvetica" w:eastAsia="Times New Roman" w:hAnsi="Helvetica" w:cs="Helvetica"/>
          <w:sz w:val="24"/>
          <w:szCs w:val="24"/>
          <w:lang w:eastAsia="en-CA"/>
        </w:rPr>
        <w:t xml:space="preserve">The inadequate capacity of the Baynes Sound Connector, on Route 21, continues to be problematic for both Routes 21 and 22. The limited deck space, the inability to shuttle twice/hour (as previous free moving vessels on this route could), the amount of down time for repairs, are all problematic to moving the numbers of people required.  </w:t>
      </w:r>
      <w:r w:rsidR="0078637B" w:rsidRPr="00AB23CA">
        <w:rPr>
          <w:rFonts w:ascii="Helvetica" w:eastAsia="Times New Roman" w:hAnsi="Helvetica" w:cs="Helvetica"/>
          <w:sz w:val="24"/>
          <w:szCs w:val="24"/>
          <w:lang w:eastAsia="en-CA"/>
        </w:rPr>
        <w:t>We have again experienced horrific line-ups this summer.</w:t>
      </w:r>
    </w:p>
    <w:p w14:paraId="72C80D63" w14:textId="77777777" w:rsidR="007800B6" w:rsidRPr="0078637B" w:rsidRDefault="007800B6" w:rsidP="007800B6">
      <w:pPr>
        <w:pStyle w:val="ListParagraph"/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27AD38C3" w14:textId="6AB4A7CF" w:rsidR="007800B6" w:rsidRDefault="007800B6" w:rsidP="007800B6">
      <w:pPr>
        <w:pStyle w:val="ListParagrap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78637B">
        <w:rPr>
          <w:rFonts w:ascii="Helvetica" w:hAnsi="Helvetica" w:cs="Helvetica"/>
          <w:sz w:val="24"/>
          <w:szCs w:val="24"/>
          <w:shd w:val="clear" w:color="auto" w:fill="FFFFFF"/>
        </w:rPr>
        <w:t>Back before the 2019 summer season we had Captain Al agreeing to try to get BCF approval for additional service on R. 21 so a larger vessel could be placed on R. 22</w:t>
      </w:r>
      <w:r w:rsidR="0078637B">
        <w:rPr>
          <w:rFonts w:ascii="Helvetica" w:hAnsi="Helvetica" w:cs="Helvetica"/>
          <w:sz w:val="24"/>
          <w:szCs w:val="24"/>
          <w:shd w:val="clear" w:color="auto" w:fill="FFFFFF"/>
        </w:rPr>
        <w:t xml:space="preserve"> as well.</w:t>
      </w:r>
    </w:p>
    <w:p w14:paraId="2F96A34A" w14:textId="77777777" w:rsidR="0078637B" w:rsidRPr="0078637B" w:rsidRDefault="0078637B" w:rsidP="007800B6">
      <w:pPr>
        <w:pStyle w:val="ListParagraph"/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3117B5E1" w14:textId="77777777" w:rsidR="0078637B" w:rsidRDefault="007800B6" w:rsidP="007800B6">
      <w:pPr>
        <w:pStyle w:val="ListParagraph"/>
        <w:rPr>
          <w:rFonts w:ascii="Helvetica" w:eastAsia="Times New Roman" w:hAnsi="Helvetica" w:cs="Helvetica"/>
          <w:sz w:val="24"/>
          <w:szCs w:val="24"/>
          <w:lang w:eastAsia="en-CA"/>
        </w:rPr>
      </w:pPr>
      <w:r w:rsidRPr="0078637B">
        <w:rPr>
          <w:rFonts w:ascii="Helvetica" w:eastAsia="Times New Roman" w:hAnsi="Helvetica" w:cs="Helvetica"/>
          <w:sz w:val="24"/>
          <w:szCs w:val="24"/>
          <w:lang w:eastAsia="en-CA"/>
        </w:rPr>
        <w:t xml:space="preserve">This involved operating the </w:t>
      </w:r>
      <w:proofErr w:type="spellStart"/>
      <w:r w:rsidRPr="0078637B">
        <w:rPr>
          <w:rFonts w:ascii="Helvetica" w:eastAsia="Times New Roman" w:hAnsi="Helvetica" w:cs="Helvetica"/>
          <w:sz w:val="24"/>
          <w:szCs w:val="24"/>
          <w:lang w:eastAsia="en-CA"/>
        </w:rPr>
        <w:t>Kahloke</w:t>
      </w:r>
      <w:proofErr w:type="spellEnd"/>
      <w:r w:rsidRPr="0078637B">
        <w:rPr>
          <w:rFonts w:ascii="Helvetica" w:eastAsia="Times New Roman" w:hAnsi="Helvetica" w:cs="Helvetica"/>
          <w:sz w:val="24"/>
          <w:szCs w:val="24"/>
          <w:lang w:eastAsia="en-CA"/>
        </w:rPr>
        <w:t xml:space="preserve"> in tandem (into the old docks), with the Baynes Sound Connector cable ferry.  The </w:t>
      </w:r>
      <w:proofErr w:type="spellStart"/>
      <w:r w:rsidRPr="0078637B">
        <w:rPr>
          <w:rFonts w:ascii="Helvetica" w:eastAsia="Times New Roman" w:hAnsi="Helvetica" w:cs="Helvetica"/>
          <w:sz w:val="24"/>
          <w:szCs w:val="24"/>
          <w:lang w:eastAsia="en-CA"/>
        </w:rPr>
        <w:t>Kahloke</w:t>
      </w:r>
      <w:proofErr w:type="spellEnd"/>
      <w:r w:rsidRPr="0078637B">
        <w:rPr>
          <w:rFonts w:ascii="Helvetica" w:eastAsia="Times New Roman" w:hAnsi="Helvetica" w:cs="Helvetica"/>
          <w:sz w:val="24"/>
          <w:szCs w:val="24"/>
          <w:lang w:eastAsia="en-CA"/>
        </w:rPr>
        <w:t xml:space="preserve">, normally on Route 22, would be replaced by the fleet back-up boat, equivalent in size to the </w:t>
      </w:r>
      <w:proofErr w:type="spellStart"/>
      <w:r w:rsidRPr="0078637B">
        <w:rPr>
          <w:rFonts w:ascii="Helvetica" w:eastAsia="Times New Roman" w:hAnsi="Helvetica" w:cs="Helvetica"/>
          <w:sz w:val="24"/>
          <w:szCs w:val="24"/>
          <w:lang w:eastAsia="en-CA"/>
        </w:rPr>
        <w:t>Quinitsa</w:t>
      </w:r>
      <w:proofErr w:type="spellEnd"/>
      <w:r w:rsidRPr="0078637B">
        <w:rPr>
          <w:rFonts w:ascii="Helvetica" w:eastAsia="Times New Roman" w:hAnsi="Helvetica" w:cs="Helvetica"/>
          <w:sz w:val="24"/>
          <w:szCs w:val="24"/>
          <w:lang w:eastAsia="en-CA"/>
        </w:rPr>
        <w:t xml:space="preserve">.  </w:t>
      </w:r>
    </w:p>
    <w:p w14:paraId="7BC08A36" w14:textId="77777777" w:rsidR="0078637B" w:rsidRDefault="0078637B" w:rsidP="007800B6">
      <w:pPr>
        <w:pStyle w:val="ListParagraph"/>
        <w:rPr>
          <w:rFonts w:ascii="Helvetica" w:eastAsia="Times New Roman" w:hAnsi="Helvetica" w:cs="Helvetica"/>
          <w:sz w:val="24"/>
          <w:szCs w:val="24"/>
          <w:lang w:eastAsia="en-CA"/>
        </w:rPr>
      </w:pPr>
    </w:p>
    <w:p w14:paraId="09A544B0" w14:textId="75A95220" w:rsidR="007800B6" w:rsidRPr="0078637B" w:rsidRDefault="007800B6" w:rsidP="007800B6">
      <w:pPr>
        <w:pStyle w:val="ListParagraph"/>
        <w:rPr>
          <w:rFonts w:ascii="Helvetica" w:eastAsia="Times New Roman" w:hAnsi="Helvetica" w:cs="Helvetica"/>
          <w:sz w:val="24"/>
          <w:szCs w:val="24"/>
          <w:lang w:eastAsia="en-CA"/>
        </w:rPr>
      </w:pPr>
      <w:r w:rsidRPr="0078637B">
        <w:rPr>
          <w:rFonts w:ascii="Helvetica" w:eastAsia="Times New Roman" w:hAnsi="Helvetica" w:cs="Helvetica"/>
          <w:sz w:val="24"/>
          <w:szCs w:val="24"/>
          <w:lang w:eastAsia="en-CA"/>
        </w:rPr>
        <w:t>This would have doubled the capacity on both runs.</w:t>
      </w:r>
    </w:p>
    <w:p w14:paraId="47D221F2" w14:textId="77777777" w:rsidR="007800B6" w:rsidRPr="0078637B" w:rsidRDefault="007800B6" w:rsidP="007800B6">
      <w:pPr>
        <w:pStyle w:val="ListParagraph"/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68FEEE6F" w14:textId="77777777" w:rsidR="007800B6" w:rsidRPr="0078637B" w:rsidRDefault="007800B6" w:rsidP="007800B6">
      <w:pPr>
        <w:pStyle w:val="ListParagrap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78637B">
        <w:rPr>
          <w:rFonts w:ascii="Helvetica" w:hAnsi="Helvetica" w:cs="Helvetica"/>
          <w:sz w:val="24"/>
          <w:szCs w:val="24"/>
          <w:shd w:val="clear" w:color="auto" w:fill="FFFFFF"/>
        </w:rPr>
        <w:t xml:space="preserve">BCF was unwilling to do that so the following year we had pressure on the government to assist.  We were hopeful that some money would be allocated to run a pilot project on the two routes to determine its effectiveness and its costs.  On this occasion it was the government that refused to </w:t>
      </w:r>
      <w:proofErr w:type="gramStart"/>
      <w:r w:rsidRPr="0078637B">
        <w:rPr>
          <w:rFonts w:ascii="Helvetica" w:hAnsi="Helvetica" w:cs="Helvetica"/>
          <w:sz w:val="24"/>
          <w:szCs w:val="24"/>
          <w:shd w:val="clear" w:color="auto" w:fill="FFFFFF"/>
        </w:rPr>
        <w:t>make a decision</w:t>
      </w:r>
      <w:proofErr w:type="gramEnd"/>
      <w:r w:rsidRPr="0078637B">
        <w:rPr>
          <w:rFonts w:ascii="Helvetica" w:hAnsi="Helvetica" w:cs="Helvetica"/>
          <w:sz w:val="24"/>
          <w:szCs w:val="24"/>
          <w:shd w:val="clear" w:color="auto" w:fill="FFFFFF"/>
        </w:rPr>
        <w:t xml:space="preserve"> to provide the necessary funding.</w:t>
      </w:r>
    </w:p>
    <w:p w14:paraId="0FA24951" w14:textId="77777777" w:rsidR="007800B6" w:rsidRPr="0078637B" w:rsidRDefault="007800B6" w:rsidP="007800B6">
      <w:pPr>
        <w:pStyle w:val="ListParagraph"/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03926961" w14:textId="77777777" w:rsidR="0078637B" w:rsidRDefault="007800B6" w:rsidP="007800B6">
      <w:pPr>
        <w:pStyle w:val="ListParagrap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78637B">
        <w:rPr>
          <w:rFonts w:ascii="Helvetica" w:hAnsi="Helvetica" w:cs="Helvetica"/>
          <w:sz w:val="24"/>
          <w:szCs w:val="24"/>
          <w:shd w:val="clear" w:color="auto" w:fill="FFFFFF"/>
        </w:rPr>
        <w:t>Instead</w:t>
      </w:r>
      <w:r w:rsidR="0078637B">
        <w:rPr>
          <w:rFonts w:ascii="Helvetica" w:hAnsi="Helvetica" w:cs="Helvetica"/>
          <w:sz w:val="24"/>
          <w:szCs w:val="24"/>
          <w:shd w:val="clear" w:color="auto" w:fill="FFFFFF"/>
        </w:rPr>
        <w:t>,</w:t>
      </w:r>
      <w:r w:rsidRPr="0078637B">
        <w:rPr>
          <w:rFonts w:ascii="Helvetica" w:hAnsi="Helvetica" w:cs="Helvetica"/>
          <w:sz w:val="24"/>
          <w:szCs w:val="24"/>
          <w:shd w:val="clear" w:color="auto" w:fill="FFFFFF"/>
        </w:rPr>
        <w:t xml:space="preserve"> both BCF and the </w:t>
      </w:r>
      <w:proofErr w:type="spellStart"/>
      <w:r w:rsidRPr="0078637B">
        <w:rPr>
          <w:rFonts w:ascii="Helvetica" w:hAnsi="Helvetica" w:cs="Helvetica"/>
          <w:sz w:val="24"/>
          <w:szCs w:val="24"/>
          <w:shd w:val="clear" w:color="auto" w:fill="FFFFFF"/>
        </w:rPr>
        <w:t>MInistry</w:t>
      </w:r>
      <w:proofErr w:type="spellEnd"/>
      <w:r w:rsidRPr="0078637B">
        <w:rPr>
          <w:rFonts w:ascii="Helvetica" w:hAnsi="Helvetica" w:cs="Helvetica"/>
          <w:sz w:val="24"/>
          <w:szCs w:val="24"/>
          <w:shd w:val="clear" w:color="auto" w:fill="FFFFFF"/>
        </w:rPr>
        <w:t xml:space="preserve"> have agreed to study the problem on several routes and provide a solution.  </w:t>
      </w:r>
      <w:proofErr w:type="gramStart"/>
      <w:r w:rsidRPr="0078637B">
        <w:rPr>
          <w:rFonts w:ascii="Helvetica" w:hAnsi="Helvetica" w:cs="Helvetica"/>
          <w:sz w:val="24"/>
          <w:szCs w:val="24"/>
          <w:shd w:val="clear" w:color="auto" w:fill="FFFFFF"/>
        </w:rPr>
        <w:t>This is why</w:t>
      </w:r>
      <w:proofErr w:type="gramEnd"/>
      <w:r w:rsidR="0078637B">
        <w:rPr>
          <w:rFonts w:ascii="Helvetica" w:hAnsi="Helvetica" w:cs="Helvetica"/>
          <w:sz w:val="24"/>
          <w:szCs w:val="24"/>
          <w:shd w:val="clear" w:color="auto" w:fill="FFFFFF"/>
        </w:rPr>
        <w:t xml:space="preserve"> we</w:t>
      </w:r>
      <w:r w:rsidRPr="0078637B">
        <w:rPr>
          <w:rFonts w:ascii="Helvetica" w:hAnsi="Helvetica" w:cs="Helvetica"/>
          <w:sz w:val="24"/>
          <w:szCs w:val="24"/>
          <w:shd w:val="clear" w:color="auto" w:fill="FFFFFF"/>
        </w:rPr>
        <w:t xml:space="preserve"> have asked for th</w:t>
      </w:r>
      <w:r w:rsidR="0078637B">
        <w:rPr>
          <w:rFonts w:ascii="Helvetica" w:hAnsi="Helvetica" w:cs="Helvetica"/>
          <w:sz w:val="24"/>
          <w:szCs w:val="24"/>
          <w:shd w:val="clear" w:color="auto" w:fill="FFFFFF"/>
        </w:rPr>
        <w:t>is</w:t>
      </w:r>
      <w:r w:rsidRPr="0078637B">
        <w:rPr>
          <w:rFonts w:ascii="Helvetica" w:hAnsi="Helvetica" w:cs="Helvetica"/>
          <w:sz w:val="24"/>
          <w:szCs w:val="24"/>
          <w:shd w:val="clear" w:color="auto" w:fill="FFFFFF"/>
        </w:rPr>
        <w:t xml:space="preserve"> agenda item as </w:t>
      </w:r>
      <w:r w:rsidR="0078637B">
        <w:rPr>
          <w:rFonts w:ascii="Helvetica" w:hAnsi="Helvetica" w:cs="Helvetica"/>
          <w:sz w:val="24"/>
          <w:szCs w:val="24"/>
          <w:shd w:val="clear" w:color="auto" w:fill="FFFFFF"/>
        </w:rPr>
        <w:t>we</w:t>
      </w:r>
      <w:r w:rsidRPr="0078637B">
        <w:rPr>
          <w:rFonts w:ascii="Helvetica" w:hAnsi="Helvetica" w:cs="Helvetica"/>
          <w:sz w:val="24"/>
          <w:szCs w:val="24"/>
          <w:shd w:val="clear" w:color="auto" w:fill="FFFFFF"/>
        </w:rPr>
        <w:t xml:space="preserve"> want them both to know </w:t>
      </w:r>
      <w:r w:rsidR="0078637B">
        <w:rPr>
          <w:rFonts w:ascii="Helvetica" w:hAnsi="Helvetica" w:cs="Helvetica"/>
          <w:sz w:val="24"/>
          <w:szCs w:val="24"/>
          <w:shd w:val="clear" w:color="auto" w:fill="FFFFFF"/>
        </w:rPr>
        <w:t>that the public needs to be served.</w:t>
      </w:r>
    </w:p>
    <w:p w14:paraId="3E1D7C3E" w14:textId="77777777" w:rsidR="0078637B" w:rsidRDefault="0078637B" w:rsidP="007800B6">
      <w:pPr>
        <w:pStyle w:val="ListParagraph"/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3CA2CCE4" w14:textId="4AFEFCA3" w:rsidR="007800B6" w:rsidRPr="0078637B" w:rsidRDefault="0078637B" w:rsidP="007800B6">
      <w:pPr>
        <w:pStyle w:val="ListParagraph"/>
        <w:rPr>
          <w:rFonts w:ascii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  <w:shd w:val="clear" w:color="auto" w:fill="FFFFFF"/>
        </w:rPr>
        <w:t>We</w:t>
      </w:r>
      <w:r w:rsidR="007800B6" w:rsidRPr="0078637B">
        <w:rPr>
          <w:rFonts w:ascii="Helvetica" w:hAnsi="Helvetica" w:cs="Helvetica"/>
          <w:sz w:val="24"/>
          <w:szCs w:val="24"/>
          <w:shd w:val="clear" w:color="auto" w:fill="FFFFFF"/>
        </w:rPr>
        <w:t xml:space="preserve"> want and need action, preferabl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>y</w:t>
      </w:r>
      <w:r w:rsidR="007800B6" w:rsidRPr="0078637B">
        <w:rPr>
          <w:rFonts w:ascii="Helvetica" w:hAnsi="Helvetica" w:cs="Helvetica"/>
          <w:sz w:val="24"/>
          <w:szCs w:val="24"/>
          <w:shd w:val="clear" w:color="auto" w:fill="FFFFFF"/>
        </w:rPr>
        <w:t xml:space="preserve"> before next summer.  </w:t>
      </w:r>
    </w:p>
    <w:p w14:paraId="66989CF3" w14:textId="77777777" w:rsidR="007800B6" w:rsidRPr="0078637B" w:rsidRDefault="007800B6" w:rsidP="007800B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CA"/>
        </w:rPr>
      </w:pPr>
    </w:p>
    <w:p w14:paraId="3D8098A8" w14:textId="2F1D032A" w:rsidR="00AC01B7" w:rsidRPr="008A43C6" w:rsidRDefault="004127F7" w:rsidP="008A43C6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</w:pPr>
      <w:r w:rsidRPr="008A43C6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Our FAC expressed distress over the fleet deployment timeframe, presented by BCF</w:t>
      </w:r>
      <w:r w:rsidR="00444A7F" w:rsidRPr="008A43C6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 to our FAC,</w:t>
      </w:r>
      <w:r w:rsidRPr="008A43C6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 in the Spring,</w:t>
      </w:r>
    </w:p>
    <w:p w14:paraId="3FBE3AED" w14:textId="77777777" w:rsidR="00AC01B7" w:rsidRDefault="00AC01B7" w:rsidP="00AC01B7">
      <w:pPr>
        <w:pStyle w:val="ListParagraph"/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</w:pPr>
    </w:p>
    <w:p w14:paraId="157EA869" w14:textId="517E03E6" w:rsidR="002C37C1" w:rsidRPr="00AB23CA" w:rsidRDefault="00AC01B7" w:rsidP="00AB23CA">
      <w:pPr>
        <w:spacing w:after="0" w:line="240" w:lineRule="auto"/>
        <w:ind w:left="720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</w:pPr>
      <w:r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The schedule</w:t>
      </w:r>
      <w:r w:rsidR="004127F7"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 outlined </w:t>
      </w:r>
      <w:r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that </w:t>
      </w:r>
      <w:r w:rsidR="004127F7"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the 1973, 25 car capacity </w:t>
      </w:r>
      <w:proofErr w:type="spellStart"/>
      <w:r w:rsidR="004127F7"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Kahloke</w:t>
      </w:r>
      <w:proofErr w:type="spellEnd"/>
      <w:r w:rsidR="004127F7"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, would remain</w:t>
      </w:r>
      <w:r w:rsidR="00AB23CA"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, as the year-round vessel, </w:t>
      </w:r>
      <w:r w:rsidR="004127F7"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on </w:t>
      </w:r>
      <w:r w:rsidR="00444A7F"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the Hornby Island run</w:t>
      </w:r>
      <w:r w:rsidR="004127F7"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 </w:t>
      </w:r>
      <w:r w:rsidR="00194D6F"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(route 22) </w:t>
      </w:r>
      <w:r w:rsidR="004127F7"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until 2034.</w:t>
      </w:r>
      <w:r w:rsidR="00371695"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 </w:t>
      </w:r>
    </w:p>
    <w:p w14:paraId="6BAE4F6B" w14:textId="77777777" w:rsidR="002C37C1" w:rsidRPr="0078637B" w:rsidRDefault="002C37C1" w:rsidP="002C37C1">
      <w:pPr>
        <w:pStyle w:val="ListParagraph"/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</w:pPr>
    </w:p>
    <w:p w14:paraId="5A81EBCA" w14:textId="2E073833" w:rsidR="00371695" w:rsidRPr="00AB23CA" w:rsidRDefault="002C37C1" w:rsidP="00AB23CA">
      <w:pPr>
        <w:spacing w:after="0" w:line="240" w:lineRule="auto"/>
        <w:ind w:left="720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</w:pPr>
      <w:r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This despite </w:t>
      </w:r>
      <w:r w:rsidR="00AC01B7"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the vessel already being 48 years old, and </w:t>
      </w:r>
      <w:r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a 30% increase in traffic</w:t>
      </w:r>
      <w:r w:rsidR="00AC01B7"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, </w:t>
      </w:r>
      <w:r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2014 to 2019</w:t>
      </w:r>
      <w:r w:rsidR="007800B6"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, a</w:t>
      </w:r>
      <w:r w:rsidR="00AC01B7" w:rsidRP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s shown on this graph:</w:t>
      </w:r>
    </w:p>
    <w:p w14:paraId="6CF6868D" w14:textId="77777777" w:rsidR="002C37C1" w:rsidRPr="0078637B" w:rsidRDefault="002C37C1" w:rsidP="002C37C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CA"/>
        </w:rPr>
      </w:pPr>
    </w:p>
    <w:p w14:paraId="1D61F3BF" w14:textId="188050DF" w:rsidR="002C37C1" w:rsidRPr="00371695" w:rsidRDefault="002C37C1" w:rsidP="002C37C1">
      <w:pPr>
        <w:pStyle w:val="ListParagraph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en-CA"/>
        </w:rPr>
      </w:pPr>
      <w:r>
        <w:rPr>
          <w:noProof/>
        </w:rPr>
        <w:lastRenderedPageBreak/>
        <w:drawing>
          <wp:inline distT="0" distB="0" distL="0" distR="0" wp14:anchorId="0DAB3EAD" wp14:editId="59D8CD71">
            <wp:extent cx="3562350" cy="1600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B4B1171-23D0-43CF-8993-C03D10D603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65099D" w14:textId="77777777" w:rsidR="00371695" w:rsidRPr="00371695" w:rsidRDefault="00371695" w:rsidP="00371695">
      <w:pPr>
        <w:spacing w:after="0" w:line="240" w:lineRule="auto"/>
        <w:ind w:left="720"/>
        <w:rPr>
          <w:rFonts w:ascii="Arial" w:eastAsia="Times New Roman" w:hAnsi="Arial" w:cs="Arial"/>
          <w:color w:val="500050"/>
          <w:shd w:val="clear" w:color="auto" w:fill="FFFFFF"/>
          <w:lang w:eastAsia="en-CA"/>
        </w:rPr>
      </w:pPr>
    </w:p>
    <w:p w14:paraId="72A562C2" w14:textId="0BFEF030" w:rsidR="00371695" w:rsidRDefault="00371695" w:rsidP="0078637B">
      <w:pPr>
        <w:spacing w:after="0" w:line="240" w:lineRule="auto"/>
        <w:ind w:left="720"/>
        <w:rPr>
          <w:rStyle w:val="Hyperlink"/>
          <w:rFonts w:ascii="Arial" w:hAnsi="Arial" w:cs="Arial"/>
          <w:sz w:val="20"/>
          <w:szCs w:val="20"/>
          <w:shd w:val="clear" w:color="auto" w:fill="FFFFFF"/>
        </w:rPr>
      </w:pPr>
      <w:r w:rsidRPr="00371695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proofErr w:type="gramStart"/>
      <w:r w:rsidRPr="00371695">
        <w:rPr>
          <w:rFonts w:ascii="Arial" w:hAnsi="Arial" w:cs="Arial"/>
          <w:color w:val="222222"/>
          <w:sz w:val="20"/>
          <w:szCs w:val="20"/>
          <w:shd w:val="clear" w:color="auto" w:fill="FFFFFF"/>
        </w:rPr>
        <w:t>note</w:t>
      </w:r>
      <w:proofErr w:type="gramEnd"/>
      <w:r w:rsidRPr="0037169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 BCF build statistics show the capacity at 21 cars and 200 passengers.  </w:t>
      </w:r>
      <w:hyperlink r:id="rId9" w:history="1">
        <w:r w:rsidRPr="0037169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https://www.bcferries.com/on-the-ferry/our-fleet/kahloke/KAHL</w:t>
        </w:r>
      </w:hyperlink>
    </w:p>
    <w:p w14:paraId="4E51131D" w14:textId="175729C9" w:rsidR="00AB23CA" w:rsidRDefault="00AB23CA" w:rsidP="0078637B">
      <w:pPr>
        <w:spacing w:after="0" w:line="240" w:lineRule="auto"/>
        <w:ind w:left="720"/>
        <w:rPr>
          <w:rFonts w:ascii="Arial" w:eastAsia="Times New Roman" w:hAnsi="Arial" w:cs="Arial"/>
          <w:color w:val="500050"/>
          <w:shd w:val="clear" w:color="auto" w:fill="FFFFFF"/>
          <w:lang w:eastAsia="en-CA"/>
        </w:rPr>
      </w:pPr>
    </w:p>
    <w:p w14:paraId="05EACD3A" w14:textId="3B293502" w:rsidR="00AB23CA" w:rsidRPr="00AB23CA" w:rsidRDefault="00AB23CA" w:rsidP="0078637B">
      <w:pPr>
        <w:spacing w:after="0" w:line="240" w:lineRule="auto"/>
        <w:ind w:left="720"/>
        <w:rPr>
          <w:rFonts w:ascii="Arial" w:eastAsia="Times New Roman" w:hAnsi="Arial" w:cs="Arial"/>
          <w:shd w:val="clear" w:color="auto" w:fill="FFFFFF"/>
          <w:lang w:eastAsia="en-CA"/>
        </w:rPr>
      </w:pPr>
      <w:r w:rsidRPr="00AB23CA">
        <w:rPr>
          <w:rFonts w:ascii="Arial" w:eastAsia="Times New Roman" w:hAnsi="Arial" w:cs="Arial"/>
          <w:shd w:val="clear" w:color="auto" w:fill="FFFFFF"/>
          <w:lang w:eastAsia="en-CA"/>
        </w:rPr>
        <w:t xml:space="preserve">A larger vessel is desperately needed on </w:t>
      </w:r>
      <w:r>
        <w:rPr>
          <w:rFonts w:ascii="Arial" w:eastAsia="Times New Roman" w:hAnsi="Arial" w:cs="Arial"/>
          <w:shd w:val="clear" w:color="auto" w:fill="FFFFFF"/>
          <w:lang w:eastAsia="en-CA"/>
        </w:rPr>
        <w:t>Route 22</w:t>
      </w:r>
      <w:r w:rsidRPr="00AB23CA">
        <w:rPr>
          <w:rFonts w:ascii="Arial" w:eastAsia="Times New Roman" w:hAnsi="Arial" w:cs="Arial"/>
          <w:shd w:val="clear" w:color="auto" w:fill="FFFFFF"/>
          <w:lang w:eastAsia="en-CA"/>
        </w:rPr>
        <w:t>, at least from March through October.</w:t>
      </w:r>
      <w:r>
        <w:rPr>
          <w:rFonts w:ascii="Arial" w:eastAsia="Times New Roman" w:hAnsi="Arial" w:cs="Arial"/>
          <w:shd w:val="clear" w:color="auto" w:fill="FFFFFF"/>
          <w:lang w:eastAsia="en-CA"/>
        </w:rPr>
        <w:t xml:space="preserve"> With a corresponding increase in capacity on Route 21.</w:t>
      </w:r>
    </w:p>
    <w:p w14:paraId="04237165" w14:textId="7B452C54" w:rsidR="007800B6" w:rsidRPr="007800B6" w:rsidRDefault="007800B6" w:rsidP="007800B6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.</w:t>
      </w:r>
    </w:p>
    <w:p w14:paraId="3A6F1AE7" w14:textId="77777777" w:rsidR="00AC01B7" w:rsidRDefault="00535FB8" w:rsidP="008A43C6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</w:pPr>
      <w:r w:rsidRPr="0078637B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Hornby and Denman are served by a different schedule in July and August than the rest of the year.  The FAC has consistently asked for the “summer schedule” to be extended for the </w:t>
      </w:r>
      <w:proofErr w:type="gramStart"/>
      <w:r w:rsidRPr="0078637B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time period</w:t>
      </w:r>
      <w:proofErr w:type="gramEnd"/>
      <w:r w:rsidRPr="0078637B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 mid May (prior to the May long weekend), until after Thanksgiving weekend in October.  </w:t>
      </w:r>
    </w:p>
    <w:p w14:paraId="519CCA62" w14:textId="77777777" w:rsidR="00AC01B7" w:rsidRDefault="00AC01B7" w:rsidP="00AC01B7">
      <w:pPr>
        <w:pStyle w:val="ListParagraph"/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</w:pPr>
    </w:p>
    <w:p w14:paraId="07C61A5F" w14:textId="5BDDF451" w:rsidR="00535FB8" w:rsidRPr="0078637B" w:rsidRDefault="00535FB8" w:rsidP="00AC01B7">
      <w:pPr>
        <w:pStyle w:val="ListParagraph"/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</w:pPr>
      <w:r w:rsidRPr="0078637B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The current system of tying the schedule to the school year summer holidays is a limiting factor for economic expansion for the Islands, and service levels to </w:t>
      </w:r>
      <w:proofErr w:type="gramStart"/>
      <w:r w:rsidRPr="0078637B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local</w:t>
      </w:r>
      <w:r w:rsid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 </w:t>
      </w:r>
      <w:r w:rsidRPr="0078637B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residents</w:t>
      </w:r>
      <w:proofErr w:type="gramEnd"/>
      <w:r w:rsidRPr="0078637B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.</w:t>
      </w:r>
      <w:r w:rsidR="00AB23CA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  This Hornby based chart is indicative of the monthly traffic patterns, year to year, on both Routes 21 and 22.</w:t>
      </w:r>
    </w:p>
    <w:p w14:paraId="2EE0210E" w14:textId="77777777" w:rsidR="002C37C1" w:rsidRPr="0078637B" w:rsidRDefault="002C37C1" w:rsidP="002C37C1">
      <w:pPr>
        <w:pStyle w:val="ListParagraph"/>
        <w:rPr>
          <w:rFonts w:ascii="Helvetica" w:eastAsia="Times New Roman" w:hAnsi="Helvetica" w:cs="Helvetica"/>
          <w:color w:val="500050"/>
          <w:sz w:val="24"/>
          <w:szCs w:val="24"/>
          <w:shd w:val="clear" w:color="auto" w:fill="FFFFFF"/>
          <w:lang w:eastAsia="en-CA"/>
        </w:rPr>
      </w:pPr>
    </w:p>
    <w:p w14:paraId="0EFD84E6" w14:textId="0063872A" w:rsidR="002C37C1" w:rsidRPr="0078637B" w:rsidRDefault="008309CD" w:rsidP="002C37C1">
      <w:pPr>
        <w:pStyle w:val="ListParagraph"/>
        <w:spacing w:after="0" w:line="240" w:lineRule="auto"/>
        <w:rPr>
          <w:rFonts w:ascii="Helvetica" w:eastAsia="Times New Roman" w:hAnsi="Helvetica" w:cs="Helvetica"/>
          <w:color w:val="500050"/>
          <w:sz w:val="24"/>
          <w:szCs w:val="24"/>
          <w:shd w:val="clear" w:color="auto" w:fill="FFFFFF"/>
          <w:lang w:eastAsia="en-CA"/>
        </w:rPr>
      </w:pPr>
      <w:r w:rsidRPr="0078637B"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0544FF3F" wp14:editId="4300D513">
            <wp:extent cx="5091114" cy="2828924"/>
            <wp:effectExtent l="0" t="0" r="14605" b="1016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5C4B5A1B-DC11-4A18-BDE4-29EDFB5398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D29A35" w14:textId="77777777" w:rsidR="008309CD" w:rsidRPr="0078637B" w:rsidRDefault="008309CD" w:rsidP="002C37C1">
      <w:pPr>
        <w:pStyle w:val="ListParagraph"/>
        <w:spacing w:after="0" w:line="240" w:lineRule="auto"/>
        <w:rPr>
          <w:rFonts w:ascii="Helvetica" w:eastAsia="Times New Roman" w:hAnsi="Helvetica" w:cs="Helvetica"/>
          <w:color w:val="500050"/>
          <w:sz w:val="24"/>
          <w:szCs w:val="24"/>
          <w:shd w:val="clear" w:color="auto" w:fill="FFFFFF"/>
          <w:lang w:eastAsia="en-CA"/>
        </w:rPr>
      </w:pPr>
    </w:p>
    <w:p w14:paraId="366D4974" w14:textId="77777777" w:rsidR="008E76E0" w:rsidRPr="0078637B" w:rsidRDefault="008E76E0" w:rsidP="008E76E0">
      <w:pPr>
        <w:spacing w:after="0" w:line="240" w:lineRule="auto"/>
        <w:rPr>
          <w:rFonts w:ascii="Helvetica" w:eastAsia="Times New Roman" w:hAnsi="Helvetica" w:cs="Helvetica"/>
          <w:color w:val="500050"/>
          <w:sz w:val="24"/>
          <w:szCs w:val="24"/>
          <w:shd w:val="clear" w:color="auto" w:fill="FFFFFF"/>
          <w:lang w:eastAsia="en-CA"/>
        </w:rPr>
      </w:pPr>
    </w:p>
    <w:p w14:paraId="5005987F" w14:textId="420E997E" w:rsidR="008E76E0" w:rsidRPr="00AB23CA" w:rsidRDefault="00AB23CA" w:rsidP="008A43C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AB23C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lastRenderedPageBreak/>
        <w:t>We continue to inquire as to why</w:t>
      </w:r>
      <w:r w:rsidR="001D47FE" w:rsidRPr="00AB23C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ex-BCF employee</w:t>
      </w:r>
      <w:r w:rsidRPr="00AB23C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s are not eligible for</w:t>
      </w:r>
      <w:r w:rsidR="001D47FE" w:rsidRPr="00AB23C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a</w:t>
      </w:r>
      <w:r w:rsidR="008E76E0" w:rsidRPr="00AB23C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ppointment to </w:t>
      </w:r>
      <w:r w:rsidR="001D47FE" w:rsidRPr="00AB23C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our</w:t>
      </w:r>
      <w:r w:rsidR="008E76E0" w:rsidRPr="00AB23C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Ferry Advisory Committee</w:t>
      </w:r>
      <w:r w:rsidR="001D47FE" w:rsidRPr="00AB23C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.  </w:t>
      </w:r>
      <w:r w:rsidRPr="00AB23C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Has Brian’s review of the policy around these types of appointments been completed?  If </w:t>
      </w:r>
      <w:r w:rsidRPr="00AB23CA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so, what is the final decision?  And the rationale?  </w:t>
      </w:r>
    </w:p>
    <w:p w14:paraId="452351A9" w14:textId="77777777" w:rsidR="00AB23CA" w:rsidRPr="00AB23CA" w:rsidRDefault="00AB23CA" w:rsidP="00AB23CA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</w:p>
    <w:p w14:paraId="5C986204" w14:textId="04421922" w:rsidR="00376899" w:rsidRPr="0078637B" w:rsidRDefault="008E76E0" w:rsidP="008A43C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Accommodation in the ferry dependent communities for housing staff</w:t>
      </w:r>
      <w:r w:rsidR="00376899"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is becoming an issue.</w:t>
      </w:r>
      <w:r w:rsidR="00371695"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ab/>
      </w:r>
      <w:r w:rsidR="00376899"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</w:t>
      </w:r>
      <w:r w:rsidR="0078637B" w:rsidRPr="0078637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BCF needs to provide accommodation for summer workers. </w:t>
      </w:r>
    </w:p>
    <w:p w14:paraId="444AFBF4" w14:textId="3EEA44E6" w:rsidR="004127F7" w:rsidRPr="0078637B" w:rsidRDefault="00376899" w:rsidP="00371695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Off-island based ferry personnel are parking campers beside of the road to stay in while working on Route 22.  </w:t>
      </w:r>
    </w:p>
    <w:p w14:paraId="6F69F3D9" w14:textId="77777777" w:rsidR="00371695" w:rsidRPr="0078637B" w:rsidRDefault="00371695" w:rsidP="00371695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</w:p>
    <w:p w14:paraId="01B83029" w14:textId="76CAF25C" w:rsidR="008E76E0" w:rsidRPr="0078637B" w:rsidRDefault="008E76E0" w:rsidP="00371695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There may be opportunities to have those workers camp on the ferry decks, with access to washrooms and water.</w:t>
      </w:r>
    </w:p>
    <w:p w14:paraId="1925F1BD" w14:textId="77777777" w:rsidR="004127F7" w:rsidRPr="0078637B" w:rsidRDefault="004127F7" w:rsidP="008E76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</w:p>
    <w:p w14:paraId="3A233B81" w14:textId="2C6C887E" w:rsidR="00371695" w:rsidRPr="0078637B" w:rsidRDefault="004127F7" w:rsidP="008A43C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Lack of secure parking at Buckley Bay</w:t>
      </w:r>
      <w:r w:rsidR="004A5D06"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/Vancouver Island</w:t>
      </w: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hinders efforts to get people out of cars and onto public transportation, which </w:t>
      </w:r>
      <w:r w:rsidR="00AC01B7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could</w:t>
      </w: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help free up deck space</w:t>
      </w:r>
      <w:r w:rsidR="00AB23C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on both Routes 21 and 22.</w:t>
      </w:r>
    </w:p>
    <w:p w14:paraId="23B278B0" w14:textId="77777777" w:rsidR="004127F7" w:rsidRPr="0078637B" w:rsidRDefault="004127F7" w:rsidP="008E76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</w:p>
    <w:p w14:paraId="73C09751" w14:textId="7CF9AC20" w:rsidR="008E76E0" w:rsidRPr="0078637B" w:rsidRDefault="00016EF8" w:rsidP="008A43C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Concerns have been expressed </w:t>
      </w:r>
      <w:r w:rsidR="00371695"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regarding limited t</w:t>
      </w:r>
      <w:r w:rsidR="008E76E0"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raining and staff development, </w:t>
      </w:r>
      <w:r w:rsidR="00AC01B7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and recruitment, </w:t>
      </w:r>
      <w:r w:rsidR="008E76E0"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to anticipate upcoming staffing shortages due to Baby Boomer retirements.</w:t>
      </w:r>
    </w:p>
    <w:p w14:paraId="2D62E87A" w14:textId="6F2CAACE" w:rsidR="00D2268D" w:rsidRPr="0078637B" w:rsidRDefault="00D2268D" w:rsidP="00D226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</w:p>
    <w:p w14:paraId="1FA19F8B" w14:textId="5A5663EA" w:rsidR="00D2268D" w:rsidRPr="0078637B" w:rsidRDefault="00D2268D" w:rsidP="008A43C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We welcomed the recent news that BCF is going to extend public </w:t>
      </w:r>
      <w:proofErr w:type="spellStart"/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wifi</w:t>
      </w:r>
      <w:proofErr w:type="spellEnd"/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access at the Gravelly Bay terminal, currently a dead zone for cellular and internet.</w:t>
      </w:r>
      <w:r w:rsidR="00AC01B7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And offer thanks.</w:t>
      </w:r>
    </w:p>
    <w:p w14:paraId="1DFB68BD" w14:textId="77777777" w:rsidR="0077722B" w:rsidRPr="0078637B" w:rsidRDefault="0077722B" w:rsidP="0077722B">
      <w:pPr>
        <w:pStyle w:val="ListParagraph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</w:p>
    <w:p w14:paraId="210D8030" w14:textId="506C349E" w:rsidR="0077722B" w:rsidRPr="0078637B" w:rsidRDefault="0077722B" w:rsidP="008A43C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The </w:t>
      </w:r>
      <w:r w:rsidR="004A5D06"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lengthy, </w:t>
      </w: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unsupervised line-ups on Hornby Island continue to be a frustration, and repeated requests have been sent to have BCF </w:t>
      </w:r>
      <w:r w:rsidR="004A5D06"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to </w:t>
      </w: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share their webcam feed, (which aims up the line-up), with the public.  This may help to spread the line-ups out, as people can better time their departures.</w:t>
      </w:r>
    </w:p>
    <w:p w14:paraId="4FDC609B" w14:textId="77777777" w:rsidR="00D2268D" w:rsidRPr="0078637B" w:rsidRDefault="00D2268D" w:rsidP="00D2268D">
      <w:pPr>
        <w:pStyle w:val="ListParagraph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</w:p>
    <w:p w14:paraId="2205B423" w14:textId="2DE9B438" w:rsidR="00D2268D" w:rsidRPr="0078637B" w:rsidRDefault="00D2268D" w:rsidP="008A43C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The Terminal Staff at Buckley Bay </w:t>
      </w:r>
      <w:r w:rsidR="004A5D06"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are thanked as</w:t>
      </w: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valued </w:t>
      </w:r>
      <w:r w:rsidR="004A5D06"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communication </w:t>
      </w: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partners in the storage, and distribution, of the Hornby Denman Visitors Guide, which includes a paper copy of the </w:t>
      </w:r>
      <w:proofErr w:type="spellStart"/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l</w:t>
      </w:r>
      <w:r w:rsidR="004A5D06"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slands</w:t>
      </w:r>
      <w:proofErr w:type="spellEnd"/>
      <w:r w:rsidR="004A5D06"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’</w:t>
      </w: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ferry summer schedules.</w:t>
      </w:r>
    </w:p>
    <w:p w14:paraId="6EC749D8" w14:textId="2C8FB4C1" w:rsidR="00D2268D" w:rsidRPr="0078637B" w:rsidRDefault="00D2268D" w:rsidP="00D226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</w:p>
    <w:p w14:paraId="3FDFD2D7" w14:textId="6C111899" w:rsidR="0077722B" w:rsidRPr="0078637B" w:rsidRDefault="00D2268D" w:rsidP="008A43C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Sincere thanks</w:t>
      </w:r>
      <w:r w:rsidR="0077722B"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</w:t>
      </w: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for their many years of service and public care, were expressed to retiring </w:t>
      </w:r>
      <w:r w:rsidR="0077722B"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local </w:t>
      </w: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BCF </w:t>
      </w:r>
      <w:r w:rsidR="0077722B"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management:</w:t>
      </w:r>
    </w:p>
    <w:p w14:paraId="08A8489E" w14:textId="77777777" w:rsidR="0077722B" w:rsidRPr="0078637B" w:rsidRDefault="0077722B" w:rsidP="0077722B">
      <w:pPr>
        <w:pStyle w:val="ListParagraph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</w:p>
    <w:p w14:paraId="1953202D" w14:textId="2AE074E8" w:rsidR="0077722B" w:rsidRPr="0078637B" w:rsidRDefault="00D2268D" w:rsidP="0077722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Capt. Al de </w:t>
      </w:r>
      <w:proofErr w:type="spellStart"/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Kornick</w:t>
      </w:r>
      <w:proofErr w:type="spellEnd"/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, Marine Superintendent</w:t>
      </w:r>
    </w:p>
    <w:p w14:paraId="74934112" w14:textId="503453B6" w:rsidR="0077722B" w:rsidRPr="0078637B" w:rsidRDefault="00D2268D" w:rsidP="0077722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Jeff West, </w:t>
      </w:r>
      <w:r w:rsidR="0077722B" w:rsidRPr="0078637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Terminal Operations Superintendent, North Region</w:t>
      </w: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</w:t>
      </w:r>
    </w:p>
    <w:p w14:paraId="20162648" w14:textId="25060FA7" w:rsidR="00D2268D" w:rsidRPr="0078637B" w:rsidRDefault="00D2268D" w:rsidP="0077722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Kim Macaula</w:t>
      </w:r>
      <w:r w:rsidR="0077722B" w:rsidRPr="0078637B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y, Terminal Manager.</w:t>
      </w:r>
    </w:p>
    <w:p w14:paraId="3E79F231" w14:textId="77777777" w:rsidR="008E76E0" w:rsidRPr="0078637B" w:rsidRDefault="008E76E0" w:rsidP="008E76E0">
      <w:pPr>
        <w:spacing w:after="0" w:line="240" w:lineRule="auto"/>
        <w:rPr>
          <w:rFonts w:ascii="Helvetica" w:eastAsia="Times New Roman" w:hAnsi="Helvetica" w:cs="Helvetica"/>
          <w:color w:val="500050"/>
          <w:sz w:val="24"/>
          <w:szCs w:val="24"/>
          <w:shd w:val="clear" w:color="auto" w:fill="FFFFFF"/>
          <w:lang w:eastAsia="en-CA"/>
        </w:rPr>
      </w:pPr>
    </w:p>
    <w:p w14:paraId="674D0DB3" w14:textId="77777777" w:rsidR="008E76E0" w:rsidRPr="0078637B" w:rsidRDefault="008E76E0" w:rsidP="008E76E0">
      <w:pPr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</w:pPr>
      <w:r w:rsidRPr="0078637B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Thank you,</w:t>
      </w:r>
    </w:p>
    <w:p w14:paraId="12138C4F" w14:textId="77777777" w:rsidR="008E76E0" w:rsidRPr="0078637B" w:rsidRDefault="008E76E0" w:rsidP="008E76E0">
      <w:pPr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</w:pPr>
      <w:r w:rsidRPr="0078637B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Karen Ross</w:t>
      </w:r>
    </w:p>
    <w:p w14:paraId="4521E7CF" w14:textId="49CFAC4E" w:rsidR="00371695" w:rsidRPr="00AB23CA" w:rsidRDefault="00AB23CA">
      <w:pP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 xml:space="preserve">With Chair Frank </w:t>
      </w:r>
      <w:proofErr w:type="spellStart"/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Frketich</w:t>
      </w:r>
      <w:proofErr w:type="spellEnd"/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, f</w:t>
      </w:r>
      <w:r w:rsidR="00371695" w:rsidRPr="0078637B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en-CA"/>
        </w:rPr>
        <w:t>or the Hornby Denman FAC</w:t>
      </w:r>
    </w:p>
    <w:sectPr w:rsidR="00371695" w:rsidRPr="00AB23CA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88E2" w14:textId="77777777" w:rsidR="004F3E96" w:rsidRDefault="004F3E96" w:rsidP="00AB23CA">
      <w:pPr>
        <w:spacing w:after="0" w:line="240" w:lineRule="auto"/>
      </w:pPr>
      <w:r>
        <w:separator/>
      </w:r>
    </w:p>
  </w:endnote>
  <w:endnote w:type="continuationSeparator" w:id="0">
    <w:p w14:paraId="2F201218" w14:textId="77777777" w:rsidR="004F3E96" w:rsidRDefault="004F3E96" w:rsidP="00AB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367E" w14:textId="77777777" w:rsidR="004F3E96" w:rsidRDefault="004F3E96" w:rsidP="00AB23CA">
      <w:pPr>
        <w:spacing w:after="0" w:line="240" w:lineRule="auto"/>
      </w:pPr>
      <w:r>
        <w:separator/>
      </w:r>
    </w:p>
  </w:footnote>
  <w:footnote w:type="continuationSeparator" w:id="0">
    <w:p w14:paraId="0B412900" w14:textId="77777777" w:rsidR="004F3E96" w:rsidRDefault="004F3E96" w:rsidP="00AB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C618" w14:textId="77777777" w:rsidR="00AB23CA" w:rsidRPr="0078637B" w:rsidRDefault="00AB23CA" w:rsidP="00AB23CA">
    <w:pPr>
      <w:spacing w:after="0" w:line="240" w:lineRule="auto"/>
      <w:rPr>
        <w:rFonts w:ascii="Helvetica" w:eastAsia="Times New Roman" w:hAnsi="Helvetica" w:cs="Helvetica"/>
        <w:b/>
        <w:bCs/>
        <w:color w:val="8EAADB" w:themeColor="accent1" w:themeTint="99"/>
        <w:spacing w:val="5"/>
        <w:sz w:val="32"/>
        <w:szCs w:val="32"/>
        <w:lang w:eastAsia="en-CA"/>
      </w:rPr>
    </w:pPr>
    <w:r w:rsidRPr="0078637B">
      <w:rPr>
        <w:rFonts w:ascii="Helvetica" w:eastAsia="Times New Roman" w:hAnsi="Helvetica" w:cs="Helvetica"/>
        <w:b/>
        <w:bCs/>
        <w:color w:val="8EAADB" w:themeColor="accent1" w:themeTint="99"/>
        <w:spacing w:val="5"/>
        <w:sz w:val="32"/>
        <w:szCs w:val="32"/>
        <w:lang w:eastAsia="en-CA"/>
      </w:rPr>
      <w:t xml:space="preserve">ROUTE 21 and 22, Hornby and Denman Islands </w:t>
    </w:r>
  </w:p>
  <w:p w14:paraId="3C3D680D" w14:textId="77777777" w:rsidR="00AB23CA" w:rsidRPr="0078637B" w:rsidRDefault="00AB23CA" w:rsidP="00AB23CA">
    <w:pPr>
      <w:spacing w:after="0" w:line="240" w:lineRule="auto"/>
      <w:rPr>
        <w:rFonts w:ascii="Helvetica" w:eastAsia="Times New Roman" w:hAnsi="Helvetica" w:cs="Helvetica"/>
        <w:b/>
        <w:bCs/>
        <w:color w:val="8EAADB" w:themeColor="accent1" w:themeTint="99"/>
        <w:spacing w:val="5"/>
        <w:sz w:val="32"/>
        <w:szCs w:val="32"/>
        <w:lang w:eastAsia="en-CA"/>
      </w:rPr>
    </w:pPr>
    <w:r w:rsidRPr="0078637B">
      <w:rPr>
        <w:rFonts w:ascii="Helvetica" w:eastAsia="Times New Roman" w:hAnsi="Helvetica" w:cs="Helvetica"/>
        <w:b/>
        <w:bCs/>
        <w:color w:val="8EAADB" w:themeColor="accent1" w:themeTint="99"/>
        <w:spacing w:val="5"/>
        <w:sz w:val="32"/>
        <w:szCs w:val="32"/>
        <w:lang w:eastAsia="en-CA"/>
      </w:rPr>
      <w:t>FACC REPORT 2021, Year in Review</w:t>
    </w:r>
  </w:p>
  <w:p w14:paraId="1ACD92B1" w14:textId="77777777" w:rsidR="00AB23CA" w:rsidRPr="0078637B" w:rsidRDefault="00AB23CA" w:rsidP="00AB23CA">
    <w:pPr>
      <w:spacing w:after="0" w:line="240" w:lineRule="auto"/>
      <w:rPr>
        <w:rFonts w:ascii="Helvetica" w:eastAsia="Times New Roman" w:hAnsi="Helvetica" w:cs="Helvetica"/>
        <w:b/>
        <w:bCs/>
        <w:color w:val="8EAADB" w:themeColor="accent1" w:themeTint="99"/>
        <w:spacing w:val="5"/>
        <w:sz w:val="32"/>
        <w:szCs w:val="32"/>
        <w:lang w:eastAsia="en-CA"/>
      </w:rPr>
    </w:pPr>
    <w:r w:rsidRPr="0078637B">
      <w:rPr>
        <w:rFonts w:ascii="Helvetica" w:eastAsia="Times New Roman" w:hAnsi="Helvetica" w:cs="Helvetica"/>
        <w:b/>
        <w:bCs/>
        <w:color w:val="8EAADB" w:themeColor="accent1" w:themeTint="99"/>
        <w:spacing w:val="5"/>
        <w:sz w:val="32"/>
        <w:szCs w:val="32"/>
        <w:lang w:eastAsia="en-CA"/>
      </w:rPr>
      <w:t>August ‘21</w:t>
    </w:r>
  </w:p>
  <w:p w14:paraId="32FCF25F" w14:textId="77777777" w:rsidR="00AB23CA" w:rsidRDefault="00AB2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4350"/>
    <w:multiLevelType w:val="hybridMultilevel"/>
    <w:tmpl w:val="254899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B5719"/>
    <w:multiLevelType w:val="hybridMultilevel"/>
    <w:tmpl w:val="CBD6840E"/>
    <w:lvl w:ilvl="0" w:tplc="A8648BB0">
      <w:start w:val="1"/>
      <w:numFmt w:val="low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372AC"/>
    <w:multiLevelType w:val="hybridMultilevel"/>
    <w:tmpl w:val="B1CEDB0C"/>
    <w:lvl w:ilvl="0" w:tplc="376EF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A296E"/>
    <w:multiLevelType w:val="hybridMultilevel"/>
    <w:tmpl w:val="2E363614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0F1598"/>
    <w:multiLevelType w:val="hybridMultilevel"/>
    <w:tmpl w:val="04F0C65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13F41"/>
    <w:multiLevelType w:val="hybridMultilevel"/>
    <w:tmpl w:val="AF7229E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D428BB"/>
    <w:multiLevelType w:val="hybridMultilevel"/>
    <w:tmpl w:val="9618AF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62C89"/>
    <w:multiLevelType w:val="hybridMultilevel"/>
    <w:tmpl w:val="5E5ECCFC"/>
    <w:lvl w:ilvl="0" w:tplc="1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B09DE"/>
    <w:multiLevelType w:val="hybridMultilevel"/>
    <w:tmpl w:val="12443E3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E0"/>
    <w:rsid w:val="00016EF8"/>
    <w:rsid w:val="00194D6F"/>
    <w:rsid w:val="001D47FE"/>
    <w:rsid w:val="002C37C1"/>
    <w:rsid w:val="00371695"/>
    <w:rsid w:val="00376899"/>
    <w:rsid w:val="003A4745"/>
    <w:rsid w:val="004127F7"/>
    <w:rsid w:val="00444A7F"/>
    <w:rsid w:val="004A5D06"/>
    <w:rsid w:val="004E2D3D"/>
    <w:rsid w:val="004F3E96"/>
    <w:rsid w:val="00535FB8"/>
    <w:rsid w:val="0068053C"/>
    <w:rsid w:val="0077722B"/>
    <w:rsid w:val="007800B6"/>
    <w:rsid w:val="0078637B"/>
    <w:rsid w:val="007A352E"/>
    <w:rsid w:val="008309CD"/>
    <w:rsid w:val="008A41B6"/>
    <w:rsid w:val="008A43C6"/>
    <w:rsid w:val="008E76E0"/>
    <w:rsid w:val="00AB23CA"/>
    <w:rsid w:val="00AC01B7"/>
    <w:rsid w:val="00C51541"/>
    <w:rsid w:val="00D2268D"/>
    <w:rsid w:val="00DB47C9"/>
    <w:rsid w:val="00F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72275"/>
  <w15:chartTrackingRefBased/>
  <w15:docId w15:val="{7214E714-4D1F-409B-BD0A-AD1FF1AB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6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6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3CA"/>
  </w:style>
  <w:style w:type="paragraph" w:styleId="Footer">
    <w:name w:val="footer"/>
    <w:basedOn w:val="Normal"/>
    <w:link w:val="FooterChar"/>
    <w:uiPriority w:val="99"/>
    <w:unhideWhenUsed/>
    <w:rsid w:val="00AB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8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23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19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03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0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1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8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9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2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4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9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9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2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2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hyperlink" Target="https://www.bcferries.com/on-the-ferry/our-fleet/kahloke/KAH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Passenger ferry tickets - Denman to Hornby, 2014-2019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Sheet1!$S$7:$S$12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xVal>
          <c:yVal>
            <c:numRef>
              <c:f>Sheet1!$T$7:$T$12</c:f>
              <c:numCache>
                <c:formatCode>General</c:formatCode>
                <c:ptCount val="6"/>
                <c:pt idx="0">
                  <c:v>97756</c:v>
                </c:pt>
                <c:pt idx="1">
                  <c:v>107408</c:v>
                </c:pt>
                <c:pt idx="2">
                  <c:v>114561</c:v>
                </c:pt>
                <c:pt idx="3">
                  <c:v>120884</c:v>
                </c:pt>
                <c:pt idx="4">
                  <c:v>125476</c:v>
                </c:pt>
                <c:pt idx="5">
                  <c:v>127866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C4D-48ED-B158-7FF3B8C7B5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2633712"/>
        <c:axId val="712632400"/>
      </c:scatterChart>
      <c:valAx>
        <c:axId val="712633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2632400"/>
        <c:crosses val="autoZero"/>
        <c:crossBetween val="midCat"/>
      </c:valAx>
      <c:valAx>
        <c:axId val="712632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26337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Passenger ferry tickets - Denman to Hornbys</a:t>
            </a:r>
          </a:p>
          <a:p>
            <a:pPr>
              <a:defRPr/>
            </a:pPr>
            <a:r>
              <a:rPr lang="en-CA"/>
              <a:t>2014 to June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Sheet1!$A$8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Sheet1!$B$7:$M$7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Sheet1!$B$8:$M$8</c:f>
              <c:numCache>
                <c:formatCode>General</c:formatCode>
                <c:ptCount val="12"/>
                <c:pt idx="0">
                  <c:v>3988</c:v>
                </c:pt>
                <c:pt idx="1">
                  <c:v>3627</c:v>
                </c:pt>
                <c:pt idx="2">
                  <c:v>5246</c:v>
                </c:pt>
                <c:pt idx="3">
                  <c:v>5945</c:v>
                </c:pt>
                <c:pt idx="4">
                  <c:v>7764</c:v>
                </c:pt>
                <c:pt idx="5">
                  <c:v>9686</c:v>
                </c:pt>
                <c:pt idx="6">
                  <c:v>18310</c:v>
                </c:pt>
                <c:pt idx="7">
                  <c:v>20397</c:v>
                </c:pt>
                <c:pt idx="8">
                  <c:v>8222</c:v>
                </c:pt>
                <c:pt idx="9">
                  <c:v>5306</c:v>
                </c:pt>
                <c:pt idx="10">
                  <c:v>4522</c:v>
                </c:pt>
                <c:pt idx="11">
                  <c:v>4743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A5-4DAC-B77F-29A0CDE518E5}"/>
            </c:ext>
          </c:extLst>
        </c:ser>
        <c:ser>
          <c:idx val="1"/>
          <c:order val="1"/>
          <c:tx>
            <c:strRef>
              <c:f>Sheet1!$A$9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Sheet1!$B$7:$M$7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Sheet1!$B$9:$M$9</c:f>
              <c:numCache>
                <c:formatCode>General</c:formatCode>
                <c:ptCount val="12"/>
                <c:pt idx="0">
                  <c:v>3621</c:v>
                </c:pt>
                <c:pt idx="1">
                  <c:v>4288</c:v>
                </c:pt>
                <c:pt idx="2">
                  <c:v>5756</c:v>
                </c:pt>
                <c:pt idx="3">
                  <c:v>6351</c:v>
                </c:pt>
                <c:pt idx="4">
                  <c:v>8902</c:v>
                </c:pt>
                <c:pt idx="5">
                  <c:v>11940</c:v>
                </c:pt>
                <c:pt idx="6">
                  <c:v>20817</c:v>
                </c:pt>
                <c:pt idx="7">
                  <c:v>20346</c:v>
                </c:pt>
                <c:pt idx="8">
                  <c:v>9569</c:v>
                </c:pt>
                <c:pt idx="9">
                  <c:v>5868</c:v>
                </c:pt>
                <c:pt idx="10">
                  <c:v>4873</c:v>
                </c:pt>
                <c:pt idx="11">
                  <c:v>5077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A5-4DAC-B77F-29A0CDE518E5}"/>
            </c:ext>
          </c:extLst>
        </c:ser>
        <c:ser>
          <c:idx val="2"/>
          <c:order val="2"/>
          <c:tx>
            <c:strRef>
              <c:f>Sheet1!$A$10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Sheet1!$B$7:$M$7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Sheet1!$B$10:$M$10</c:f>
              <c:numCache>
                <c:formatCode>General</c:formatCode>
                <c:ptCount val="12"/>
                <c:pt idx="0">
                  <c:v>4050</c:v>
                </c:pt>
                <c:pt idx="1">
                  <c:v>4686</c:v>
                </c:pt>
                <c:pt idx="2">
                  <c:v>7075</c:v>
                </c:pt>
                <c:pt idx="3">
                  <c:v>6200</c:v>
                </c:pt>
                <c:pt idx="4">
                  <c:v>9141</c:v>
                </c:pt>
                <c:pt idx="5">
                  <c:v>12392</c:v>
                </c:pt>
                <c:pt idx="6">
                  <c:v>22678</c:v>
                </c:pt>
                <c:pt idx="7">
                  <c:v>22133</c:v>
                </c:pt>
                <c:pt idx="8">
                  <c:v>9896</c:v>
                </c:pt>
                <c:pt idx="9">
                  <c:v>5905</c:v>
                </c:pt>
                <c:pt idx="10">
                  <c:v>5032</c:v>
                </c:pt>
                <c:pt idx="11">
                  <c:v>5373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A5-4DAC-B77F-29A0CDE518E5}"/>
            </c:ext>
          </c:extLst>
        </c:ser>
        <c:ser>
          <c:idx val="3"/>
          <c:order val="3"/>
          <c:tx>
            <c:strRef>
              <c:f>Sheet1!$A$11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Sheet1!$B$7:$M$7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Sheet1!$B$11:$M$11</c:f>
              <c:numCache>
                <c:formatCode>General</c:formatCode>
                <c:ptCount val="12"/>
                <c:pt idx="0">
                  <c:v>4278</c:v>
                </c:pt>
                <c:pt idx="1">
                  <c:v>4080</c:v>
                </c:pt>
                <c:pt idx="2">
                  <c:v>6795</c:v>
                </c:pt>
                <c:pt idx="3">
                  <c:v>6685</c:v>
                </c:pt>
                <c:pt idx="4">
                  <c:v>9915</c:v>
                </c:pt>
                <c:pt idx="5">
                  <c:v>13088</c:v>
                </c:pt>
                <c:pt idx="6">
                  <c:v>23235</c:v>
                </c:pt>
                <c:pt idx="7">
                  <c:v>24267</c:v>
                </c:pt>
                <c:pt idx="8">
                  <c:v>11556</c:v>
                </c:pt>
                <c:pt idx="9">
                  <c:v>6800</c:v>
                </c:pt>
                <c:pt idx="10">
                  <c:v>5042</c:v>
                </c:pt>
                <c:pt idx="11">
                  <c:v>5143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A5-4DAC-B77F-29A0CDE518E5}"/>
            </c:ext>
          </c:extLst>
        </c:ser>
        <c:ser>
          <c:idx val="4"/>
          <c:order val="4"/>
          <c:tx>
            <c:strRef>
              <c:f>Sheet1!$A$12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Sheet1!$B$7:$M$7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Sheet1!$B$12:$M$12</c:f>
              <c:numCache>
                <c:formatCode>General</c:formatCode>
                <c:ptCount val="12"/>
                <c:pt idx="0">
                  <c:v>4112</c:v>
                </c:pt>
                <c:pt idx="1">
                  <c:v>4352</c:v>
                </c:pt>
                <c:pt idx="2">
                  <c:v>7609</c:v>
                </c:pt>
                <c:pt idx="3">
                  <c:v>7198</c:v>
                </c:pt>
                <c:pt idx="4">
                  <c:v>10983</c:v>
                </c:pt>
                <c:pt idx="5">
                  <c:v>14026</c:v>
                </c:pt>
                <c:pt idx="6">
                  <c:v>23729</c:v>
                </c:pt>
                <c:pt idx="7">
                  <c:v>24683</c:v>
                </c:pt>
                <c:pt idx="8">
                  <c:v>10326</c:v>
                </c:pt>
                <c:pt idx="9">
                  <c:v>7198</c:v>
                </c:pt>
                <c:pt idx="10">
                  <c:v>5873</c:v>
                </c:pt>
                <c:pt idx="11">
                  <c:v>5387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A5-4DAC-B77F-29A0CDE518E5}"/>
            </c:ext>
          </c:extLst>
        </c:ser>
        <c:ser>
          <c:idx val="5"/>
          <c:order val="5"/>
          <c:tx>
            <c:strRef>
              <c:f>Sheet1!$A$13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Sheet1!$B$7:$M$7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Sheet1!$B$13:$M$13</c:f>
              <c:numCache>
                <c:formatCode>General</c:formatCode>
                <c:ptCount val="12"/>
                <c:pt idx="0">
                  <c:v>4565</c:v>
                </c:pt>
                <c:pt idx="1">
                  <c:v>3988</c:v>
                </c:pt>
                <c:pt idx="2">
                  <c:v>7912</c:v>
                </c:pt>
                <c:pt idx="3">
                  <c:v>7852</c:v>
                </c:pt>
                <c:pt idx="4">
                  <c:v>11107</c:v>
                </c:pt>
                <c:pt idx="5">
                  <c:v>15787</c:v>
                </c:pt>
                <c:pt idx="6">
                  <c:v>22984</c:v>
                </c:pt>
                <c:pt idx="7">
                  <c:v>24385</c:v>
                </c:pt>
                <c:pt idx="8">
                  <c:v>10457</c:v>
                </c:pt>
                <c:pt idx="9">
                  <c:v>7019</c:v>
                </c:pt>
                <c:pt idx="10">
                  <c:v>6031</c:v>
                </c:pt>
                <c:pt idx="11">
                  <c:v>5779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2A5-4DAC-B77F-29A0CDE518E5}"/>
            </c:ext>
          </c:extLst>
        </c:ser>
        <c:ser>
          <c:idx val="6"/>
          <c:order val="6"/>
          <c:tx>
            <c:strRef>
              <c:f>Sheet1!$A$14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Sheet1!$B$7:$M$7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Sheet1!$B$14:$M$14</c:f>
              <c:numCache>
                <c:formatCode>General</c:formatCode>
                <c:ptCount val="12"/>
                <c:pt idx="0">
                  <c:v>4175</c:v>
                </c:pt>
                <c:pt idx="1">
                  <c:v>5307</c:v>
                </c:pt>
                <c:pt idx="2">
                  <c:v>5352</c:v>
                </c:pt>
                <c:pt idx="3">
                  <c:v>2348</c:v>
                </c:pt>
                <c:pt idx="4">
                  <c:v>4514</c:v>
                </c:pt>
                <c:pt idx="5">
                  <c:v>10749</c:v>
                </c:pt>
                <c:pt idx="6">
                  <c:v>20728</c:v>
                </c:pt>
                <c:pt idx="7">
                  <c:v>22343</c:v>
                </c:pt>
                <c:pt idx="8" formatCode="#,##0">
                  <c:v>12523</c:v>
                </c:pt>
                <c:pt idx="9" formatCode="#,##0">
                  <c:v>7814</c:v>
                </c:pt>
                <c:pt idx="10" formatCode="#,##0">
                  <c:v>5368</c:v>
                </c:pt>
                <c:pt idx="11" formatCode="#,##0">
                  <c:v>4519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2A5-4DAC-B77F-29A0CDE518E5}"/>
            </c:ext>
          </c:extLst>
        </c:ser>
        <c:ser>
          <c:idx val="7"/>
          <c:order val="7"/>
          <c:tx>
            <c:strRef>
              <c:f>Sheet1!$A$15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Sheet1!$B$7:$M$7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Sheet1!$B$15:$M$15</c:f>
              <c:numCache>
                <c:formatCode>#,##0</c:formatCode>
                <c:ptCount val="12"/>
                <c:pt idx="0">
                  <c:v>4066</c:v>
                </c:pt>
                <c:pt idx="1">
                  <c:v>4571</c:v>
                </c:pt>
                <c:pt idx="2">
                  <c:v>7123</c:v>
                </c:pt>
                <c:pt idx="3">
                  <c:v>6402</c:v>
                </c:pt>
                <c:pt idx="4">
                  <c:v>6752</c:v>
                </c:pt>
                <c:pt idx="5">
                  <c:v>13483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2A5-4DAC-B77F-29A0CDE518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2413688"/>
        <c:axId val="742407784"/>
      </c:barChart>
      <c:catAx>
        <c:axId val="742413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2407784"/>
        <c:crosses val="autoZero"/>
        <c:auto val="1"/>
        <c:lblAlgn val="ctr"/>
        <c:lblOffset val="100"/>
        <c:noMultiLvlLbl val="0"/>
      </c:catAx>
      <c:valAx>
        <c:axId val="742407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2413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762</Words>
  <Characters>4056</Characters>
  <Application>Microsoft Office Word</Application>
  <DocSecurity>0</DocSecurity>
  <Lines>96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14</cp:revision>
  <dcterms:created xsi:type="dcterms:W3CDTF">2021-08-06T16:22:00Z</dcterms:created>
  <dcterms:modified xsi:type="dcterms:W3CDTF">2021-09-10T17:57:00Z</dcterms:modified>
</cp:coreProperties>
</file>