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33957" w14:textId="668BC21A" w:rsidR="00D84F18" w:rsidRDefault="00D84F18">
      <w:pPr>
        <w:rPr>
          <w:noProof/>
        </w:rPr>
      </w:pPr>
    </w:p>
    <w:p w14:paraId="1AA25742" w14:textId="1A5863F5" w:rsidR="00D84F18" w:rsidRDefault="00D84F18">
      <w:pPr>
        <w:rPr>
          <w:noProof/>
        </w:rPr>
      </w:pPr>
      <w:r>
        <w:rPr>
          <w:rFonts w:ascii="Arial" w:hAnsi="Arial" w:cs="Arial"/>
          <w:sz w:val="41"/>
          <w:szCs w:val="41"/>
        </w:rPr>
        <w:t xml:space="preserve">THE HOUSING CONTINUUM </w:t>
      </w:r>
      <w:r>
        <w:rPr>
          <w:rFonts w:ascii="Arial" w:hAnsi="Arial" w:cs="Arial"/>
          <w:sz w:val="20"/>
          <w:szCs w:val="20"/>
        </w:rPr>
        <w:t xml:space="preserve">The Housing Continuum describes the range of housing in a community, both market and non-market housing. Non-market housing refers to housing below market rents or prices, ranging from emergency shelters through various forms of supportive housing and housing co-operatives. Moving across the continuum to the right is market rental housing and home </w:t>
      </w:r>
      <w:proofErr w:type="spellStart"/>
      <w:proofErr w:type="gramStart"/>
      <w:r>
        <w:rPr>
          <w:rFonts w:ascii="Arial" w:hAnsi="Arial" w:cs="Arial"/>
          <w:sz w:val="20"/>
          <w:szCs w:val="20"/>
        </w:rPr>
        <w:t>ownership.The</w:t>
      </w:r>
      <w:proofErr w:type="spellEnd"/>
      <w:proofErr w:type="gramEnd"/>
      <w:r>
        <w:rPr>
          <w:rFonts w:ascii="Arial" w:hAnsi="Arial" w:cs="Arial"/>
          <w:sz w:val="20"/>
          <w:szCs w:val="20"/>
        </w:rPr>
        <w:t xml:space="preserve"> mix of market and non-market housing varies depending on community, as every community has a different socio-economic make-up and community-specific needs. However, residents should have the opportunity to move across the housing continuum and find housing that is most appropriate and best suited to their needs and circumstances, and housing that meets housing standards of adequacy, suitability, and affordability. To meet the needs of residents, communities strive to maintain housing across the continuum, identifying and filling gaps whe</w:t>
      </w:r>
      <w:r>
        <w:rPr>
          <w:rFonts w:ascii="Arial" w:hAnsi="Arial" w:cs="Arial"/>
          <w:sz w:val="20"/>
          <w:szCs w:val="20"/>
        </w:rPr>
        <w:t>n needed.</w:t>
      </w:r>
    </w:p>
    <w:p w14:paraId="218B6B37" w14:textId="6DD3D159" w:rsidR="00F62B84" w:rsidRDefault="00D84F18">
      <w:r>
        <w:rPr>
          <w:noProof/>
        </w:rPr>
        <w:drawing>
          <wp:inline distT="0" distB="0" distL="0" distR="0" wp14:anchorId="642F0CA8" wp14:editId="2D01F505">
            <wp:extent cx="5943600" cy="158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584325"/>
                    </a:xfrm>
                    <a:prstGeom prst="rect">
                      <a:avLst/>
                    </a:prstGeom>
                  </pic:spPr>
                </pic:pic>
              </a:graphicData>
            </a:graphic>
          </wp:inline>
        </w:drawing>
      </w:r>
    </w:p>
    <w:p w14:paraId="1DAA163A" w14:textId="49CD8E2B" w:rsidR="00D84F18" w:rsidRDefault="00D84F18">
      <w:r>
        <w:t>Source:  City of Nanaimo Affordable Housing Discussion paper, April 2018</w:t>
      </w:r>
    </w:p>
    <w:p w14:paraId="03517D95" w14:textId="4BFF7E67" w:rsidR="00D84F18" w:rsidRDefault="00D84F18">
      <w:pPr>
        <w:rPr>
          <w:rFonts w:ascii="Arial" w:hAnsi="Arial" w:cs="Arial"/>
          <w:sz w:val="20"/>
          <w:szCs w:val="20"/>
        </w:rPr>
      </w:pPr>
      <w:r>
        <w:t xml:space="preserve"> </w:t>
      </w:r>
      <w:r>
        <w:rPr>
          <w:rFonts w:ascii="Arial" w:hAnsi="Arial" w:cs="Arial"/>
          <w:sz w:val="20"/>
          <w:szCs w:val="20"/>
        </w:rPr>
        <w:t xml:space="preserve">Prepared by: </w:t>
      </w:r>
      <w:proofErr w:type="spellStart"/>
      <w:r>
        <w:rPr>
          <w:rFonts w:ascii="Arial" w:hAnsi="Arial" w:cs="Arial"/>
          <w:sz w:val="20"/>
          <w:szCs w:val="20"/>
        </w:rPr>
        <w:t>CitySpaces</w:t>
      </w:r>
      <w:proofErr w:type="spellEnd"/>
      <w:r>
        <w:rPr>
          <w:rFonts w:ascii="Arial" w:hAnsi="Arial" w:cs="Arial"/>
          <w:sz w:val="20"/>
          <w:szCs w:val="20"/>
        </w:rPr>
        <w:t xml:space="preserve"> Consulting Ltd.</w:t>
      </w:r>
    </w:p>
    <w:p w14:paraId="23A10B70" w14:textId="74408F3E" w:rsidR="00D84F18" w:rsidRDefault="00D84F18">
      <w:pPr>
        <w:rPr>
          <w:rFonts w:ascii="Arial" w:hAnsi="Arial" w:cs="Arial"/>
          <w:sz w:val="20"/>
          <w:szCs w:val="20"/>
        </w:rPr>
      </w:pPr>
    </w:p>
    <w:p w14:paraId="6BC42945" w14:textId="5F701DB2" w:rsidR="00D84F18" w:rsidRDefault="00D84F18">
      <w:pPr>
        <w:rPr>
          <w:rFonts w:ascii="Arial" w:hAnsi="Arial" w:cs="Arial"/>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60"/>
        <w:gridCol w:w="686"/>
        <w:gridCol w:w="154"/>
        <w:gridCol w:w="66"/>
        <w:gridCol w:w="66"/>
        <w:gridCol w:w="66"/>
        <w:gridCol w:w="81"/>
      </w:tblGrid>
      <w:tr w:rsidR="00D84F18" w:rsidRPr="00D84F18" w14:paraId="5C263712" w14:textId="77777777" w:rsidTr="00D84F18">
        <w:trPr>
          <w:tblCellSpacing w:w="15" w:type="dxa"/>
        </w:trPr>
        <w:tc>
          <w:tcPr>
            <w:tcW w:w="0" w:type="auto"/>
            <w:gridSpan w:val="7"/>
            <w:vAlign w:val="center"/>
            <w:hideMark/>
          </w:tcPr>
          <w:p w14:paraId="0B93D485" w14:textId="77777777" w:rsidR="00721659" w:rsidRDefault="00721659" w:rsidP="00D84F18">
            <w:pPr>
              <w:spacing w:after="0" w:line="240" w:lineRule="auto"/>
              <w:jc w:val="center"/>
              <w:rPr>
                <w:rFonts w:ascii="Times New Roman" w:eastAsia="Times New Roman" w:hAnsi="Times New Roman" w:cs="Times New Roman"/>
                <w:b/>
                <w:bCs/>
                <w:sz w:val="24"/>
                <w:szCs w:val="24"/>
                <w:lang w:eastAsia="en-CA"/>
              </w:rPr>
            </w:pPr>
            <w:r>
              <w:rPr>
                <w:rFonts w:ascii="Times New Roman" w:eastAsia="Times New Roman" w:hAnsi="Times New Roman" w:cs="Times New Roman"/>
                <w:b/>
                <w:bCs/>
                <w:sz w:val="24"/>
                <w:szCs w:val="24"/>
                <w:lang w:eastAsia="en-CA"/>
              </w:rPr>
              <w:t>Hornby Island 2016 Census</w:t>
            </w:r>
          </w:p>
          <w:p w14:paraId="5C62FA39" w14:textId="05F7B97E" w:rsidR="00D84F18" w:rsidRPr="00D84F18" w:rsidRDefault="00D84F18" w:rsidP="00D84F18">
            <w:pPr>
              <w:spacing w:after="0" w:line="240" w:lineRule="auto"/>
              <w:jc w:val="center"/>
              <w:rPr>
                <w:rFonts w:ascii="Times New Roman" w:eastAsia="Times New Roman" w:hAnsi="Times New Roman" w:cs="Times New Roman"/>
                <w:b/>
                <w:bCs/>
                <w:sz w:val="24"/>
                <w:szCs w:val="24"/>
                <w:lang w:eastAsia="en-CA"/>
              </w:rPr>
            </w:pPr>
            <w:r w:rsidRPr="00D84F18">
              <w:rPr>
                <w:rFonts w:ascii="Times New Roman" w:eastAsia="Times New Roman" w:hAnsi="Times New Roman" w:cs="Times New Roman"/>
                <w:b/>
                <w:bCs/>
                <w:sz w:val="24"/>
                <w:szCs w:val="24"/>
                <w:lang w:eastAsia="en-CA"/>
              </w:rPr>
              <w:t>Population and dwellings</w:t>
            </w:r>
          </w:p>
        </w:tc>
      </w:tr>
      <w:tr w:rsidR="00D84F18" w:rsidRPr="00D84F18" w14:paraId="354F7B22" w14:textId="77777777" w:rsidTr="00D84F18">
        <w:trPr>
          <w:tblCellSpacing w:w="15" w:type="dxa"/>
        </w:trPr>
        <w:tc>
          <w:tcPr>
            <w:tcW w:w="0" w:type="auto"/>
            <w:vAlign w:val="center"/>
            <w:hideMark/>
          </w:tcPr>
          <w:p w14:paraId="411B89A0" w14:textId="77777777" w:rsidR="00D84F18" w:rsidRPr="00D84F18" w:rsidRDefault="00D84F18" w:rsidP="00D84F18">
            <w:pPr>
              <w:spacing w:after="0" w:line="240" w:lineRule="auto"/>
              <w:jc w:val="center"/>
              <w:rPr>
                <w:rFonts w:ascii="Times New Roman" w:eastAsia="Times New Roman" w:hAnsi="Times New Roman" w:cs="Times New Roman"/>
                <w:b/>
                <w:bCs/>
                <w:sz w:val="24"/>
                <w:szCs w:val="24"/>
                <w:lang w:eastAsia="en-CA"/>
              </w:rPr>
            </w:pPr>
            <w:r w:rsidRPr="00D84F18">
              <w:rPr>
                <w:rFonts w:ascii="Times New Roman" w:eastAsia="Times New Roman" w:hAnsi="Times New Roman" w:cs="Times New Roman"/>
                <w:b/>
                <w:bCs/>
                <w:sz w:val="24"/>
                <w:szCs w:val="24"/>
                <w:lang w:eastAsia="en-CA"/>
              </w:rPr>
              <w:t>Population, 2016</w:t>
            </w:r>
            <w:hyperlink r:id="rId5" w:anchor="fnb1" w:tooltip="Footnote: Population, 2016 - Population and dwellings" w:history="1">
              <w:r w:rsidRPr="00D84F18">
                <w:rPr>
                  <w:rFonts w:ascii="Times New Roman" w:eastAsia="Times New Roman" w:hAnsi="Times New Roman" w:cs="Times New Roman"/>
                  <w:b/>
                  <w:bCs/>
                  <w:color w:val="0000FF"/>
                  <w:sz w:val="24"/>
                  <w:szCs w:val="24"/>
                  <w:u w:val="single"/>
                  <w:vertAlign w:val="superscript"/>
                  <w:lang w:eastAsia="en-CA"/>
                </w:rPr>
                <w:t>Census data footnote 1</w:t>
              </w:r>
            </w:hyperlink>
            <w:r w:rsidRPr="00D84F18">
              <w:rPr>
                <w:rFonts w:ascii="Times New Roman" w:eastAsia="Times New Roman" w:hAnsi="Times New Roman" w:cs="Times New Roman"/>
                <w:b/>
                <w:bCs/>
                <w:sz w:val="24"/>
                <w:szCs w:val="24"/>
                <w:lang w:eastAsia="en-CA"/>
              </w:rPr>
              <w:t xml:space="preserve"> </w:t>
            </w:r>
          </w:p>
        </w:tc>
        <w:tc>
          <w:tcPr>
            <w:tcW w:w="656" w:type="dxa"/>
            <w:vAlign w:val="center"/>
            <w:hideMark/>
          </w:tcPr>
          <w:p w14:paraId="587BA207" w14:textId="77777777" w:rsidR="00D84F18" w:rsidRPr="00D84F18" w:rsidRDefault="00D84F18" w:rsidP="00D84F18">
            <w:pPr>
              <w:spacing w:after="0" w:line="240" w:lineRule="auto"/>
              <w:rPr>
                <w:rFonts w:ascii="Times New Roman" w:eastAsia="Times New Roman" w:hAnsi="Times New Roman" w:cs="Times New Roman"/>
                <w:sz w:val="24"/>
                <w:szCs w:val="24"/>
                <w:lang w:eastAsia="en-CA"/>
              </w:rPr>
            </w:pPr>
            <w:r w:rsidRPr="00D84F18">
              <w:rPr>
                <w:rFonts w:ascii="Times New Roman" w:eastAsia="Times New Roman" w:hAnsi="Times New Roman" w:cs="Times New Roman"/>
                <w:sz w:val="24"/>
                <w:szCs w:val="24"/>
                <w:lang w:eastAsia="en-CA"/>
              </w:rPr>
              <w:t xml:space="preserve">1,016 </w:t>
            </w:r>
          </w:p>
        </w:tc>
        <w:tc>
          <w:tcPr>
            <w:tcW w:w="124" w:type="dxa"/>
            <w:vAlign w:val="center"/>
          </w:tcPr>
          <w:p w14:paraId="1A03DDC2" w14:textId="20D334E1"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215F0E94" w14:textId="040A7911"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56BF18F5" w14:textId="3B9FFF1B"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7C2D5CFF" w14:textId="678A31A9"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73559559" w14:textId="14D91869" w:rsidR="00D84F18" w:rsidRPr="00D84F18" w:rsidRDefault="00D84F18" w:rsidP="00D84F18">
            <w:pPr>
              <w:spacing w:after="0" w:line="240" w:lineRule="auto"/>
              <w:rPr>
                <w:rFonts w:ascii="Times New Roman" w:eastAsia="Times New Roman" w:hAnsi="Times New Roman" w:cs="Times New Roman"/>
                <w:sz w:val="24"/>
                <w:szCs w:val="24"/>
                <w:lang w:eastAsia="en-CA"/>
              </w:rPr>
            </w:pPr>
          </w:p>
        </w:tc>
      </w:tr>
      <w:tr w:rsidR="00D84F18" w:rsidRPr="00D84F18" w14:paraId="7242B6B1" w14:textId="77777777" w:rsidTr="00D84F18">
        <w:trPr>
          <w:tblCellSpacing w:w="15" w:type="dxa"/>
        </w:trPr>
        <w:tc>
          <w:tcPr>
            <w:tcW w:w="0" w:type="auto"/>
            <w:vAlign w:val="center"/>
            <w:hideMark/>
          </w:tcPr>
          <w:p w14:paraId="45338E4F" w14:textId="77777777" w:rsidR="00D84F18" w:rsidRPr="00D84F18" w:rsidRDefault="00D84F18" w:rsidP="00D84F18">
            <w:pPr>
              <w:spacing w:after="0" w:line="240" w:lineRule="auto"/>
              <w:jc w:val="center"/>
              <w:rPr>
                <w:rFonts w:ascii="Times New Roman" w:eastAsia="Times New Roman" w:hAnsi="Times New Roman" w:cs="Times New Roman"/>
                <w:b/>
                <w:bCs/>
                <w:sz w:val="24"/>
                <w:szCs w:val="24"/>
                <w:lang w:eastAsia="en-CA"/>
              </w:rPr>
            </w:pPr>
            <w:r w:rsidRPr="00D84F18">
              <w:rPr>
                <w:rFonts w:ascii="Times New Roman" w:eastAsia="Times New Roman" w:hAnsi="Times New Roman" w:cs="Times New Roman"/>
                <w:b/>
                <w:bCs/>
                <w:sz w:val="24"/>
                <w:szCs w:val="24"/>
                <w:lang w:eastAsia="en-CA"/>
              </w:rPr>
              <w:t>Population, 2011</w:t>
            </w:r>
            <w:hyperlink r:id="rId6" w:anchor="fnb1" w:tooltip="Footnote: Population, 2011 - Population and dwellings" w:history="1">
              <w:r w:rsidRPr="00D84F18">
                <w:rPr>
                  <w:rFonts w:ascii="Times New Roman" w:eastAsia="Times New Roman" w:hAnsi="Times New Roman" w:cs="Times New Roman"/>
                  <w:b/>
                  <w:bCs/>
                  <w:color w:val="0000FF"/>
                  <w:sz w:val="24"/>
                  <w:szCs w:val="24"/>
                  <w:u w:val="single"/>
                  <w:vertAlign w:val="superscript"/>
                  <w:lang w:eastAsia="en-CA"/>
                </w:rPr>
                <w:t>Census data footnote 1</w:t>
              </w:r>
            </w:hyperlink>
            <w:r w:rsidRPr="00D84F18">
              <w:rPr>
                <w:rFonts w:ascii="Times New Roman" w:eastAsia="Times New Roman" w:hAnsi="Times New Roman" w:cs="Times New Roman"/>
                <w:b/>
                <w:bCs/>
                <w:sz w:val="24"/>
                <w:szCs w:val="24"/>
                <w:lang w:eastAsia="en-CA"/>
              </w:rPr>
              <w:t xml:space="preserve"> </w:t>
            </w:r>
          </w:p>
        </w:tc>
        <w:tc>
          <w:tcPr>
            <w:tcW w:w="656" w:type="dxa"/>
            <w:vAlign w:val="center"/>
            <w:hideMark/>
          </w:tcPr>
          <w:p w14:paraId="65E74710" w14:textId="77777777" w:rsidR="00D84F18" w:rsidRPr="00D84F18" w:rsidRDefault="00D84F18" w:rsidP="00D84F18">
            <w:pPr>
              <w:spacing w:after="0" w:line="240" w:lineRule="auto"/>
              <w:rPr>
                <w:rFonts w:ascii="Times New Roman" w:eastAsia="Times New Roman" w:hAnsi="Times New Roman" w:cs="Times New Roman"/>
                <w:sz w:val="24"/>
                <w:szCs w:val="24"/>
                <w:lang w:eastAsia="en-CA"/>
              </w:rPr>
            </w:pPr>
            <w:r w:rsidRPr="00D84F18">
              <w:rPr>
                <w:rFonts w:ascii="Times New Roman" w:eastAsia="Times New Roman" w:hAnsi="Times New Roman" w:cs="Times New Roman"/>
                <w:sz w:val="24"/>
                <w:szCs w:val="24"/>
                <w:lang w:eastAsia="en-CA"/>
              </w:rPr>
              <w:t xml:space="preserve">958 </w:t>
            </w:r>
          </w:p>
        </w:tc>
        <w:tc>
          <w:tcPr>
            <w:tcW w:w="124" w:type="dxa"/>
            <w:vAlign w:val="center"/>
          </w:tcPr>
          <w:p w14:paraId="749E0CE6" w14:textId="74561870"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6E61B675" w14:textId="68007359"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35A19DB7" w14:textId="778297A4"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142C4F06" w14:textId="17717AD9"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02E04EFB" w14:textId="2C320EE0" w:rsidR="00D84F18" w:rsidRPr="00D84F18" w:rsidRDefault="00D84F18" w:rsidP="00D84F18">
            <w:pPr>
              <w:spacing w:after="0" w:line="240" w:lineRule="auto"/>
              <w:rPr>
                <w:rFonts w:ascii="Times New Roman" w:eastAsia="Times New Roman" w:hAnsi="Times New Roman" w:cs="Times New Roman"/>
                <w:sz w:val="24"/>
                <w:szCs w:val="24"/>
                <w:lang w:eastAsia="en-CA"/>
              </w:rPr>
            </w:pPr>
          </w:p>
        </w:tc>
      </w:tr>
      <w:tr w:rsidR="00D84F18" w:rsidRPr="00D84F18" w14:paraId="60F47504" w14:textId="77777777" w:rsidTr="00D84F18">
        <w:trPr>
          <w:tblCellSpacing w:w="15" w:type="dxa"/>
        </w:trPr>
        <w:tc>
          <w:tcPr>
            <w:tcW w:w="0" w:type="auto"/>
            <w:vAlign w:val="center"/>
            <w:hideMark/>
          </w:tcPr>
          <w:p w14:paraId="04679766" w14:textId="77777777" w:rsidR="00D84F18" w:rsidRPr="00D84F18" w:rsidRDefault="00D84F18" w:rsidP="00D84F18">
            <w:pPr>
              <w:spacing w:after="0" w:line="240" w:lineRule="auto"/>
              <w:jc w:val="center"/>
              <w:rPr>
                <w:rFonts w:ascii="Times New Roman" w:eastAsia="Times New Roman" w:hAnsi="Times New Roman" w:cs="Times New Roman"/>
                <w:b/>
                <w:bCs/>
                <w:sz w:val="24"/>
                <w:szCs w:val="24"/>
                <w:lang w:eastAsia="en-CA"/>
              </w:rPr>
            </w:pPr>
            <w:r w:rsidRPr="00D84F18">
              <w:rPr>
                <w:rFonts w:ascii="Times New Roman" w:eastAsia="Times New Roman" w:hAnsi="Times New Roman" w:cs="Times New Roman"/>
                <w:b/>
                <w:bCs/>
                <w:sz w:val="24"/>
                <w:szCs w:val="24"/>
                <w:lang w:eastAsia="en-CA"/>
              </w:rPr>
              <w:t xml:space="preserve">Population percentage change, 2011 to 2016 </w:t>
            </w:r>
          </w:p>
        </w:tc>
        <w:tc>
          <w:tcPr>
            <w:tcW w:w="656" w:type="dxa"/>
            <w:vAlign w:val="center"/>
            <w:hideMark/>
          </w:tcPr>
          <w:p w14:paraId="1527C83F" w14:textId="7B6136E7" w:rsidR="00D84F18" w:rsidRPr="00D84F18" w:rsidRDefault="001C7C92" w:rsidP="00D84F18">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  </w:t>
            </w:r>
            <w:r w:rsidR="00D84F18" w:rsidRPr="00D84F18">
              <w:rPr>
                <w:rFonts w:ascii="Times New Roman" w:eastAsia="Times New Roman" w:hAnsi="Times New Roman" w:cs="Times New Roman"/>
                <w:sz w:val="24"/>
                <w:szCs w:val="24"/>
                <w:lang w:eastAsia="en-CA"/>
              </w:rPr>
              <w:t xml:space="preserve">6.1 </w:t>
            </w:r>
          </w:p>
        </w:tc>
        <w:tc>
          <w:tcPr>
            <w:tcW w:w="124" w:type="dxa"/>
            <w:vAlign w:val="center"/>
          </w:tcPr>
          <w:p w14:paraId="3239E876" w14:textId="7652C39A"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7297CCF5" w14:textId="27F8293D"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449EC7E4" w14:textId="469A493B"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1A675D75" w14:textId="2CC2C207"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0A790D00" w14:textId="25F46B3D" w:rsidR="00D84F18" w:rsidRPr="00D84F18" w:rsidRDefault="00D84F18" w:rsidP="00D84F18">
            <w:pPr>
              <w:spacing w:after="0" w:line="240" w:lineRule="auto"/>
              <w:rPr>
                <w:rFonts w:ascii="Times New Roman" w:eastAsia="Times New Roman" w:hAnsi="Times New Roman" w:cs="Times New Roman"/>
                <w:sz w:val="24"/>
                <w:szCs w:val="24"/>
                <w:lang w:eastAsia="en-CA"/>
              </w:rPr>
            </w:pPr>
          </w:p>
        </w:tc>
      </w:tr>
      <w:tr w:rsidR="00D84F18" w:rsidRPr="00D84F18" w14:paraId="7912421A" w14:textId="77777777" w:rsidTr="00D84F18">
        <w:trPr>
          <w:tblCellSpacing w:w="15" w:type="dxa"/>
        </w:trPr>
        <w:tc>
          <w:tcPr>
            <w:tcW w:w="0" w:type="auto"/>
            <w:vAlign w:val="center"/>
            <w:hideMark/>
          </w:tcPr>
          <w:p w14:paraId="1D3A0740" w14:textId="77777777" w:rsidR="00D84F18" w:rsidRPr="00D84F18" w:rsidRDefault="00D84F18" w:rsidP="00D84F18">
            <w:pPr>
              <w:spacing w:after="0" w:line="240" w:lineRule="auto"/>
              <w:jc w:val="center"/>
              <w:rPr>
                <w:rFonts w:ascii="Times New Roman" w:eastAsia="Times New Roman" w:hAnsi="Times New Roman" w:cs="Times New Roman"/>
                <w:b/>
                <w:bCs/>
                <w:sz w:val="24"/>
                <w:szCs w:val="24"/>
                <w:lang w:eastAsia="en-CA"/>
              </w:rPr>
            </w:pPr>
            <w:r w:rsidRPr="00D84F18">
              <w:rPr>
                <w:rFonts w:ascii="Times New Roman" w:eastAsia="Times New Roman" w:hAnsi="Times New Roman" w:cs="Times New Roman"/>
                <w:b/>
                <w:bCs/>
                <w:sz w:val="24"/>
                <w:szCs w:val="24"/>
                <w:lang w:eastAsia="en-CA"/>
              </w:rPr>
              <w:t xml:space="preserve">Total private </w:t>
            </w:r>
            <w:proofErr w:type="spellStart"/>
            <w:r w:rsidRPr="00D84F18">
              <w:rPr>
                <w:rFonts w:ascii="Times New Roman" w:eastAsia="Times New Roman" w:hAnsi="Times New Roman" w:cs="Times New Roman"/>
                <w:b/>
                <w:bCs/>
                <w:sz w:val="24"/>
                <w:szCs w:val="24"/>
                <w:lang w:eastAsia="en-CA"/>
              </w:rPr>
              <w:t>dwellings</w:t>
            </w:r>
            <w:hyperlink r:id="rId7" w:anchor="fnb2" w:tooltip="Footnote: Total private dwellings - Population and dwellings" w:history="1">
              <w:r w:rsidRPr="00D84F18">
                <w:rPr>
                  <w:rFonts w:ascii="Times New Roman" w:eastAsia="Times New Roman" w:hAnsi="Times New Roman" w:cs="Times New Roman"/>
                  <w:b/>
                  <w:bCs/>
                  <w:color w:val="0000FF"/>
                  <w:sz w:val="24"/>
                  <w:szCs w:val="24"/>
                  <w:u w:val="single"/>
                  <w:vertAlign w:val="superscript"/>
                  <w:lang w:eastAsia="en-CA"/>
                </w:rPr>
                <w:t>Census</w:t>
              </w:r>
              <w:proofErr w:type="spellEnd"/>
              <w:r w:rsidRPr="00D84F18">
                <w:rPr>
                  <w:rFonts w:ascii="Times New Roman" w:eastAsia="Times New Roman" w:hAnsi="Times New Roman" w:cs="Times New Roman"/>
                  <w:b/>
                  <w:bCs/>
                  <w:color w:val="0000FF"/>
                  <w:sz w:val="24"/>
                  <w:szCs w:val="24"/>
                  <w:u w:val="single"/>
                  <w:vertAlign w:val="superscript"/>
                  <w:lang w:eastAsia="en-CA"/>
                </w:rPr>
                <w:t xml:space="preserve"> data footnote 2</w:t>
              </w:r>
            </w:hyperlink>
            <w:r w:rsidRPr="00D84F18">
              <w:rPr>
                <w:rFonts w:ascii="Times New Roman" w:eastAsia="Times New Roman" w:hAnsi="Times New Roman" w:cs="Times New Roman"/>
                <w:b/>
                <w:bCs/>
                <w:sz w:val="24"/>
                <w:szCs w:val="24"/>
                <w:lang w:eastAsia="en-CA"/>
              </w:rPr>
              <w:t xml:space="preserve"> </w:t>
            </w:r>
          </w:p>
        </w:tc>
        <w:tc>
          <w:tcPr>
            <w:tcW w:w="656" w:type="dxa"/>
            <w:vAlign w:val="center"/>
            <w:hideMark/>
          </w:tcPr>
          <w:p w14:paraId="5634F233" w14:textId="77777777" w:rsidR="00D84F18" w:rsidRPr="00D84F18" w:rsidRDefault="00D84F18" w:rsidP="00D84F18">
            <w:pPr>
              <w:spacing w:after="0" w:line="240" w:lineRule="auto"/>
              <w:rPr>
                <w:rFonts w:ascii="Times New Roman" w:eastAsia="Times New Roman" w:hAnsi="Times New Roman" w:cs="Times New Roman"/>
                <w:sz w:val="24"/>
                <w:szCs w:val="24"/>
                <w:lang w:eastAsia="en-CA"/>
              </w:rPr>
            </w:pPr>
            <w:r w:rsidRPr="00D84F18">
              <w:rPr>
                <w:rFonts w:ascii="Times New Roman" w:eastAsia="Times New Roman" w:hAnsi="Times New Roman" w:cs="Times New Roman"/>
                <w:sz w:val="24"/>
                <w:szCs w:val="24"/>
                <w:lang w:eastAsia="en-CA"/>
              </w:rPr>
              <w:t xml:space="preserve">1,104 </w:t>
            </w:r>
          </w:p>
        </w:tc>
        <w:tc>
          <w:tcPr>
            <w:tcW w:w="124" w:type="dxa"/>
            <w:vAlign w:val="center"/>
          </w:tcPr>
          <w:p w14:paraId="483C6119" w14:textId="14B8EA69"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4F65DC5D" w14:textId="085A8BFC"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11C3C54A" w14:textId="1A3F4584"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1E7451C5" w14:textId="4E4077C3"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6F71BAA5" w14:textId="6026DEDC" w:rsidR="00D84F18" w:rsidRPr="00D84F18" w:rsidRDefault="00D84F18" w:rsidP="00D84F18">
            <w:pPr>
              <w:spacing w:after="0" w:line="240" w:lineRule="auto"/>
              <w:rPr>
                <w:rFonts w:ascii="Times New Roman" w:eastAsia="Times New Roman" w:hAnsi="Times New Roman" w:cs="Times New Roman"/>
                <w:sz w:val="24"/>
                <w:szCs w:val="24"/>
                <w:lang w:eastAsia="en-CA"/>
              </w:rPr>
            </w:pPr>
          </w:p>
        </w:tc>
      </w:tr>
      <w:tr w:rsidR="00D84F18" w:rsidRPr="00D84F18" w14:paraId="7C2D03DC" w14:textId="77777777" w:rsidTr="00D84F18">
        <w:trPr>
          <w:tblCellSpacing w:w="15" w:type="dxa"/>
        </w:trPr>
        <w:tc>
          <w:tcPr>
            <w:tcW w:w="0" w:type="auto"/>
            <w:vAlign w:val="center"/>
            <w:hideMark/>
          </w:tcPr>
          <w:p w14:paraId="4C7ECA84" w14:textId="77777777" w:rsidR="00D84F18" w:rsidRPr="00D84F18" w:rsidRDefault="00D84F18" w:rsidP="00D84F18">
            <w:pPr>
              <w:spacing w:after="0" w:line="240" w:lineRule="auto"/>
              <w:jc w:val="center"/>
              <w:rPr>
                <w:rFonts w:ascii="Times New Roman" w:eastAsia="Times New Roman" w:hAnsi="Times New Roman" w:cs="Times New Roman"/>
                <w:b/>
                <w:bCs/>
                <w:sz w:val="24"/>
                <w:szCs w:val="24"/>
                <w:lang w:eastAsia="en-CA"/>
              </w:rPr>
            </w:pPr>
            <w:r w:rsidRPr="00D84F18">
              <w:rPr>
                <w:rFonts w:ascii="Times New Roman" w:eastAsia="Times New Roman" w:hAnsi="Times New Roman" w:cs="Times New Roman"/>
                <w:b/>
                <w:bCs/>
                <w:sz w:val="24"/>
                <w:szCs w:val="24"/>
                <w:lang w:eastAsia="en-CA"/>
              </w:rPr>
              <w:t xml:space="preserve">Private dwellings occupied by usual </w:t>
            </w:r>
            <w:proofErr w:type="spellStart"/>
            <w:r w:rsidRPr="00D84F18">
              <w:rPr>
                <w:rFonts w:ascii="Times New Roman" w:eastAsia="Times New Roman" w:hAnsi="Times New Roman" w:cs="Times New Roman"/>
                <w:b/>
                <w:bCs/>
                <w:sz w:val="24"/>
                <w:szCs w:val="24"/>
                <w:lang w:eastAsia="en-CA"/>
              </w:rPr>
              <w:t>residents</w:t>
            </w:r>
            <w:hyperlink r:id="rId8" w:anchor="fnb3" w:tooltip="Footnote: Private dwellings occupied by usual residents - Population and dwellings" w:history="1">
              <w:r w:rsidRPr="00D84F18">
                <w:rPr>
                  <w:rFonts w:ascii="Times New Roman" w:eastAsia="Times New Roman" w:hAnsi="Times New Roman" w:cs="Times New Roman"/>
                  <w:b/>
                  <w:bCs/>
                  <w:color w:val="0000FF"/>
                  <w:sz w:val="24"/>
                  <w:szCs w:val="24"/>
                  <w:u w:val="single"/>
                  <w:vertAlign w:val="superscript"/>
                  <w:lang w:eastAsia="en-CA"/>
                </w:rPr>
                <w:t>Census</w:t>
              </w:r>
              <w:proofErr w:type="spellEnd"/>
              <w:r w:rsidRPr="00D84F18">
                <w:rPr>
                  <w:rFonts w:ascii="Times New Roman" w:eastAsia="Times New Roman" w:hAnsi="Times New Roman" w:cs="Times New Roman"/>
                  <w:b/>
                  <w:bCs/>
                  <w:color w:val="0000FF"/>
                  <w:sz w:val="24"/>
                  <w:szCs w:val="24"/>
                  <w:u w:val="single"/>
                  <w:vertAlign w:val="superscript"/>
                  <w:lang w:eastAsia="en-CA"/>
                </w:rPr>
                <w:t xml:space="preserve"> data footnote 3</w:t>
              </w:r>
            </w:hyperlink>
            <w:r w:rsidRPr="00D84F18">
              <w:rPr>
                <w:rFonts w:ascii="Times New Roman" w:eastAsia="Times New Roman" w:hAnsi="Times New Roman" w:cs="Times New Roman"/>
                <w:b/>
                <w:bCs/>
                <w:sz w:val="24"/>
                <w:szCs w:val="24"/>
                <w:lang w:eastAsia="en-CA"/>
              </w:rPr>
              <w:t xml:space="preserve"> </w:t>
            </w:r>
          </w:p>
        </w:tc>
        <w:tc>
          <w:tcPr>
            <w:tcW w:w="656" w:type="dxa"/>
            <w:vAlign w:val="center"/>
            <w:hideMark/>
          </w:tcPr>
          <w:p w14:paraId="372C1986" w14:textId="32B63644" w:rsidR="00D84F18" w:rsidRPr="00D84F18" w:rsidRDefault="00D84F18" w:rsidP="00D84F18">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  </w:t>
            </w:r>
            <w:r w:rsidRPr="00D84F18">
              <w:rPr>
                <w:rFonts w:ascii="Times New Roman" w:eastAsia="Times New Roman" w:hAnsi="Times New Roman" w:cs="Times New Roman"/>
                <w:sz w:val="24"/>
                <w:szCs w:val="24"/>
                <w:lang w:eastAsia="en-CA"/>
              </w:rPr>
              <w:t xml:space="preserve">560 </w:t>
            </w:r>
          </w:p>
        </w:tc>
        <w:tc>
          <w:tcPr>
            <w:tcW w:w="124" w:type="dxa"/>
            <w:vAlign w:val="center"/>
          </w:tcPr>
          <w:p w14:paraId="31DBEEEA" w14:textId="496D9E10"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5D695A8D" w14:textId="46AF2D67"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2DC3C15E" w14:textId="4DBC2A4A"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49DE0D70" w14:textId="10880889" w:rsidR="00D84F18" w:rsidRPr="00D84F18" w:rsidRDefault="00D84F18" w:rsidP="00D84F18">
            <w:pPr>
              <w:spacing w:after="0" w:line="240" w:lineRule="auto"/>
              <w:rPr>
                <w:rFonts w:ascii="Times New Roman" w:eastAsia="Times New Roman" w:hAnsi="Times New Roman" w:cs="Times New Roman"/>
                <w:sz w:val="24"/>
                <w:szCs w:val="24"/>
                <w:lang w:eastAsia="en-CA"/>
              </w:rPr>
            </w:pPr>
          </w:p>
        </w:tc>
        <w:tc>
          <w:tcPr>
            <w:tcW w:w="0" w:type="auto"/>
            <w:vAlign w:val="center"/>
          </w:tcPr>
          <w:p w14:paraId="66B656CE" w14:textId="150589E6" w:rsidR="00D84F18" w:rsidRPr="00D84F18" w:rsidRDefault="00D84F18" w:rsidP="00D84F18">
            <w:pPr>
              <w:spacing w:after="0" w:line="240" w:lineRule="auto"/>
              <w:rPr>
                <w:rFonts w:ascii="Times New Roman" w:eastAsia="Times New Roman" w:hAnsi="Times New Roman" w:cs="Times New Roman"/>
                <w:sz w:val="24"/>
                <w:szCs w:val="24"/>
                <w:lang w:eastAsia="en-CA"/>
              </w:rPr>
            </w:pPr>
          </w:p>
        </w:tc>
      </w:tr>
    </w:tbl>
    <w:p w14:paraId="6B302993" w14:textId="5B843573" w:rsidR="00D84F18" w:rsidRDefault="00D84F18"/>
    <w:p w14:paraId="7A036E97" w14:textId="7D5337AE" w:rsidR="001C7C92" w:rsidRDefault="001C7C92">
      <w:r>
        <w:t>42% of the population is over 65 years old.</w:t>
      </w:r>
    </w:p>
    <w:p w14:paraId="7C8C0BDD" w14:textId="2A33F40E" w:rsidR="001C7C92" w:rsidRDefault="001C7C92">
      <w:r>
        <w:t>Average age 55, median age 61</w:t>
      </w:r>
      <w:bookmarkStart w:id="0" w:name="_GoBack"/>
      <w:bookmarkEnd w:id="0"/>
    </w:p>
    <w:tbl>
      <w:tblPr>
        <w:tblW w:w="9498" w:type="dxa"/>
        <w:tblCellSpacing w:w="15" w:type="dxa"/>
        <w:tblCellMar>
          <w:top w:w="15" w:type="dxa"/>
          <w:left w:w="15" w:type="dxa"/>
          <w:bottom w:w="15" w:type="dxa"/>
          <w:right w:w="15" w:type="dxa"/>
        </w:tblCellMar>
        <w:tblLook w:val="04A0" w:firstRow="1" w:lastRow="0" w:firstColumn="1" w:lastColumn="0" w:noHBand="0" w:noVBand="1"/>
      </w:tblPr>
      <w:tblGrid>
        <w:gridCol w:w="7461"/>
        <w:gridCol w:w="352"/>
        <w:gridCol w:w="352"/>
        <w:gridCol w:w="352"/>
        <w:gridCol w:w="352"/>
        <w:gridCol w:w="352"/>
        <w:gridCol w:w="277"/>
      </w:tblGrid>
      <w:tr w:rsidR="001C7C92" w:rsidRPr="001C7C92" w14:paraId="5992BDC3" w14:textId="77777777" w:rsidTr="00721659">
        <w:trPr>
          <w:tblCellSpacing w:w="15" w:type="dxa"/>
        </w:trPr>
        <w:tc>
          <w:tcPr>
            <w:tcW w:w="0" w:type="auto"/>
            <w:vAlign w:val="center"/>
          </w:tcPr>
          <w:p w14:paraId="2FFFAE15" w14:textId="205B2C42" w:rsidR="001C7C92" w:rsidRPr="001C7C92" w:rsidRDefault="001C7C92" w:rsidP="001C7C92">
            <w:pPr>
              <w:spacing w:after="0" w:line="240" w:lineRule="auto"/>
              <w:jc w:val="center"/>
              <w:rPr>
                <w:rFonts w:ascii="Times New Roman" w:eastAsia="Times New Roman" w:hAnsi="Times New Roman" w:cs="Times New Roman"/>
                <w:b/>
                <w:bCs/>
                <w:sz w:val="24"/>
                <w:szCs w:val="24"/>
                <w:lang w:eastAsia="en-CA"/>
              </w:rPr>
            </w:pPr>
          </w:p>
        </w:tc>
        <w:tc>
          <w:tcPr>
            <w:tcW w:w="0" w:type="auto"/>
            <w:vAlign w:val="center"/>
          </w:tcPr>
          <w:p w14:paraId="7EC62880" w14:textId="229A9BE4"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130CC4A4" w14:textId="4B8F9706"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6BE09115" w14:textId="3DED16C7"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212AB3BD" w14:textId="463A1965"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7E3E1CB8" w14:textId="5E4CDFFF"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348" w:type="dxa"/>
            <w:vAlign w:val="center"/>
          </w:tcPr>
          <w:p w14:paraId="2FE0AE7D" w14:textId="558B5BC8" w:rsidR="001C7C92" w:rsidRPr="001C7C92" w:rsidRDefault="001C7C92" w:rsidP="001C7C92">
            <w:pPr>
              <w:spacing w:after="0" w:line="240" w:lineRule="auto"/>
              <w:rPr>
                <w:rFonts w:ascii="Times New Roman" w:eastAsia="Times New Roman" w:hAnsi="Times New Roman" w:cs="Times New Roman"/>
                <w:sz w:val="24"/>
                <w:szCs w:val="24"/>
                <w:lang w:eastAsia="en-CA"/>
              </w:rPr>
            </w:pPr>
          </w:p>
        </w:tc>
      </w:tr>
      <w:tr w:rsidR="001C7C92" w:rsidRPr="001C7C92" w14:paraId="2F2F46F9" w14:textId="77777777" w:rsidTr="00721659">
        <w:trPr>
          <w:tblCellSpacing w:w="15" w:type="dxa"/>
        </w:trPr>
        <w:tc>
          <w:tcPr>
            <w:tcW w:w="0" w:type="auto"/>
            <w:vAlign w:val="center"/>
          </w:tcPr>
          <w:p w14:paraId="6D86BF33" w14:textId="5935EAA5" w:rsidR="001C7C92" w:rsidRPr="001C7C92" w:rsidRDefault="001C7C92" w:rsidP="001C7C92">
            <w:pPr>
              <w:spacing w:after="0" w:line="240" w:lineRule="auto"/>
              <w:jc w:val="center"/>
              <w:rPr>
                <w:rFonts w:ascii="Times New Roman" w:eastAsia="Times New Roman" w:hAnsi="Times New Roman" w:cs="Times New Roman"/>
                <w:b/>
                <w:bCs/>
                <w:sz w:val="24"/>
                <w:szCs w:val="24"/>
                <w:lang w:eastAsia="en-CA"/>
              </w:rPr>
            </w:pPr>
          </w:p>
        </w:tc>
        <w:tc>
          <w:tcPr>
            <w:tcW w:w="0" w:type="auto"/>
            <w:vAlign w:val="center"/>
          </w:tcPr>
          <w:p w14:paraId="6561EDCD" w14:textId="64BD9CD1"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78ECCF6D" w14:textId="798FA935"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2FDE6F67" w14:textId="091B5B71"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03647DFD" w14:textId="15E83A90"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414215E5" w14:textId="7B76C172"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348" w:type="dxa"/>
            <w:vAlign w:val="center"/>
          </w:tcPr>
          <w:p w14:paraId="1F4EDADE" w14:textId="5EA1AD00" w:rsidR="001C7C92" w:rsidRPr="001C7C92" w:rsidRDefault="001C7C92" w:rsidP="001C7C92">
            <w:pPr>
              <w:spacing w:after="0" w:line="240" w:lineRule="auto"/>
              <w:rPr>
                <w:rFonts w:ascii="Times New Roman" w:eastAsia="Times New Roman" w:hAnsi="Times New Roman" w:cs="Times New Roman"/>
                <w:sz w:val="24"/>
                <w:szCs w:val="24"/>
                <w:lang w:eastAsia="en-CA"/>
              </w:rPr>
            </w:pPr>
          </w:p>
        </w:tc>
      </w:tr>
      <w:tr w:rsidR="001C7C92" w:rsidRPr="001C7C92" w14:paraId="7D5B449A" w14:textId="77777777" w:rsidTr="00721659">
        <w:tblPrEx>
          <w:tblCellMar>
            <w:left w:w="108" w:type="dxa"/>
            <w:right w:w="108" w:type="dxa"/>
          </w:tblCellMar>
        </w:tblPrEx>
        <w:trPr>
          <w:tblCellSpacing w:w="15" w:type="dxa"/>
        </w:trPr>
        <w:tc>
          <w:tcPr>
            <w:tcW w:w="1485" w:type="dxa"/>
            <w:vAlign w:val="center"/>
          </w:tcPr>
          <w:p w14:paraId="43C28D82" w14:textId="690907AD" w:rsidR="001C7C92" w:rsidRPr="001C7C92" w:rsidRDefault="00721659" w:rsidP="001C7C92">
            <w:pPr>
              <w:spacing w:after="0" w:line="240" w:lineRule="auto"/>
              <w:jc w:val="center"/>
              <w:rPr>
                <w:rFonts w:ascii="Times New Roman" w:eastAsia="Times New Roman" w:hAnsi="Times New Roman" w:cs="Times New Roman"/>
                <w:b/>
                <w:bCs/>
                <w:sz w:val="24"/>
                <w:szCs w:val="24"/>
                <w:lang w:eastAsia="en-CA"/>
              </w:rPr>
            </w:pPr>
            <w:r>
              <w:rPr>
                <w:noProof/>
              </w:rPr>
              <w:lastRenderedPageBreak/>
              <w:drawing>
                <wp:inline distT="0" distB="0" distL="0" distR="0" wp14:anchorId="1A7871C2" wp14:editId="19B0E743">
                  <wp:extent cx="4572000" cy="2743200"/>
                  <wp:effectExtent l="0" t="0" r="0" b="0"/>
                  <wp:docPr id="2" name="Chart 2">
                    <a:extLst xmlns:a="http://schemas.openxmlformats.org/drawingml/2006/main">
                      <a:ext uri="{FF2B5EF4-FFF2-40B4-BE49-F238E27FC236}">
                        <a16:creationId xmlns:a16="http://schemas.microsoft.com/office/drawing/2014/main" id="{0D43F7CD-5930-4DFB-A60A-60D53EDC6A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485" w:type="dxa"/>
            <w:vAlign w:val="center"/>
          </w:tcPr>
          <w:p w14:paraId="19BB7FE8" w14:textId="0477AB4A"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1485" w:type="dxa"/>
            <w:vAlign w:val="center"/>
          </w:tcPr>
          <w:p w14:paraId="4926AC4A" w14:textId="7D79C092"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1485" w:type="dxa"/>
            <w:vAlign w:val="center"/>
          </w:tcPr>
          <w:p w14:paraId="6BAC77E2" w14:textId="59FA96D8"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1485" w:type="dxa"/>
            <w:vAlign w:val="center"/>
          </w:tcPr>
          <w:p w14:paraId="5280139C" w14:textId="30DE449A"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1485" w:type="dxa"/>
            <w:vAlign w:val="center"/>
          </w:tcPr>
          <w:p w14:paraId="167D20EA" w14:textId="23E8B115"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348" w:type="dxa"/>
            <w:vAlign w:val="center"/>
          </w:tcPr>
          <w:p w14:paraId="5964714C" w14:textId="175B4813" w:rsidR="001C7C92" w:rsidRPr="001C7C92" w:rsidRDefault="001C7C92" w:rsidP="001C7C92">
            <w:pPr>
              <w:spacing w:after="0" w:line="240" w:lineRule="auto"/>
              <w:rPr>
                <w:rFonts w:ascii="Times New Roman" w:eastAsia="Times New Roman" w:hAnsi="Times New Roman" w:cs="Times New Roman"/>
                <w:sz w:val="24"/>
                <w:szCs w:val="24"/>
                <w:lang w:eastAsia="en-CA"/>
              </w:rPr>
            </w:pPr>
          </w:p>
        </w:tc>
      </w:tr>
      <w:tr w:rsidR="001C7C92" w:rsidRPr="001C7C92" w14:paraId="2DF29A85" w14:textId="77777777" w:rsidTr="00721659">
        <w:trPr>
          <w:tblCellSpacing w:w="15" w:type="dxa"/>
        </w:trPr>
        <w:tc>
          <w:tcPr>
            <w:tcW w:w="0" w:type="auto"/>
            <w:vAlign w:val="center"/>
          </w:tcPr>
          <w:p w14:paraId="3163B98A" w14:textId="5FED52B3" w:rsidR="001C7C92" w:rsidRPr="001C7C92" w:rsidRDefault="001C7C92" w:rsidP="001C7C92">
            <w:pPr>
              <w:spacing w:after="0" w:line="240" w:lineRule="auto"/>
              <w:jc w:val="center"/>
              <w:rPr>
                <w:rFonts w:ascii="Times New Roman" w:eastAsia="Times New Roman" w:hAnsi="Times New Roman" w:cs="Times New Roman"/>
                <w:b/>
                <w:bCs/>
                <w:sz w:val="24"/>
                <w:szCs w:val="24"/>
                <w:lang w:eastAsia="en-CA"/>
              </w:rPr>
            </w:pPr>
          </w:p>
        </w:tc>
        <w:tc>
          <w:tcPr>
            <w:tcW w:w="0" w:type="auto"/>
            <w:vAlign w:val="center"/>
          </w:tcPr>
          <w:p w14:paraId="59D1A4B2" w14:textId="6A768586"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5AA81807" w14:textId="23A3DE87"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7DAEBCCD" w14:textId="5CC599A3"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338DF2C5" w14:textId="1AF24ECC"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67A7316D" w14:textId="499CAEFF"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348" w:type="dxa"/>
            <w:vAlign w:val="center"/>
          </w:tcPr>
          <w:p w14:paraId="142015D7" w14:textId="42DD94A7" w:rsidR="001C7C92" w:rsidRPr="001C7C92" w:rsidRDefault="001C7C92" w:rsidP="001C7C92">
            <w:pPr>
              <w:spacing w:after="0" w:line="240" w:lineRule="auto"/>
              <w:rPr>
                <w:rFonts w:ascii="Times New Roman" w:eastAsia="Times New Roman" w:hAnsi="Times New Roman" w:cs="Times New Roman"/>
                <w:sz w:val="24"/>
                <w:szCs w:val="24"/>
                <w:lang w:eastAsia="en-CA"/>
              </w:rPr>
            </w:pPr>
          </w:p>
        </w:tc>
      </w:tr>
      <w:tr w:rsidR="001C7C92" w:rsidRPr="001C7C92" w14:paraId="1BCB43BC" w14:textId="77777777" w:rsidTr="00721659">
        <w:trPr>
          <w:tblCellSpacing w:w="15" w:type="dxa"/>
        </w:trPr>
        <w:tc>
          <w:tcPr>
            <w:tcW w:w="0" w:type="auto"/>
            <w:vAlign w:val="center"/>
          </w:tcPr>
          <w:p w14:paraId="4F1EA9BF" w14:textId="12A58150" w:rsidR="001C7C92" w:rsidRPr="001C7C92" w:rsidRDefault="001C7C92" w:rsidP="001C7C92">
            <w:pPr>
              <w:spacing w:after="0" w:line="240" w:lineRule="auto"/>
              <w:jc w:val="center"/>
              <w:rPr>
                <w:rFonts w:ascii="Times New Roman" w:eastAsia="Times New Roman" w:hAnsi="Times New Roman" w:cs="Times New Roman"/>
                <w:b/>
                <w:bCs/>
                <w:sz w:val="24"/>
                <w:szCs w:val="24"/>
                <w:lang w:eastAsia="en-CA"/>
              </w:rPr>
            </w:pPr>
          </w:p>
        </w:tc>
        <w:tc>
          <w:tcPr>
            <w:tcW w:w="0" w:type="auto"/>
            <w:vAlign w:val="center"/>
          </w:tcPr>
          <w:p w14:paraId="6662DE86" w14:textId="2E8A81E2"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79FFA839" w14:textId="265E75C0"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5FE581F9" w14:textId="5A205B61"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02B8239F" w14:textId="00ABCE92"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6D3B4F65" w14:textId="76785041"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348" w:type="dxa"/>
            <w:vAlign w:val="center"/>
          </w:tcPr>
          <w:p w14:paraId="1761BE39" w14:textId="609CB27D" w:rsidR="001C7C92" w:rsidRPr="001C7C92" w:rsidRDefault="001C7C92" w:rsidP="001C7C92">
            <w:pPr>
              <w:spacing w:after="0" w:line="240" w:lineRule="auto"/>
              <w:rPr>
                <w:rFonts w:ascii="Times New Roman" w:eastAsia="Times New Roman" w:hAnsi="Times New Roman" w:cs="Times New Roman"/>
                <w:sz w:val="24"/>
                <w:szCs w:val="24"/>
                <w:lang w:eastAsia="en-CA"/>
              </w:rPr>
            </w:pPr>
          </w:p>
        </w:tc>
      </w:tr>
      <w:tr w:rsidR="001C7C92" w:rsidRPr="001C7C92" w14:paraId="21322CF8" w14:textId="77777777" w:rsidTr="00721659">
        <w:trPr>
          <w:tblCellSpacing w:w="15" w:type="dxa"/>
        </w:trPr>
        <w:tc>
          <w:tcPr>
            <w:tcW w:w="0" w:type="auto"/>
            <w:vAlign w:val="center"/>
          </w:tcPr>
          <w:p w14:paraId="5FF25185" w14:textId="318B0BBE" w:rsidR="001C7C92" w:rsidRPr="001C7C92" w:rsidRDefault="001C7C92" w:rsidP="001C7C92">
            <w:pPr>
              <w:spacing w:after="0" w:line="240" w:lineRule="auto"/>
              <w:jc w:val="center"/>
              <w:rPr>
                <w:rFonts w:ascii="Times New Roman" w:eastAsia="Times New Roman" w:hAnsi="Times New Roman" w:cs="Times New Roman"/>
                <w:b/>
                <w:bCs/>
                <w:sz w:val="24"/>
                <w:szCs w:val="24"/>
                <w:lang w:eastAsia="en-CA"/>
              </w:rPr>
            </w:pPr>
          </w:p>
        </w:tc>
        <w:tc>
          <w:tcPr>
            <w:tcW w:w="0" w:type="auto"/>
            <w:vAlign w:val="center"/>
          </w:tcPr>
          <w:p w14:paraId="6E2E4D6E" w14:textId="725E951A"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015D674E" w14:textId="4F51AC07"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7750D600" w14:textId="232EA3E1"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732EC6D1" w14:textId="67FAFFA7"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648E3F3A" w14:textId="6BAD0739"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348" w:type="dxa"/>
            <w:vAlign w:val="center"/>
          </w:tcPr>
          <w:p w14:paraId="401C854A" w14:textId="1AAFF740" w:rsidR="001C7C92" w:rsidRPr="001C7C92" w:rsidRDefault="001C7C92" w:rsidP="001C7C92">
            <w:pPr>
              <w:spacing w:after="0" w:line="240" w:lineRule="auto"/>
              <w:rPr>
                <w:rFonts w:ascii="Times New Roman" w:eastAsia="Times New Roman" w:hAnsi="Times New Roman" w:cs="Times New Roman"/>
                <w:sz w:val="24"/>
                <w:szCs w:val="24"/>
                <w:lang w:eastAsia="en-CA"/>
              </w:rPr>
            </w:pPr>
          </w:p>
        </w:tc>
      </w:tr>
      <w:tr w:rsidR="001C7C92" w:rsidRPr="001C7C92" w14:paraId="19E68BC7" w14:textId="77777777" w:rsidTr="00721659">
        <w:trPr>
          <w:tblCellSpacing w:w="15" w:type="dxa"/>
        </w:trPr>
        <w:tc>
          <w:tcPr>
            <w:tcW w:w="0" w:type="auto"/>
            <w:vAlign w:val="center"/>
          </w:tcPr>
          <w:p w14:paraId="1CF3EBB4" w14:textId="5E7653A5" w:rsidR="001C7C92" w:rsidRPr="001C7C92" w:rsidRDefault="001C7C92" w:rsidP="001C7C92">
            <w:pPr>
              <w:spacing w:after="0" w:line="240" w:lineRule="auto"/>
              <w:jc w:val="center"/>
              <w:rPr>
                <w:rFonts w:ascii="Times New Roman" w:eastAsia="Times New Roman" w:hAnsi="Times New Roman" w:cs="Times New Roman"/>
                <w:b/>
                <w:bCs/>
                <w:sz w:val="24"/>
                <w:szCs w:val="24"/>
                <w:lang w:eastAsia="en-CA"/>
              </w:rPr>
            </w:pPr>
          </w:p>
        </w:tc>
        <w:tc>
          <w:tcPr>
            <w:tcW w:w="0" w:type="auto"/>
            <w:vAlign w:val="center"/>
          </w:tcPr>
          <w:p w14:paraId="54A6286A" w14:textId="3E4E5742"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0569440D" w14:textId="03C5C2AC"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32645C86" w14:textId="28EC13F1"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4F3E4431" w14:textId="20E2693D"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22CAD888" w14:textId="69C0B4BB"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348" w:type="dxa"/>
            <w:vAlign w:val="center"/>
          </w:tcPr>
          <w:p w14:paraId="5AE18CE1" w14:textId="0B4178B7" w:rsidR="001C7C92" w:rsidRPr="001C7C92" w:rsidRDefault="001C7C92" w:rsidP="001C7C92">
            <w:pPr>
              <w:spacing w:after="0" w:line="240" w:lineRule="auto"/>
              <w:rPr>
                <w:rFonts w:ascii="Times New Roman" w:eastAsia="Times New Roman" w:hAnsi="Times New Roman" w:cs="Times New Roman"/>
                <w:sz w:val="24"/>
                <w:szCs w:val="24"/>
                <w:lang w:eastAsia="en-CA"/>
              </w:rPr>
            </w:pPr>
          </w:p>
        </w:tc>
      </w:tr>
      <w:tr w:rsidR="001C7C92" w:rsidRPr="001C7C92" w14:paraId="031C4F08" w14:textId="77777777" w:rsidTr="00721659">
        <w:trPr>
          <w:tblCellSpacing w:w="15" w:type="dxa"/>
        </w:trPr>
        <w:tc>
          <w:tcPr>
            <w:tcW w:w="0" w:type="auto"/>
            <w:vAlign w:val="center"/>
          </w:tcPr>
          <w:p w14:paraId="3C8D0452" w14:textId="00470B85" w:rsidR="001C7C92" w:rsidRPr="001C7C92" w:rsidRDefault="001C7C92" w:rsidP="001C7C92">
            <w:pPr>
              <w:spacing w:after="0" w:line="240" w:lineRule="auto"/>
              <w:jc w:val="center"/>
              <w:rPr>
                <w:rFonts w:ascii="Times New Roman" w:eastAsia="Times New Roman" w:hAnsi="Times New Roman" w:cs="Times New Roman"/>
                <w:b/>
                <w:bCs/>
                <w:sz w:val="24"/>
                <w:szCs w:val="24"/>
                <w:lang w:eastAsia="en-CA"/>
              </w:rPr>
            </w:pPr>
          </w:p>
        </w:tc>
        <w:tc>
          <w:tcPr>
            <w:tcW w:w="0" w:type="auto"/>
            <w:vAlign w:val="center"/>
          </w:tcPr>
          <w:p w14:paraId="08EB8C05" w14:textId="7C73C485"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4F674134" w14:textId="13079434"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473D5A3B" w14:textId="1B61D3D0"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17BB6A52" w14:textId="36E8C888"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0BEA79F3" w14:textId="6036F1D8"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348" w:type="dxa"/>
            <w:vAlign w:val="center"/>
          </w:tcPr>
          <w:p w14:paraId="3D550E8F" w14:textId="54C9E3D9" w:rsidR="001C7C92" w:rsidRPr="001C7C92" w:rsidRDefault="001C7C92" w:rsidP="001C7C92">
            <w:pPr>
              <w:spacing w:after="0" w:line="240" w:lineRule="auto"/>
              <w:rPr>
                <w:rFonts w:ascii="Times New Roman" w:eastAsia="Times New Roman" w:hAnsi="Times New Roman" w:cs="Times New Roman"/>
                <w:sz w:val="24"/>
                <w:szCs w:val="24"/>
                <w:lang w:eastAsia="en-CA"/>
              </w:rPr>
            </w:pPr>
          </w:p>
        </w:tc>
      </w:tr>
      <w:tr w:rsidR="001C7C92" w:rsidRPr="001C7C92" w14:paraId="3EC9D98D" w14:textId="77777777" w:rsidTr="00721659">
        <w:trPr>
          <w:tblCellSpacing w:w="15" w:type="dxa"/>
        </w:trPr>
        <w:tc>
          <w:tcPr>
            <w:tcW w:w="0" w:type="auto"/>
            <w:vAlign w:val="center"/>
          </w:tcPr>
          <w:p w14:paraId="70109987" w14:textId="2DF4DBDE" w:rsidR="001C7C92" w:rsidRPr="001C7C92" w:rsidRDefault="001C7C92" w:rsidP="001C7C92">
            <w:pPr>
              <w:spacing w:after="0" w:line="240" w:lineRule="auto"/>
              <w:jc w:val="center"/>
              <w:rPr>
                <w:rFonts w:ascii="Times New Roman" w:eastAsia="Times New Roman" w:hAnsi="Times New Roman" w:cs="Times New Roman"/>
                <w:b/>
                <w:bCs/>
                <w:sz w:val="24"/>
                <w:szCs w:val="24"/>
                <w:lang w:eastAsia="en-CA"/>
              </w:rPr>
            </w:pPr>
          </w:p>
        </w:tc>
        <w:tc>
          <w:tcPr>
            <w:tcW w:w="0" w:type="auto"/>
            <w:vAlign w:val="center"/>
          </w:tcPr>
          <w:p w14:paraId="47DED604" w14:textId="4091A1B1"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4AC53FAE" w14:textId="1A10A987"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0C28C317" w14:textId="4B65C3AD"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12D10AC5" w14:textId="779FE01E"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7896F0FE" w14:textId="72245A0F"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348" w:type="dxa"/>
            <w:vAlign w:val="center"/>
          </w:tcPr>
          <w:p w14:paraId="51A840C6" w14:textId="24CD46DD" w:rsidR="001C7C92" w:rsidRPr="001C7C92" w:rsidRDefault="001C7C92" w:rsidP="001C7C92">
            <w:pPr>
              <w:spacing w:after="0" w:line="240" w:lineRule="auto"/>
              <w:rPr>
                <w:rFonts w:ascii="Times New Roman" w:eastAsia="Times New Roman" w:hAnsi="Times New Roman" w:cs="Times New Roman"/>
                <w:sz w:val="24"/>
                <w:szCs w:val="24"/>
                <w:lang w:eastAsia="en-CA"/>
              </w:rPr>
            </w:pPr>
          </w:p>
        </w:tc>
      </w:tr>
      <w:tr w:rsidR="001C7C92" w:rsidRPr="001C7C92" w14:paraId="42A52BBA" w14:textId="77777777" w:rsidTr="00721659">
        <w:trPr>
          <w:tblCellSpacing w:w="15" w:type="dxa"/>
        </w:trPr>
        <w:tc>
          <w:tcPr>
            <w:tcW w:w="0" w:type="auto"/>
            <w:vAlign w:val="center"/>
          </w:tcPr>
          <w:p w14:paraId="60ABC618" w14:textId="13B0A12C" w:rsidR="001C7C92" w:rsidRPr="001C7C92" w:rsidRDefault="001C7C92" w:rsidP="001C7C92">
            <w:pPr>
              <w:spacing w:after="0" w:line="240" w:lineRule="auto"/>
              <w:jc w:val="center"/>
              <w:rPr>
                <w:rFonts w:ascii="Times New Roman" w:eastAsia="Times New Roman" w:hAnsi="Times New Roman" w:cs="Times New Roman"/>
                <w:b/>
                <w:bCs/>
                <w:sz w:val="24"/>
                <w:szCs w:val="24"/>
                <w:lang w:eastAsia="en-CA"/>
              </w:rPr>
            </w:pPr>
          </w:p>
        </w:tc>
        <w:tc>
          <w:tcPr>
            <w:tcW w:w="0" w:type="auto"/>
            <w:vAlign w:val="center"/>
          </w:tcPr>
          <w:p w14:paraId="38DB78AF" w14:textId="25A3B056"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56B1B5FA" w14:textId="3F487C29"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7A9F20F1" w14:textId="3C9BC7B0"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45BFB7AF" w14:textId="14DB5014"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0" w:type="auto"/>
            <w:vAlign w:val="center"/>
          </w:tcPr>
          <w:p w14:paraId="66F69169" w14:textId="3710A6C9" w:rsidR="001C7C92" w:rsidRPr="001C7C92" w:rsidRDefault="001C7C92" w:rsidP="001C7C92">
            <w:pPr>
              <w:spacing w:after="0" w:line="240" w:lineRule="auto"/>
              <w:rPr>
                <w:rFonts w:ascii="Times New Roman" w:eastAsia="Times New Roman" w:hAnsi="Times New Roman" w:cs="Times New Roman"/>
                <w:sz w:val="24"/>
                <w:szCs w:val="24"/>
                <w:lang w:eastAsia="en-CA"/>
              </w:rPr>
            </w:pPr>
          </w:p>
        </w:tc>
        <w:tc>
          <w:tcPr>
            <w:tcW w:w="348" w:type="dxa"/>
            <w:vAlign w:val="center"/>
          </w:tcPr>
          <w:p w14:paraId="1C354502" w14:textId="0C44662E" w:rsidR="001C7C92" w:rsidRPr="001C7C92" w:rsidRDefault="001C7C92" w:rsidP="001C7C92">
            <w:pPr>
              <w:spacing w:after="0" w:line="240" w:lineRule="auto"/>
              <w:rPr>
                <w:rFonts w:ascii="Times New Roman" w:eastAsia="Times New Roman" w:hAnsi="Times New Roman" w:cs="Times New Roman"/>
                <w:sz w:val="24"/>
                <w:szCs w:val="24"/>
                <w:lang w:eastAsia="en-CA"/>
              </w:rPr>
            </w:pPr>
          </w:p>
        </w:tc>
      </w:tr>
    </w:tbl>
    <w:p w14:paraId="26268E4F" w14:textId="5AD006D6" w:rsidR="001C7C92" w:rsidRDefault="001C7C92"/>
    <w:p w14:paraId="79A326B1" w14:textId="00398673" w:rsidR="001C7C92" w:rsidRDefault="001C7C92">
      <w:r>
        <w:rPr>
          <w:lang w:val="en-US"/>
        </w:rPr>
        <w:t xml:space="preserve">The tourism economy is vital to </w:t>
      </w:r>
      <w:proofErr w:type="spellStart"/>
      <w:r>
        <w:rPr>
          <w:lang w:val="en-US"/>
        </w:rPr>
        <w:t>Fernie’s</w:t>
      </w:r>
      <w:proofErr w:type="spellEnd"/>
      <w:r>
        <w:rPr>
          <w:lang w:val="en-US"/>
        </w:rPr>
        <w:t xml:space="preserve"> overall economic sustainability and prosperity with over 307,000 visitors annually and over $100 million in visitor spending</w:t>
      </w:r>
      <w:bookmarkStart w:id="1" w:name="_ftnref1"/>
      <w:r>
        <w:rPr>
          <w:lang w:val="en-US"/>
        </w:rPr>
        <w:fldChar w:fldCharType="begin"/>
      </w:r>
      <w:r>
        <w:rPr>
          <w:lang w:val="en-US"/>
        </w:rPr>
        <w:instrText xml:space="preserve"> HYPERLINK "https://tourismfernie.com/news/fernie-bc-advocates-for-mrdt" \l "_ftn1" \o "" </w:instrText>
      </w:r>
      <w:r>
        <w:rPr>
          <w:lang w:val="en-US"/>
        </w:rPr>
        <w:fldChar w:fldCharType="separate"/>
      </w:r>
      <w:r>
        <w:rPr>
          <w:rStyle w:val="Hyperlink"/>
          <w:lang w:val="en-US"/>
        </w:rPr>
        <w:t>[1]</w:t>
      </w:r>
      <w:r>
        <w:rPr>
          <w:lang w:val="en-US"/>
        </w:rPr>
        <w:fldChar w:fldCharType="end"/>
      </w:r>
      <w:bookmarkEnd w:id="1"/>
      <w:r>
        <w:rPr>
          <w:lang w:val="en-US"/>
        </w:rPr>
        <w:t xml:space="preserve">.  Over 42% of businesses in </w:t>
      </w:r>
      <w:proofErr w:type="spellStart"/>
      <w:r>
        <w:rPr>
          <w:lang w:val="en-US"/>
        </w:rPr>
        <w:t>Fernie</w:t>
      </w:r>
      <w:proofErr w:type="spellEnd"/>
      <w:r>
        <w:rPr>
          <w:lang w:val="en-US"/>
        </w:rPr>
        <w:t xml:space="preserve"> are directly impacted by tourism and 93% of businesses indicate that tourism is an economic driver with the greatest growth potential</w:t>
      </w:r>
      <w:bookmarkStart w:id="2" w:name="_ftnref2"/>
      <w:r>
        <w:rPr>
          <w:lang w:val="en-US"/>
        </w:rPr>
        <w:fldChar w:fldCharType="begin"/>
      </w:r>
      <w:r>
        <w:rPr>
          <w:lang w:val="en-US"/>
        </w:rPr>
        <w:instrText xml:space="preserve"> HYPERLINK "https://tourismfernie.com/news/fernie-bc-advocates-for-mrdt" \l "_ftn2" \o "" </w:instrText>
      </w:r>
      <w:r>
        <w:rPr>
          <w:lang w:val="en-US"/>
        </w:rPr>
        <w:fldChar w:fldCharType="separate"/>
      </w:r>
      <w:r>
        <w:rPr>
          <w:rStyle w:val="Hyperlink"/>
          <w:lang w:val="en-US"/>
        </w:rPr>
        <w:t>[2]</w:t>
      </w:r>
      <w:r>
        <w:rPr>
          <w:lang w:val="en-US"/>
        </w:rPr>
        <w:fldChar w:fldCharType="end"/>
      </w:r>
      <w:bookmarkEnd w:id="2"/>
      <w:r>
        <w:rPr>
          <w:lang w:val="en-US"/>
        </w:rPr>
        <w:t xml:space="preserve">. The future of tourism in </w:t>
      </w:r>
      <w:proofErr w:type="spellStart"/>
      <w:r>
        <w:rPr>
          <w:lang w:val="en-US"/>
        </w:rPr>
        <w:t>Fernie</w:t>
      </w:r>
      <w:proofErr w:type="spellEnd"/>
      <w:r>
        <w:rPr>
          <w:lang w:val="en-US"/>
        </w:rPr>
        <w:t xml:space="preserve"> is very optimistic with opportunities for further growth.</w:t>
      </w:r>
    </w:p>
    <w:sectPr w:rsidR="001C7C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18"/>
    <w:rsid w:val="001C7C92"/>
    <w:rsid w:val="004E2D3D"/>
    <w:rsid w:val="00721659"/>
    <w:rsid w:val="00D84F18"/>
    <w:rsid w:val="00F62B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32D3"/>
  <w15:chartTrackingRefBased/>
  <w15:docId w15:val="{8028B0A9-2E1F-4BB1-BCDD-3DD30DFF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7C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856654">
      <w:bodyDiv w:val="1"/>
      <w:marLeft w:val="0"/>
      <w:marRight w:val="0"/>
      <w:marTop w:val="0"/>
      <w:marBottom w:val="0"/>
      <w:divBdr>
        <w:top w:val="none" w:sz="0" w:space="0" w:color="auto"/>
        <w:left w:val="none" w:sz="0" w:space="0" w:color="auto"/>
        <w:bottom w:val="none" w:sz="0" w:space="0" w:color="auto"/>
        <w:right w:val="none" w:sz="0" w:space="0" w:color="auto"/>
      </w:divBdr>
    </w:div>
    <w:div w:id="131441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2.statcan.gc.ca/census-recensement/2016/dp-pd/prof/details/page.cfm?Lang=E&amp;Geo1=DPL&amp;Code1=590006&amp;Geo2=PR&amp;Code2=48&amp;Data=Count&amp;SearchText=Hornby%20Island%20Trust%20Area&amp;SearchType=Begins&amp;SearchPR=01&amp;B1=All&amp;TABID=1" TargetMode="External"/><Relationship Id="rId3" Type="http://schemas.openxmlformats.org/officeDocument/2006/relationships/webSettings" Target="webSettings.xml"/><Relationship Id="rId7" Type="http://schemas.openxmlformats.org/officeDocument/2006/relationships/hyperlink" Target="https://www12.statcan.gc.ca/census-recensement/2016/dp-pd/prof/details/page.cfm?Lang=E&amp;Geo1=DPL&amp;Code1=590006&amp;Geo2=PR&amp;Code2=48&amp;Data=Count&amp;SearchText=Hornby%20Island%20Trust%20Area&amp;SearchType=Begins&amp;SearchPR=01&amp;B1=All&amp;TABI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12.statcan.gc.ca/census-recensement/2016/dp-pd/prof/details/page.cfm?Lang=E&amp;Geo1=DPL&amp;Code1=590006&amp;Geo2=PR&amp;Code2=48&amp;Data=Count&amp;SearchText=Hornby%20Island%20Trust%20Area&amp;SearchType=Begins&amp;SearchPR=01&amp;B1=All&amp;TABID=1" TargetMode="External"/><Relationship Id="rId11" Type="http://schemas.openxmlformats.org/officeDocument/2006/relationships/theme" Target="theme/theme1.xml"/><Relationship Id="rId5" Type="http://schemas.openxmlformats.org/officeDocument/2006/relationships/hyperlink" Target="https://www12.statcan.gc.ca/census-recensement/2016/dp-pd/prof/details/page.cfm?Lang=E&amp;Geo1=DPL&amp;Code1=590006&amp;Geo2=PR&amp;Code2=48&amp;Data=Count&amp;SearchText=Hornby%20Island%20Trust%20Area&amp;SearchType=Begins&amp;SearchPR=01&amp;B1=All&amp;TABID=1"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Hornby Island 2016 Census </a:t>
            </a:r>
          </a:p>
          <a:p>
            <a:pPr>
              <a:defRPr/>
            </a:pPr>
            <a:r>
              <a:rPr lang="en-CA"/>
              <a:t>Total Occupied Dwellings, 560 units total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7A9-4F98-B1A5-18C4875AFFF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7A9-4F98-B1A5-18C4875AFFF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7A9-4F98-B1A5-18C4875AFFF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7A9-4F98-B1A5-18C4875AFFF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7A9-4F98-B1A5-18C4875AFFF9}"/>
              </c:ext>
            </c:extLst>
          </c:dPt>
          <c:cat>
            <c:strRef>
              <c:f>Sheet1!$A$2:$A$6</c:f>
              <c:strCache>
                <c:ptCount val="5"/>
                <c:pt idx="0">
                  <c:v>Single-detached house </c:v>
                </c:pt>
                <c:pt idx="1">
                  <c:v>Other attached dwelling</c:v>
                </c:pt>
                <c:pt idx="2">
                  <c:v>Semi-detached house </c:v>
                </c:pt>
                <c:pt idx="3">
                  <c:v>Apartment or flat in a duplex </c:v>
                </c:pt>
                <c:pt idx="4">
                  <c:v>Movable dwelling</c:v>
                </c:pt>
              </c:strCache>
            </c:strRef>
          </c:cat>
          <c:val>
            <c:numRef>
              <c:f>Sheet1!$B$2:$B$6</c:f>
              <c:numCache>
                <c:formatCode>General</c:formatCode>
                <c:ptCount val="5"/>
                <c:pt idx="0">
                  <c:v>505</c:v>
                </c:pt>
                <c:pt idx="1">
                  <c:v>20</c:v>
                </c:pt>
                <c:pt idx="2">
                  <c:v>10</c:v>
                </c:pt>
                <c:pt idx="3">
                  <c:v>5</c:v>
                </c:pt>
                <c:pt idx="4">
                  <c:v>35</c:v>
                </c:pt>
              </c:numCache>
            </c:numRef>
          </c:val>
          <c:extLst>
            <c:ext xmlns:c16="http://schemas.microsoft.com/office/drawing/2014/chart" uri="{C3380CC4-5D6E-409C-BE32-E72D297353CC}">
              <c16:uniqueId val="{0000000A-F7A9-4F98-B1A5-18C4875AFFF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591</Words>
  <Characters>2869</Characters>
  <Application>Microsoft Office Word</Application>
  <DocSecurity>0</DocSecurity>
  <Lines>46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1</cp:revision>
  <dcterms:created xsi:type="dcterms:W3CDTF">2019-09-21T20:17:00Z</dcterms:created>
  <dcterms:modified xsi:type="dcterms:W3CDTF">2019-09-22T22:55:00Z</dcterms:modified>
</cp:coreProperties>
</file>