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68890" w14:textId="77777777" w:rsidR="005169FE" w:rsidRDefault="005169FE" w:rsidP="005169FE">
      <w:pPr>
        <w:widowControl/>
        <w:tabs>
          <w:tab w:val="left" w:pos="4590"/>
        </w:tabs>
        <w:spacing w:line="287" w:lineRule="auto"/>
        <w:jc w:val="center"/>
        <w:rPr>
          <w:rFonts w:ascii="Garamond" w:hAnsi="Garamond"/>
          <w:sz w:val="34"/>
          <w:szCs w:val="34"/>
        </w:rPr>
      </w:pPr>
      <w:r>
        <w:rPr>
          <w:rFonts w:ascii="Garamond" w:hAnsi="Garamond"/>
          <w:sz w:val="34"/>
          <w:szCs w:val="34"/>
        </w:rPr>
        <w:t>GARGANESE, WEISS, D</w:t>
      </w:r>
      <w:r>
        <w:rPr>
          <w:rFonts w:ascii="Garamond" w:hAnsi="Garamond"/>
          <w:sz w:val="34"/>
          <w:szCs w:val="34"/>
        </w:rPr>
        <w:sym w:font="WP TypographicSymbols" w:char="003D"/>
      </w:r>
      <w:r>
        <w:rPr>
          <w:rFonts w:ascii="Garamond" w:hAnsi="Garamond"/>
          <w:sz w:val="34"/>
          <w:szCs w:val="34"/>
        </w:rPr>
        <w:t>AGRESTA &amp; SALZMAN, P.A.</w:t>
      </w:r>
    </w:p>
    <w:p w14:paraId="0891D3FB" w14:textId="77777777" w:rsidR="005169FE" w:rsidRDefault="005169FE" w:rsidP="005169FE">
      <w:pPr>
        <w:widowControl/>
        <w:jc w:val="center"/>
        <w:rPr>
          <w:rFonts w:ascii="Garamond" w:hAnsi="Garamond"/>
          <w:sz w:val="28"/>
          <w:szCs w:val="28"/>
        </w:rPr>
      </w:pPr>
      <w:r>
        <w:rPr>
          <w:noProof/>
          <w:sz w:val="20"/>
        </w:rPr>
        <mc:AlternateContent>
          <mc:Choice Requires="wps">
            <w:drawing>
              <wp:anchor distT="0" distB="0" distL="114300" distR="114300" simplePos="0" relativeHeight="251659264" behindDoc="1" locked="1" layoutInCell="0" allowOverlap="1" wp14:anchorId="25415B33" wp14:editId="57547DDB">
                <wp:simplePos x="0" y="0"/>
                <wp:positionH relativeFrom="page">
                  <wp:posOffset>3181985</wp:posOffset>
                </wp:positionH>
                <wp:positionV relativeFrom="page">
                  <wp:posOffset>1243330</wp:posOffset>
                </wp:positionV>
                <wp:extent cx="1407795" cy="17780"/>
                <wp:effectExtent l="635" t="0"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BF0CE" id="Rectangle 1" o:spid="_x0000_s1026" style="position:absolute;margin-left:250.55pt;margin-top:97.9pt;width:110.8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YN5g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" o:allowincell="f" fillcolor="black" stroked="f" strokeweight="0">
                <w10:wrap anchorx="page" anchory="page"/>
                <w10:anchorlock/>
              </v:rect>
            </w:pict>
          </mc:Fallback>
        </mc:AlternateContent>
      </w:r>
      <w:r>
        <w:rPr>
          <w:rFonts w:ascii="Garamond" w:hAnsi="Garamond"/>
          <w:i/>
          <w:iCs/>
        </w:rPr>
        <w:t>Attorneys at Law</w:t>
      </w:r>
    </w:p>
    <w:p w14:paraId="5D7E0B97" w14:textId="77777777" w:rsidR="005169FE" w:rsidRDefault="005169FE" w:rsidP="005169FE">
      <w:pPr>
        <w:widowControl/>
        <w:ind w:firstLine="2880"/>
        <w:rPr>
          <w:rFonts w:ascii="Garamond" w:hAnsi="Garamond"/>
          <w:sz w:val="28"/>
          <w:szCs w:val="28"/>
        </w:rPr>
        <w:sectPr w:rsidR="005169F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170" w:right="720" w:bottom="576" w:left="720" w:header="1170" w:footer="576" w:gutter="0"/>
          <w:cols w:space="720"/>
          <w:noEndnote/>
        </w:sectPr>
      </w:pPr>
    </w:p>
    <w:p w14:paraId="478F7DAA" w14:textId="77777777" w:rsidR="005169FE" w:rsidRDefault="005169FE" w:rsidP="005169FE">
      <w:pPr>
        <w:widowControl/>
        <w:rPr>
          <w:rFonts w:ascii="Arial" w:hAnsi="Arial" w:cs="Arial"/>
          <w:sz w:val="20"/>
          <w:szCs w:val="20"/>
        </w:rPr>
      </w:pPr>
    </w:p>
    <w:p w14:paraId="66D4CC7B" w14:textId="77777777" w:rsidR="005169FE" w:rsidRDefault="005169FE" w:rsidP="005169FE">
      <w:pPr>
        <w:widowControl/>
        <w:rPr>
          <w:rFonts w:ascii="Garamond" w:hAnsi="Garamond"/>
          <w:sz w:val="20"/>
          <w:szCs w:val="20"/>
        </w:rPr>
      </w:pPr>
    </w:p>
    <w:p w14:paraId="0CB56FD7" w14:textId="77777777" w:rsidR="005169FE" w:rsidRDefault="005169FE" w:rsidP="005169FE">
      <w:pPr>
        <w:widowControl/>
        <w:rPr>
          <w:rFonts w:ascii="Garamond" w:hAnsi="Garamond"/>
          <w:sz w:val="20"/>
          <w:szCs w:val="20"/>
        </w:rPr>
      </w:pPr>
      <w:r>
        <w:rPr>
          <w:rFonts w:ascii="Garamond" w:hAnsi="Garamond"/>
          <w:sz w:val="20"/>
          <w:szCs w:val="20"/>
        </w:rPr>
        <w:t>111 N. Orange Ave., Suite 2000</w:t>
      </w:r>
    </w:p>
    <w:p w14:paraId="279046D3" w14:textId="77777777" w:rsidR="005169FE" w:rsidRDefault="005169FE" w:rsidP="005169FE">
      <w:pPr>
        <w:widowControl/>
        <w:rPr>
          <w:rFonts w:ascii="Garamond" w:hAnsi="Garamond"/>
          <w:sz w:val="20"/>
          <w:szCs w:val="20"/>
        </w:rPr>
      </w:pPr>
      <w:r>
        <w:rPr>
          <w:rFonts w:ascii="Garamond" w:hAnsi="Garamond"/>
          <w:sz w:val="20"/>
          <w:szCs w:val="20"/>
        </w:rPr>
        <w:t>P.O. Box 2873</w:t>
      </w:r>
    </w:p>
    <w:p w14:paraId="64F9DD93" w14:textId="77777777" w:rsidR="005169FE" w:rsidRDefault="005169FE" w:rsidP="005169FE">
      <w:pPr>
        <w:widowControl/>
        <w:rPr>
          <w:rFonts w:ascii="Garamond" w:hAnsi="Garamond"/>
          <w:sz w:val="20"/>
          <w:szCs w:val="20"/>
        </w:rPr>
      </w:pPr>
      <w:r>
        <w:rPr>
          <w:rFonts w:ascii="Garamond" w:hAnsi="Garamond"/>
          <w:sz w:val="20"/>
          <w:szCs w:val="20"/>
        </w:rPr>
        <w:t>Orlando, Florida 32802-2873</w:t>
      </w:r>
    </w:p>
    <w:p w14:paraId="60B630D5" w14:textId="77777777" w:rsidR="005169FE" w:rsidRDefault="005169FE" w:rsidP="005169FE">
      <w:pPr>
        <w:widowControl/>
        <w:rPr>
          <w:rFonts w:ascii="Garamond" w:hAnsi="Garamond"/>
          <w:sz w:val="20"/>
          <w:szCs w:val="20"/>
        </w:rPr>
      </w:pPr>
      <w:r>
        <w:rPr>
          <w:rFonts w:ascii="Garamond" w:hAnsi="Garamond"/>
          <w:sz w:val="20"/>
          <w:szCs w:val="20"/>
        </w:rPr>
        <w:t>Phone (407) 425-9566</w:t>
      </w:r>
    </w:p>
    <w:p w14:paraId="487C52D0" w14:textId="77777777" w:rsidR="005169FE" w:rsidRDefault="005169FE" w:rsidP="005169FE">
      <w:pPr>
        <w:widowControl/>
        <w:rPr>
          <w:rFonts w:ascii="Garamond" w:hAnsi="Garamond"/>
          <w:sz w:val="20"/>
          <w:szCs w:val="20"/>
        </w:rPr>
      </w:pPr>
      <w:r>
        <w:rPr>
          <w:rFonts w:ascii="Garamond" w:hAnsi="Garamond"/>
          <w:sz w:val="20"/>
          <w:szCs w:val="20"/>
        </w:rPr>
        <w:t>Fax (407) 425-9596</w:t>
      </w:r>
    </w:p>
    <w:p w14:paraId="6481E3EE" w14:textId="77777777" w:rsidR="005169FE" w:rsidRDefault="005169FE" w:rsidP="005169FE">
      <w:pPr>
        <w:widowControl/>
        <w:rPr>
          <w:rFonts w:ascii="Arial" w:hAnsi="Arial" w:cs="Arial"/>
          <w:sz w:val="20"/>
          <w:szCs w:val="20"/>
        </w:rPr>
      </w:pPr>
    </w:p>
    <w:p w14:paraId="661210A7" w14:textId="77777777" w:rsidR="005169FE" w:rsidRDefault="005169FE" w:rsidP="005169FE">
      <w:pPr>
        <w:widowControl/>
        <w:ind w:firstLine="2160"/>
        <w:rPr>
          <w:rFonts w:ascii="Arial" w:hAnsi="Arial" w:cs="Arial"/>
          <w:sz w:val="20"/>
          <w:szCs w:val="20"/>
        </w:rPr>
      </w:pPr>
    </w:p>
    <w:p w14:paraId="5E15C5C9" w14:textId="77777777" w:rsidR="005169FE" w:rsidRDefault="005169FE" w:rsidP="005169FE">
      <w:pPr>
        <w:widowControl/>
        <w:ind w:firstLine="2160"/>
        <w:rPr>
          <w:rFonts w:ascii="Arial" w:hAnsi="Arial" w:cs="Arial"/>
          <w:vanish/>
          <w:sz w:val="20"/>
          <w:szCs w:val="20"/>
        </w:rPr>
      </w:pPr>
      <w:r>
        <w:rPr>
          <w:rFonts w:ascii="Arial" w:hAnsi="Arial" w:cs="Arial"/>
          <w:sz w:val="20"/>
          <w:szCs w:val="20"/>
        </w:rPr>
        <w:br w:type="column"/>
      </w:r>
    </w:p>
    <w:p w14:paraId="0451982C" w14:textId="77777777" w:rsidR="005169FE" w:rsidRDefault="005169FE" w:rsidP="005169FE">
      <w:pPr>
        <w:widowControl/>
        <w:jc w:val="center"/>
        <w:rPr>
          <w:rFonts w:ascii="Garamond" w:hAnsi="Garamond"/>
          <w:sz w:val="20"/>
          <w:szCs w:val="20"/>
        </w:rPr>
      </w:pPr>
    </w:p>
    <w:p w14:paraId="494795E4" w14:textId="77777777" w:rsidR="005169FE" w:rsidRDefault="005169FE" w:rsidP="005169FE">
      <w:pPr>
        <w:widowControl/>
        <w:ind w:firstLine="2880"/>
        <w:rPr>
          <w:rFonts w:ascii="Arial" w:hAnsi="Arial" w:cs="Arial"/>
          <w:sz w:val="20"/>
          <w:szCs w:val="20"/>
        </w:rPr>
      </w:pPr>
    </w:p>
    <w:p w14:paraId="5A4E37B9" w14:textId="77777777" w:rsidR="005169FE" w:rsidRDefault="005169FE" w:rsidP="005169FE">
      <w:pPr>
        <w:widowControl/>
        <w:ind w:firstLine="720"/>
        <w:rPr>
          <w:rFonts w:ascii="Arial" w:hAnsi="Arial" w:cs="Arial"/>
          <w:sz w:val="20"/>
          <w:szCs w:val="20"/>
        </w:rPr>
      </w:pPr>
    </w:p>
    <w:p w14:paraId="05BCA3A1" w14:textId="77777777" w:rsidR="005169FE" w:rsidRDefault="005169FE" w:rsidP="005169FE">
      <w:pPr>
        <w:widowControl/>
        <w:rPr>
          <w:rFonts w:ascii="Arial" w:hAnsi="Arial" w:cs="Arial"/>
          <w:sz w:val="20"/>
          <w:szCs w:val="20"/>
        </w:rPr>
      </w:pPr>
    </w:p>
    <w:p w14:paraId="30DE0EC9" w14:textId="77777777" w:rsidR="005169FE" w:rsidRDefault="005169FE" w:rsidP="005169FE">
      <w:pPr>
        <w:widowControl/>
        <w:ind w:firstLine="720"/>
        <w:rPr>
          <w:rFonts w:ascii="Arial" w:hAnsi="Arial" w:cs="Arial"/>
          <w:sz w:val="20"/>
          <w:szCs w:val="20"/>
        </w:rPr>
      </w:pPr>
    </w:p>
    <w:p w14:paraId="51EA10CE" w14:textId="77777777" w:rsidR="005169FE" w:rsidRDefault="005169FE" w:rsidP="005169FE">
      <w:pPr>
        <w:widowControl/>
        <w:ind w:firstLine="720"/>
        <w:rPr>
          <w:rFonts w:ascii="Arial" w:hAnsi="Arial" w:cs="Arial"/>
          <w:vanish/>
          <w:sz w:val="20"/>
          <w:szCs w:val="20"/>
        </w:rPr>
      </w:pPr>
      <w:r>
        <w:rPr>
          <w:rFonts w:ascii="Arial" w:hAnsi="Arial" w:cs="Arial"/>
          <w:sz w:val="20"/>
          <w:szCs w:val="20"/>
        </w:rPr>
        <w:br w:type="column"/>
      </w:r>
    </w:p>
    <w:p w14:paraId="1B939C3C" w14:textId="77777777" w:rsidR="005169FE" w:rsidRDefault="005169FE" w:rsidP="005169FE">
      <w:pPr>
        <w:widowControl/>
        <w:rPr>
          <w:rFonts w:ascii="Arial" w:hAnsi="Arial" w:cs="Arial"/>
        </w:rPr>
      </w:pPr>
    </w:p>
    <w:p w14:paraId="08DD64C5" w14:textId="77777777" w:rsidR="005169FE" w:rsidRDefault="005169FE" w:rsidP="005169FE">
      <w:pPr>
        <w:widowControl/>
        <w:tabs>
          <w:tab w:val="right" w:pos="2970"/>
        </w:tabs>
        <w:rPr>
          <w:rFonts w:ascii="Arial" w:hAnsi="Arial" w:cs="Arial"/>
        </w:rPr>
      </w:pPr>
      <w:r>
        <w:rPr>
          <w:rFonts w:ascii="Arial" w:hAnsi="Arial" w:cs="Arial"/>
        </w:rPr>
        <w:tab/>
      </w:r>
    </w:p>
    <w:p w14:paraId="306F8B2C" w14:textId="77777777" w:rsidR="005169FE" w:rsidRDefault="005169FE" w:rsidP="005169FE">
      <w:pPr>
        <w:widowControl/>
        <w:jc w:val="right"/>
        <w:rPr>
          <w:rFonts w:ascii="Arial" w:hAnsi="Arial" w:cs="Arial"/>
          <w:sz w:val="20"/>
          <w:szCs w:val="20"/>
        </w:rPr>
      </w:pPr>
    </w:p>
    <w:p w14:paraId="423AD3E7" w14:textId="77777777" w:rsidR="005169FE" w:rsidRDefault="005169FE" w:rsidP="005169FE">
      <w:pPr>
        <w:widowControl/>
        <w:ind w:firstLine="720"/>
        <w:rPr>
          <w:rFonts w:ascii="Shruti" w:hAnsi="Shruti"/>
        </w:rPr>
      </w:pPr>
      <w:r>
        <w:rPr>
          <w:rFonts w:ascii="Garamond" w:hAnsi="Garamond"/>
          <w:b/>
          <w:bCs/>
        </w:rPr>
        <w:t>Theresa McDowell</w:t>
      </w:r>
    </w:p>
    <w:p w14:paraId="65E0123E" w14:textId="77777777" w:rsidR="005169FE" w:rsidRDefault="005169FE" w:rsidP="005169FE">
      <w:pPr>
        <w:widowControl/>
        <w:ind w:firstLine="720"/>
        <w:rPr>
          <w:rFonts w:ascii="Arial" w:hAnsi="Arial" w:cs="Arial"/>
          <w:i/>
          <w:iCs/>
          <w:sz w:val="14"/>
          <w:szCs w:val="14"/>
        </w:rPr>
      </w:pPr>
      <w:r>
        <w:rPr>
          <w:rFonts w:ascii="Arial" w:hAnsi="Arial" w:cs="Arial"/>
          <w:i/>
          <w:iCs/>
          <w:sz w:val="14"/>
          <w:szCs w:val="14"/>
        </w:rPr>
        <w:t>Senior Attorney</w:t>
      </w:r>
    </w:p>
    <w:p w14:paraId="6028BFBF" w14:textId="77777777" w:rsidR="005169FE" w:rsidRDefault="005169FE" w:rsidP="005169FE">
      <w:pPr>
        <w:widowControl/>
        <w:ind w:left="720" w:firstLine="720"/>
        <w:rPr>
          <w:rFonts w:ascii="Arial" w:hAnsi="Arial" w:cs="Arial"/>
          <w:i/>
          <w:iCs/>
          <w:sz w:val="14"/>
          <w:szCs w:val="14"/>
        </w:rPr>
      </w:pPr>
    </w:p>
    <w:p w14:paraId="1650D975" w14:textId="77777777" w:rsidR="005169FE" w:rsidRDefault="005169FE" w:rsidP="005169FE">
      <w:pPr>
        <w:widowControl/>
        <w:ind w:left="720"/>
        <w:rPr>
          <w:rFonts w:ascii="Shruti" w:hAnsi="Shruti"/>
        </w:rPr>
      </w:pPr>
      <w:r>
        <w:rPr>
          <w:rFonts w:ascii="Garamond" w:hAnsi="Garamond" w:cs="Arial"/>
          <w:b/>
          <w:bCs/>
          <w:i/>
          <w:iCs/>
          <w:sz w:val="18"/>
          <w:szCs w:val="14"/>
        </w:rPr>
        <w:t>tmcdowell@orlandolaw.net</w:t>
      </w:r>
      <w:r>
        <w:rPr>
          <w:rFonts w:ascii="Arial" w:hAnsi="Arial" w:cs="Arial"/>
          <w:sz w:val="14"/>
          <w:szCs w:val="14"/>
        </w:rPr>
        <w:t xml:space="preserve"> </w:t>
      </w:r>
    </w:p>
    <w:p w14:paraId="36B31387" w14:textId="77777777" w:rsidR="005169FE" w:rsidRDefault="005169FE" w:rsidP="005169FE">
      <w:pPr>
        <w:widowControl/>
        <w:ind w:left="720" w:firstLine="720"/>
        <w:rPr>
          <w:rFonts w:ascii="Shruti" w:hAnsi="Shruti"/>
        </w:rPr>
      </w:pPr>
    </w:p>
    <w:p w14:paraId="0F00FA76" w14:textId="77777777" w:rsidR="005169FE" w:rsidRDefault="005169FE" w:rsidP="005169FE">
      <w:pPr>
        <w:widowControl/>
        <w:jc w:val="center"/>
        <w:rPr>
          <w:rFonts w:ascii="Shruti" w:hAnsi="Shruti"/>
        </w:rPr>
      </w:pPr>
    </w:p>
    <w:p w14:paraId="3395413B" w14:textId="77777777" w:rsidR="005169FE" w:rsidRDefault="005169FE" w:rsidP="005169FE">
      <w:pPr>
        <w:widowControl/>
        <w:jc w:val="both"/>
        <w:rPr>
          <w:rFonts w:ascii="Shruti" w:hAnsi="Shruti"/>
        </w:rPr>
        <w:sectPr w:rsidR="005169FE">
          <w:endnotePr>
            <w:numFmt w:val="decimal"/>
          </w:endnotePr>
          <w:type w:val="continuous"/>
          <w:pgSz w:w="12240" w:h="15840"/>
          <w:pgMar w:top="1170" w:right="720" w:bottom="576" w:left="990" w:header="1170" w:footer="576" w:gutter="0"/>
          <w:cols w:num="3" w:space="720" w:equalWidth="0">
            <w:col w:w="2880" w:space="270"/>
            <w:col w:w="3870" w:space="180"/>
            <w:col w:w="2970"/>
          </w:cols>
          <w:noEndnote/>
        </w:sectPr>
      </w:pPr>
    </w:p>
    <w:p w14:paraId="7FF44F65" w14:textId="77777777" w:rsidR="008A3EDE" w:rsidRDefault="0063467E" w:rsidP="008A3EDE">
      <w:pPr>
        <w:pStyle w:val="Header"/>
        <w:widowControl/>
        <w:tabs>
          <w:tab w:val="clear" w:pos="4320"/>
          <w:tab w:val="clear" w:pos="8640"/>
          <w:tab w:val="center" w:pos="4680"/>
        </w:tabs>
        <w:jc w:val="center"/>
        <w:rPr>
          <w:rFonts w:ascii="Arial" w:hAnsi="Arial" w:cs="Arial"/>
        </w:rPr>
      </w:pPr>
      <w:r>
        <w:rPr>
          <w:rFonts w:ascii="Arial" w:hAnsi="Arial" w:cs="Arial"/>
        </w:rPr>
        <w:t>August 3, 2021</w:t>
      </w:r>
    </w:p>
    <w:p w14:paraId="5A96C329" w14:textId="77777777" w:rsidR="008A3EDE" w:rsidRPr="008A3EDE" w:rsidRDefault="008A3EDE" w:rsidP="008A3EDE">
      <w:pPr>
        <w:pStyle w:val="Header"/>
        <w:widowControl/>
        <w:tabs>
          <w:tab w:val="clear" w:pos="4320"/>
          <w:tab w:val="clear" w:pos="8640"/>
          <w:tab w:val="center" w:pos="4680"/>
        </w:tabs>
        <w:jc w:val="center"/>
        <w:rPr>
          <w:rFonts w:ascii="Arial" w:hAnsi="Arial" w:cs="Arial"/>
        </w:rPr>
      </w:pPr>
    </w:p>
    <w:p w14:paraId="64C9E445" w14:textId="77777777" w:rsidR="008A3EDE" w:rsidRPr="008A3EDE" w:rsidRDefault="00205C01" w:rsidP="008A3EDE">
      <w:pPr>
        <w:pStyle w:val="Header"/>
        <w:widowControl/>
        <w:tabs>
          <w:tab w:val="clear" w:pos="4320"/>
          <w:tab w:val="clear" w:pos="8640"/>
          <w:tab w:val="center" w:pos="4680"/>
        </w:tabs>
        <w:jc w:val="both"/>
        <w:rPr>
          <w:rFonts w:ascii="Arial" w:hAnsi="Arial" w:cs="Arial"/>
        </w:rPr>
      </w:pPr>
      <w:r>
        <w:rPr>
          <w:rFonts w:ascii="Arial" w:hAnsi="Arial" w:cs="Arial"/>
        </w:rPr>
        <w:t xml:space="preserve">TO: </w:t>
      </w:r>
      <w:r w:rsidR="008A3EDE" w:rsidRPr="008A3EDE">
        <w:rPr>
          <w:rFonts w:ascii="Arial" w:hAnsi="Arial" w:cs="Arial"/>
        </w:rPr>
        <w:t>Membership of Glenwood Reserve Homeowners Association, Inc.</w:t>
      </w:r>
    </w:p>
    <w:p w14:paraId="304705E1" w14:textId="77777777" w:rsidR="008A3EDE" w:rsidRPr="008A3EDE" w:rsidRDefault="008A3EDE" w:rsidP="008A3EDE">
      <w:pPr>
        <w:pStyle w:val="Header"/>
        <w:widowControl/>
        <w:tabs>
          <w:tab w:val="clear" w:pos="4320"/>
          <w:tab w:val="clear" w:pos="8640"/>
          <w:tab w:val="center" w:pos="4680"/>
        </w:tabs>
        <w:jc w:val="both"/>
        <w:rPr>
          <w:rFonts w:ascii="Arial" w:hAnsi="Arial" w:cs="Arial"/>
        </w:rPr>
      </w:pPr>
    </w:p>
    <w:p w14:paraId="2FB96846" w14:textId="77777777" w:rsidR="008A3EDE" w:rsidRPr="008A3EDE" w:rsidRDefault="008A3EDE" w:rsidP="008A3EDE">
      <w:pPr>
        <w:pStyle w:val="Header"/>
        <w:widowControl/>
        <w:tabs>
          <w:tab w:val="clear" w:pos="4320"/>
          <w:tab w:val="clear" w:pos="8640"/>
          <w:tab w:val="center" w:pos="4680"/>
        </w:tabs>
        <w:jc w:val="both"/>
        <w:rPr>
          <w:rFonts w:ascii="Arial" w:hAnsi="Arial" w:cs="Arial"/>
        </w:rPr>
      </w:pPr>
      <w:r>
        <w:rPr>
          <w:rFonts w:ascii="Arial" w:hAnsi="Arial" w:cs="Arial"/>
        </w:rPr>
        <w:t xml:space="preserve">RE: </w:t>
      </w:r>
      <w:r w:rsidRPr="008A3EDE">
        <w:rPr>
          <w:rFonts w:ascii="Arial" w:hAnsi="Arial" w:cs="Arial"/>
        </w:rPr>
        <w:t>Amendment to the Covenants and Restrictions</w:t>
      </w:r>
    </w:p>
    <w:p w14:paraId="76E20F9B" w14:textId="77777777" w:rsidR="008A3EDE" w:rsidRDefault="008A3EDE" w:rsidP="008A3EDE">
      <w:pPr>
        <w:pStyle w:val="Header"/>
        <w:widowControl/>
        <w:tabs>
          <w:tab w:val="clear" w:pos="4320"/>
          <w:tab w:val="clear" w:pos="8640"/>
          <w:tab w:val="center" w:pos="4680"/>
        </w:tabs>
        <w:jc w:val="both"/>
        <w:rPr>
          <w:rFonts w:ascii="Arial" w:hAnsi="Arial" w:cs="Arial"/>
        </w:rPr>
      </w:pPr>
    </w:p>
    <w:p w14:paraId="597DA6C4" w14:textId="77777777" w:rsidR="008A3EDE" w:rsidRDefault="008A3EDE" w:rsidP="008A3EDE">
      <w:pPr>
        <w:pStyle w:val="Header"/>
        <w:widowControl/>
        <w:tabs>
          <w:tab w:val="clear" w:pos="4320"/>
          <w:tab w:val="clear" w:pos="8640"/>
          <w:tab w:val="center" w:pos="4680"/>
        </w:tabs>
        <w:jc w:val="both"/>
        <w:rPr>
          <w:rFonts w:ascii="Arial" w:hAnsi="Arial" w:cs="Arial"/>
        </w:rPr>
      </w:pPr>
      <w:r w:rsidRPr="008A3EDE">
        <w:rPr>
          <w:rFonts w:ascii="Arial" w:hAnsi="Arial" w:cs="Arial"/>
        </w:rPr>
        <w:t xml:space="preserve">The Association’s Board of Directors has </w:t>
      </w:r>
      <w:r w:rsidR="005B2ABE">
        <w:rPr>
          <w:rFonts w:ascii="Arial" w:hAnsi="Arial" w:cs="Arial"/>
        </w:rPr>
        <w:t xml:space="preserve">requested that </w:t>
      </w:r>
      <w:r w:rsidRPr="008A3EDE">
        <w:rPr>
          <w:rFonts w:ascii="Arial" w:hAnsi="Arial" w:cs="Arial"/>
        </w:rPr>
        <w:t xml:space="preserve">our Firm </w:t>
      </w:r>
      <w:r w:rsidR="005B2ABE">
        <w:rPr>
          <w:rFonts w:ascii="Arial" w:hAnsi="Arial" w:cs="Arial"/>
        </w:rPr>
        <w:t>provide</w:t>
      </w:r>
      <w:r w:rsidRPr="008A3EDE">
        <w:rPr>
          <w:rFonts w:ascii="Arial" w:hAnsi="Arial" w:cs="Arial"/>
        </w:rPr>
        <w:t xml:space="preserve"> additional context </w:t>
      </w:r>
      <w:r w:rsidR="005B2ABE">
        <w:rPr>
          <w:rFonts w:ascii="Arial" w:hAnsi="Arial" w:cs="Arial"/>
        </w:rPr>
        <w:t xml:space="preserve">to </w:t>
      </w:r>
      <w:r w:rsidRPr="008A3EDE">
        <w:rPr>
          <w:rFonts w:ascii="Arial" w:hAnsi="Arial" w:cs="Arial"/>
        </w:rPr>
        <w:t xml:space="preserve">the current proposed amendment </w:t>
      </w:r>
      <w:r w:rsidR="005B2ABE">
        <w:rPr>
          <w:rFonts w:ascii="Arial" w:hAnsi="Arial" w:cs="Arial"/>
        </w:rPr>
        <w:t xml:space="preserve">to the Association’s Covenants and Restrictions </w:t>
      </w:r>
      <w:r w:rsidRPr="008A3EDE">
        <w:rPr>
          <w:rFonts w:ascii="Arial" w:hAnsi="Arial" w:cs="Arial"/>
        </w:rPr>
        <w:t xml:space="preserve">to remove existing covenant Article VI, Section 6.23, which states “Before a Certificate of Occupancy is issued, each home shall be provided with a fire sprinkler system which meets the requirements of NFPA 13D.” </w:t>
      </w:r>
    </w:p>
    <w:p w14:paraId="447397FA" w14:textId="77777777" w:rsidR="0063467E" w:rsidRDefault="0063467E" w:rsidP="008A3EDE">
      <w:pPr>
        <w:pStyle w:val="Header"/>
        <w:widowControl/>
        <w:tabs>
          <w:tab w:val="clear" w:pos="4320"/>
          <w:tab w:val="clear" w:pos="8640"/>
          <w:tab w:val="center" w:pos="4680"/>
        </w:tabs>
        <w:jc w:val="both"/>
        <w:rPr>
          <w:rFonts w:ascii="Arial" w:hAnsi="Arial" w:cs="Arial"/>
        </w:rPr>
      </w:pPr>
    </w:p>
    <w:p w14:paraId="219A2571" w14:textId="77777777" w:rsidR="00745EE1" w:rsidRPr="008A3EDE" w:rsidRDefault="00745EE1" w:rsidP="008A3EDE">
      <w:pPr>
        <w:pStyle w:val="Header"/>
        <w:widowControl/>
        <w:tabs>
          <w:tab w:val="clear" w:pos="4320"/>
          <w:tab w:val="clear" w:pos="8640"/>
          <w:tab w:val="center" w:pos="4680"/>
        </w:tabs>
        <w:jc w:val="both"/>
        <w:rPr>
          <w:rFonts w:ascii="Arial" w:hAnsi="Arial" w:cs="Arial"/>
        </w:rPr>
      </w:pPr>
    </w:p>
    <w:p w14:paraId="319B2ECD" w14:textId="77777777" w:rsidR="008A3EDE" w:rsidRDefault="008A3EDE" w:rsidP="008A3EDE">
      <w:pPr>
        <w:pStyle w:val="Header"/>
        <w:widowControl/>
        <w:tabs>
          <w:tab w:val="center" w:pos="4680"/>
        </w:tabs>
        <w:jc w:val="both"/>
        <w:rPr>
          <w:rFonts w:ascii="Arial" w:hAnsi="Arial" w:cs="Arial"/>
        </w:rPr>
      </w:pPr>
      <w:r w:rsidRPr="008A3EDE">
        <w:rPr>
          <w:rFonts w:ascii="Arial" w:hAnsi="Arial" w:cs="Arial"/>
        </w:rPr>
        <w:t xml:space="preserve">The Board of Directors asks that you consider certain factors, specifically, clarity, cost, and the risk of litigation, when making a decision </w:t>
      </w:r>
      <w:r w:rsidR="00B379E6">
        <w:rPr>
          <w:rFonts w:ascii="Arial" w:hAnsi="Arial" w:cs="Arial"/>
        </w:rPr>
        <w:t xml:space="preserve">about </w:t>
      </w:r>
      <w:r w:rsidRPr="008A3EDE">
        <w:rPr>
          <w:rFonts w:ascii="Arial" w:hAnsi="Arial" w:cs="Arial"/>
        </w:rPr>
        <w:t>the proposed amendment</w:t>
      </w:r>
      <w:r w:rsidR="00B379E6">
        <w:rPr>
          <w:rFonts w:ascii="Arial" w:hAnsi="Arial" w:cs="Arial"/>
        </w:rPr>
        <w:t xml:space="preserve"> to eliminate Section 6.23</w:t>
      </w:r>
      <w:r w:rsidRPr="008A3EDE">
        <w:rPr>
          <w:rFonts w:ascii="Arial" w:hAnsi="Arial" w:cs="Arial"/>
        </w:rPr>
        <w:t xml:space="preserve">. Further explanation of each factor is described below. </w:t>
      </w:r>
    </w:p>
    <w:p w14:paraId="295F44A4" w14:textId="77777777" w:rsidR="00745EE1" w:rsidRPr="008A3EDE" w:rsidRDefault="00745EE1" w:rsidP="008A3EDE">
      <w:pPr>
        <w:pStyle w:val="Header"/>
        <w:widowControl/>
        <w:tabs>
          <w:tab w:val="center" w:pos="4680"/>
        </w:tabs>
        <w:jc w:val="both"/>
        <w:rPr>
          <w:rFonts w:ascii="Arial" w:hAnsi="Arial" w:cs="Arial"/>
        </w:rPr>
      </w:pPr>
    </w:p>
    <w:p w14:paraId="46D91D12" w14:textId="77777777" w:rsidR="008A3EDE" w:rsidRDefault="008A3EDE" w:rsidP="008A3EDE">
      <w:pPr>
        <w:pStyle w:val="Header"/>
        <w:widowControl/>
        <w:tabs>
          <w:tab w:val="center" w:pos="4680"/>
        </w:tabs>
        <w:jc w:val="both"/>
        <w:rPr>
          <w:rFonts w:ascii="Arial" w:hAnsi="Arial" w:cs="Arial"/>
        </w:rPr>
      </w:pPr>
      <w:r w:rsidRPr="00745EE1">
        <w:rPr>
          <w:rFonts w:ascii="Arial" w:hAnsi="Arial" w:cs="Arial"/>
          <w:b/>
          <w:u w:val="single"/>
        </w:rPr>
        <w:t>Clarity</w:t>
      </w:r>
      <w:r w:rsidRPr="008A3EDE">
        <w:rPr>
          <w:rFonts w:ascii="Arial" w:hAnsi="Arial" w:cs="Arial"/>
        </w:rPr>
        <w:t>:</w:t>
      </w:r>
    </w:p>
    <w:p w14:paraId="123D1F0C" w14:textId="77777777" w:rsidR="0097376A" w:rsidRPr="008A3EDE" w:rsidRDefault="0097376A" w:rsidP="008A3EDE">
      <w:pPr>
        <w:pStyle w:val="Header"/>
        <w:widowControl/>
        <w:tabs>
          <w:tab w:val="center" w:pos="4680"/>
        </w:tabs>
        <w:jc w:val="both"/>
        <w:rPr>
          <w:rFonts w:ascii="Arial" w:hAnsi="Arial" w:cs="Arial"/>
        </w:rPr>
      </w:pPr>
    </w:p>
    <w:p w14:paraId="4DDCCB3A" w14:textId="77777777" w:rsidR="008A3EDE" w:rsidRDefault="008A3EDE" w:rsidP="008A3EDE">
      <w:pPr>
        <w:pStyle w:val="Header"/>
        <w:widowControl/>
        <w:tabs>
          <w:tab w:val="center" w:pos="4680"/>
        </w:tabs>
        <w:jc w:val="both"/>
        <w:rPr>
          <w:rFonts w:ascii="Arial" w:hAnsi="Arial" w:cs="Arial"/>
        </w:rPr>
      </w:pPr>
      <w:r w:rsidRPr="008A3EDE">
        <w:rPr>
          <w:rFonts w:ascii="Arial" w:hAnsi="Arial" w:cs="Arial"/>
        </w:rPr>
        <w:t>The amendment</w:t>
      </w:r>
      <w:r w:rsidR="00745EE1">
        <w:rPr>
          <w:rFonts w:ascii="Arial" w:hAnsi="Arial" w:cs="Arial"/>
        </w:rPr>
        <w:t>,</w:t>
      </w:r>
      <w:r w:rsidRPr="008A3EDE">
        <w:rPr>
          <w:rFonts w:ascii="Arial" w:hAnsi="Arial" w:cs="Arial"/>
        </w:rPr>
        <w:t xml:space="preserve"> as written</w:t>
      </w:r>
      <w:r w:rsidR="00745EE1">
        <w:rPr>
          <w:rFonts w:ascii="Arial" w:hAnsi="Arial" w:cs="Arial"/>
        </w:rPr>
        <w:t>,</w:t>
      </w:r>
      <w:r w:rsidRPr="008A3EDE">
        <w:rPr>
          <w:rFonts w:ascii="Arial" w:hAnsi="Arial" w:cs="Arial"/>
        </w:rPr>
        <w:t xml:space="preserve"> lacks clarity. For example, currently, the language of the amendment states that “each home shall be provided with a fire sprinkler”</w:t>
      </w:r>
      <w:r w:rsidR="00745EE1">
        <w:rPr>
          <w:rFonts w:ascii="Arial" w:hAnsi="Arial" w:cs="Arial"/>
        </w:rPr>
        <w:t>,</w:t>
      </w:r>
      <w:r w:rsidRPr="008A3EDE">
        <w:rPr>
          <w:rFonts w:ascii="Arial" w:hAnsi="Arial" w:cs="Arial"/>
        </w:rPr>
        <w:t xml:space="preserve"> however, as the membership is aware, the Association has not provided fire sprinklers in each home</w:t>
      </w:r>
      <w:r w:rsidR="00D16E31">
        <w:rPr>
          <w:rFonts w:ascii="Arial" w:hAnsi="Arial" w:cs="Arial"/>
        </w:rPr>
        <w:t>,</w:t>
      </w:r>
      <w:r w:rsidRPr="008A3EDE">
        <w:rPr>
          <w:rFonts w:ascii="Arial" w:hAnsi="Arial" w:cs="Arial"/>
        </w:rPr>
        <w:t xml:space="preserve"> rather homeowners themselves have purchased the sprinklers and had them installed during construction. If the Association leaves the covenant as is, they may be responsible for the considerable cost of providing sprinkler systems to each </w:t>
      </w:r>
      <w:r w:rsidR="0044038B">
        <w:rPr>
          <w:rFonts w:ascii="Arial" w:hAnsi="Arial" w:cs="Arial"/>
        </w:rPr>
        <w:t xml:space="preserve">additional </w:t>
      </w:r>
      <w:r w:rsidRPr="008A3EDE">
        <w:rPr>
          <w:rFonts w:ascii="Arial" w:hAnsi="Arial" w:cs="Arial"/>
        </w:rPr>
        <w:t xml:space="preserve">home built. </w:t>
      </w:r>
      <w:r w:rsidR="001E0D53">
        <w:rPr>
          <w:rFonts w:ascii="Arial" w:hAnsi="Arial" w:cs="Arial"/>
        </w:rPr>
        <w:t>Further</w:t>
      </w:r>
      <w:r w:rsidRPr="008A3EDE">
        <w:rPr>
          <w:rFonts w:ascii="Arial" w:hAnsi="Arial" w:cs="Arial"/>
        </w:rPr>
        <w:t xml:space="preserve">, the amendment, as written, </w:t>
      </w:r>
      <w:r w:rsidR="00D16E31">
        <w:rPr>
          <w:rFonts w:ascii="Arial" w:hAnsi="Arial" w:cs="Arial"/>
        </w:rPr>
        <w:t>imposes</w:t>
      </w:r>
      <w:r w:rsidR="009423F1">
        <w:rPr>
          <w:rFonts w:ascii="Arial" w:hAnsi="Arial" w:cs="Arial"/>
        </w:rPr>
        <w:t xml:space="preserve"> </w:t>
      </w:r>
      <w:r w:rsidRPr="008A3EDE">
        <w:rPr>
          <w:rFonts w:ascii="Arial" w:hAnsi="Arial" w:cs="Arial"/>
        </w:rPr>
        <w:t xml:space="preserve">no clear responsibility. Rather, it states that the entity enforcing the covenant is Volusia County, and the enforcement mechanism is the </w:t>
      </w:r>
      <w:r w:rsidR="00EF628C">
        <w:rPr>
          <w:rFonts w:ascii="Arial" w:hAnsi="Arial" w:cs="Arial"/>
        </w:rPr>
        <w:t xml:space="preserve">denial </w:t>
      </w:r>
      <w:r w:rsidRPr="008A3EDE">
        <w:rPr>
          <w:rFonts w:ascii="Arial" w:hAnsi="Arial" w:cs="Arial"/>
        </w:rPr>
        <w:t>of a</w:t>
      </w:r>
      <w:r w:rsidR="00281CD1">
        <w:rPr>
          <w:rFonts w:ascii="Arial" w:hAnsi="Arial" w:cs="Arial"/>
        </w:rPr>
        <w:t xml:space="preserve"> request for issuance of a</w:t>
      </w:r>
      <w:r w:rsidRPr="008A3EDE">
        <w:rPr>
          <w:rFonts w:ascii="Arial" w:hAnsi="Arial" w:cs="Arial"/>
        </w:rPr>
        <w:t xml:space="preserve"> certificate of occupancy. The Association has no power over the issuance of permits or certificates. This covenant</w:t>
      </w:r>
      <w:r w:rsidR="00745EE1">
        <w:rPr>
          <w:rFonts w:ascii="Arial" w:hAnsi="Arial" w:cs="Arial"/>
        </w:rPr>
        <w:t>,</w:t>
      </w:r>
      <w:r w:rsidRPr="008A3EDE">
        <w:rPr>
          <w:rFonts w:ascii="Arial" w:hAnsi="Arial" w:cs="Arial"/>
        </w:rPr>
        <w:t xml:space="preserve"> as written</w:t>
      </w:r>
      <w:r w:rsidR="00745EE1">
        <w:rPr>
          <w:rFonts w:ascii="Arial" w:hAnsi="Arial" w:cs="Arial"/>
        </w:rPr>
        <w:t>,</w:t>
      </w:r>
      <w:r w:rsidRPr="008A3EDE">
        <w:rPr>
          <w:rFonts w:ascii="Arial" w:hAnsi="Arial" w:cs="Arial"/>
        </w:rPr>
        <w:t xml:space="preserve"> does not allow for the Association to take appropriate action</w:t>
      </w:r>
      <w:r w:rsidR="00745EE1">
        <w:rPr>
          <w:rFonts w:ascii="Arial" w:hAnsi="Arial" w:cs="Arial"/>
        </w:rPr>
        <w:t>,</w:t>
      </w:r>
      <w:r w:rsidRPr="008A3EDE">
        <w:rPr>
          <w:rFonts w:ascii="Arial" w:hAnsi="Arial" w:cs="Arial"/>
        </w:rPr>
        <w:t xml:space="preserve"> even in the event an owner fails to install </w:t>
      </w:r>
      <w:r w:rsidR="00037C52">
        <w:rPr>
          <w:rFonts w:ascii="Arial" w:hAnsi="Arial" w:cs="Arial"/>
        </w:rPr>
        <w:t xml:space="preserve">a </w:t>
      </w:r>
      <w:r w:rsidRPr="008A3EDE">
        <w:rPr>
          <w:rFonts w:ascii="Arial" w:hAnsi="Arial" w:cs="Arial"/>
        </w:rPr>
        <w:t xml:space="preserve">sprinkler system. </w:t>
      </w:r>
      <w:r w:rsidR="00745EE1">
        <w:rPr>
          <w:rFonts w:ascii="Arial" w:hAnsi="Arial" w:cs="Arial"/>
        </w:rPr>
        <w:t xml:space="preserve"> </w:t>
      </w:r>
      <w:r w:rsidR="0097119A">
        <w:rPr>
          <w:rFonts w:ascii="Arial" w:hAnsi="Arial" w:cs="Arial"/>
        </w:rPr>
        <w:t>And, importantly</w:t>
      </w:r>
      <w:r w:rsidRPr="008A3EDE">
        <w:rPr>
          <w:rFonts w:ascii="Arial" w:hAnsi="Arial" w:cs="Arial"/>
        </w:rPr>
        <w:t>, the County does not currently require these systems to be installed in order to issue a Certificate of Occupancy. The covenant</w:t>
      </w:r>
      <w:r w:rsidR="00745EE1">
        <w:rPr>
          <w:rFonts w:ascii="Arial" w:hAnsi="Arial" w:cs="Arial"/>
        </w:rPr>
        <w:t>,</w:t>
      </w:r>
      <w:r w:rsidRPr="008A3EDE">
        <w:rPr>
          <w:rFonts w:ascii="Arial" w:hAnsi="Arial" w:cs="Arial"/>
        </w:rPr>
        <w:t xml:space="preserve"> as written</w:t>
      </w:r>
      <w:r w:rsidR="00745EE1">
        <w:rPr>
          <w:rFonts w:ascii="Arial" w:hAnsi="Arial" w:cs="Arial"/>
        </w:rPr>
        <w:t>,</w:t>
      </w:r>
      <w:r w:rsidRPr="008A3EDE">
        <w:rPr>
          <w:rFonts w:ascii="Arial" w:hAnsi="Arial" w:cs="Arial"/>
        </w:rPr>
        <w:t xml:space="preserve"> is misleading</w:t>
      </w:r>
      <w:r w:rsidR="00037C52">
        <w:rPr>
          <w:rFonts w:ascii="Arial" w:hAnsi="Arial" w:cs="Arial"/>
        </w:rPr>
        <w:t>,</w:t>
      </w:r>
      <w:r w:rsidRPr="008A3EDE">
        <w:rPr>
          <w:rFonts w:ascii="Arial" w:hAnsi="Arial" w:cs="Arial"/>
        </w:rPr>
        <w:t xml:space="preserve"> does not properly authorize the Association to take action</w:t>
      </w:r>
      <w:r w:rsidR="00037C52">
        <w:rPr>
          <w:rFonts w:ascii="Arial" w:hAnsi="Arial" w:cs="Arial"/>
        </w:rPr>
        <w:t>, and is unnecessary, per County requirement</w:t>
      </w:r>
      <w:r w:rsidR="00D16E31">
        <w:rPr>
          <w:rFonts w:ascii="Arial" w:hAnsi="Arial" w:cs="Arial"/>
        </w:rPr>
        <w:t>s</w:t>
      </w:r>
      <w:r w:rsidRPr="008A3EDE">
        <w:rPr>
          <w:rFonts w:ascii="Arial" w:hAnsi="Arial" w:cs="Arial"/>
        </w:rPr>
        <w:t xml:space="preserve">. </w:t>
      </w:r>
    </w:p>
    <w:p w14:paraId="2A6D4EEE" w14:textId="77777777" w:rsidR="00745EE1" w:rsidRDefault="00745EE1" w:rsidP="008A3EDE">
      <w:pPr>
        <w:pStyle w:val="Header"/>
        <w:widowControl/>
        <w:tabs>
          <w:tab w:val="center" w:pos="4680"/>
        </w:tabs>
        <w:jc w:val="both"/>
        <w:rPr>
          <w:rFonts w:ascii="Arial" w:hAnsi="Arial" w:cs="Arial"/>
        </w:rPr>
      </w:pPr>
    </w:p>
    <w:p w14:paraId="3E79D8A7" w14:textId="77777777" w:rsidR="0097376A" w:rsidRDefault="0097376A" w:rsidP="008A3EDE">
      <w:pPr>
        <w:pStyle w:val="Header"/>
        <w:widowControl/>
        <w:tabs>
          <w:tab w:val="center" w:pos="4680"/>
        </w:tabs>
        <w:jc w:val="both"/>
        <w:rPr>
          <w:rFonts w:ascii="Arial" w:hAnsi="Arial" w:cs="Arial"/>
          <w:b/>
          <w:u w:val="single"/>
        </w:rPr>
      </w:pPr>
    </w:p>
    <w:p w14:paraId="6379507D" w14:textId="77777777" w:rsidR="008A3EDE" w:rsidRPr="008A3EDE" w:rsidRDefault="008A3EDE" w:rsidP="008A3EDE">
      <w:pPr>
        <w:pStyle w:val="Header"/>
        <w:widowControl/>
        <w:tabs>
          <w:tab w:val="center" w:pos="4680"/>
        </w:tabs>
        <w:jc w:val="both"/>
        <w:rPr>
          <w:rFonts w:ascii="Arial" w:hAnsi="Arial" w:cs="Arial"/>
        </w:rPr>
      </w:pPr>
      <w:r w:rsidRPr="00745EE1">
        <w:rPr>
          <w:rFonts w:ascii="Arial" w:hAnsi="Arial" w:cs="Arial"/>
          <w:b/>
          <w:u w:val="single"/>
        </w:rPr>
        <w:t>Risk of Litigation</w:t>
      </w:r>
      <w:r w:rsidRPr="008A3EDE">
        <w:rPr>
          <w:rFonts w:ascii="Arial" w:hAnsi="Arial" w:cs="Arial"/>
        </w:rPr>
        <w:t>:</w:t>
      </w:r>
    </w:p>
    <w:p w14:paraId="4011B2BD" w14:textId="77777777" w:rsidR="0097376A" w:rsidRDefault="0097376A" w:rsidP="008A3EDE">
      <w:pPr>
        <w:pStyle w:val="Header"/>
        <w:widowControl/>
        <w:tabs>
          <w:tab w:val="center" w:pos="4680"/>
        </w:tabs>
        <w:jc w:val="both"/>
        <w:rPr>
          <w:rFonts w:ascii="Arial" w:hAnsi="Arial" w:cs="Arial"/>
        </w:rPr>
      </w:pPr>
    </w:p>
    <w:p w14:paraId="0202C2A6" w14:textId="77777777" w:rsidR="008A3EDE" w:rsidRDefault="008A3EDE" w:rsidP="008A3EDE">
      <w:pPr>
        <w:pStyle w:val="Header"/>
        <w:widowControl/>
        <w:tabs>
          <w:tab w:val="center" w:pos="4680"/>
        </w:tabs>
        <w:jc w:val="both"/>
        <w:rPr>
          <w:rFonts w:ascii="Arial" w:hAnsi="Arial" w:cs="Arial"/>
        </w:rPr>
      </w:pPr>
      <w:r w:rsidRPr="008A3EDE">
        <w:rPr>
          <w:rFonts w:ascii="Arial" w:hAnsi="Arial" w:cs="Arial"/>
        </w:rPr>
        <w:t>The proposed amendment is aimed at reducing the risk of litigation. Per Florida Statutes</w:t>
      </w:r>
      <w:r w:rsidR="00DD71FC">
        <w:rPr>
          <w:rFonts w:ascii="Arial" w:hAnsi="Arial" w:cs="Arial"/>
        </w:rPr>
        <w:t>,</w:t>
      </w:r>
      <w:r w:rsidRPr="008A3EDE">
        <w:rPr>
          <w:rFonts w:ascii="Arial" w:hAnsi="Arial" w:cs="Arial"/>
        </w:rPr>
        <w:t xml:space="preserve"> and the </w:t>
      </w:r>
      <w:r w:rsidR="00DD71FC">
        <w:rPr>
          <w:rFonts w:ascii="Arial" w:hAnsi="Arial" w:cs="Arial"/>
        </w:rPr>
        <w:t xml:space="preserve">Association’s </w:t>
      </w:r>
      <w:r w:rsidRPr="008A3EDE">
        <w:rPr>
          <w:rFonts w:ascii="Arial" w:hAnsi="Arial" w:cs="Arial"/>
        </w:rPr>
        <w:t xml:space="preserve">Governing Documents, the Board of Directors is required to enforce the Covenants and Restrictions. </w:t>
      </w:r>
      <w:r w:rsidR="00A4063E">
        <w:rPr>
          <w:rFonts w:ascii="Arial" w:hAnsi="Arial" w:cs="Arial"/>
        </w:rPr>
        <w:t xml:space="preserve"> </w:t>
      </w:r>
      <w:r w:rsidRPr="008A3EDE">
        <w:rPr>
          <w:rFonts w:ascii="Arial" w:hAnsi="Arial" w:cs="Arial"/>
        </w:rPr>
        <w:t>For the reasons stated above, the Board cannot properly enforce this Covenant</w:t>
      </w:r>
      <w:r w:rsidR="00A4063E">
        <w:rPr>
          <w:rFonts w:ascii="Arial" w:hAnsi="Arial" w:cs="Arial"/>
        </w:rPr>
        <w:t>,</w:t>
      </w:r>
      <w:r w:rsidRPr="008A3EDE">
        <w:rPr>
          <w:rFonts w:ascii="Arial" w:hAnsi="Arial" w:cs="Arial"/>
        </w:rPr>
        <w:t xml:space="preserve"> and therefore, there is a risk that the Board and the Association could get sued for failure to enforce the covenants, and</w:t>
      </w:r>
      <w:r w:rsidR="00C81403">
        <w:rPr>
          <w:rFonts w:ascii="Arial" w:hAnsi="Arial" w:cs="Arial"/>
        </w:rPr>
        <w:t>,</w:t>
      </w:r>
      <w:r w:rsidRPr="008A3EDE">
        <w:rPr>
          <w:rFonts w:ascii="Arial" w:hAnsi="Arial" w:cs="Arial"/>
        </w:rPr>
        <w:t xml:space="preserve"> because of prior inconsistent application, for selective enforcement of the Covenants. </w:t>
      </w:r>
    </w:p>
    <w:p w14:paraId="3EF20072" w14:textId="77777777" w:rsidR="00DD71FC" w:rsidRPr="008A3EDE" w:rsidRDefault="00DD71FC" w:rsidP="008A3EDE">
      <w:pPr>
        <w:pStyle w:val="Header"/>
        <w:widowControl/>
        <w:tabs>
          <w:tab w:val="center" w:pos="4680"/>
        </w:tabs>
        <w:jc w:val="both"/>
        <w:rPr>
          <w:rFonts w:ascii="Arial" w:hAnsi="Arial" w:cs="Arial"/>
        </w:rPr>
      </w:pPr>
    </w:p>
    <w:p w14:paraId="6507DA59" w14:textId="77777777" w:rsidR="008A3EDE" w:rsidRDefault="008A3EDE" w:rsidP="008A3EDE">
      <w:pPr>
        <w:pStyle w:val="Header"/>
        <w:widowControl/>
        <w:tabs>
          <w:tab w:val="center" w:pos="4680"/>
        </w:tabs>
        <w:jc w:val="both"/>
        <w:rPr>
          <w:rFonts w:ascii="Arial" w:hAnsi="Arial" w:cs="Arial"/>
        </w:rPr>
      </w:pPr>
      <w:r w:rsidRPr="008A3EDE">
        <w:rPr>
          <w:rFonts w:ascii="Arial" w:hAnsi="Arial" w:cs="Arial"/>
        </w:rPr>
        <w:t xml:space="preserve">At the outset of construction of this community, the installation of fire safety systems made practical sense. </w:t>
      </w:r>
      <w:r w:rsidR="00A4063E">
        <w:rPr>
          <w:rFonts w:ascii="Arial" w:hAnsi="Arial" w:cs="Arial"/>
        </w:rPr>
        <w:t xml:space="preserve"> </w:t>
      </w:r>
      <w:r w:rsidRPr="008A3EDE">
        <w:rPr>
          <w:rFonts w:ascii="Arial" w:hAnsi="Arial" w:cs="Arial"/>
        </w:rPr>
        <w:t xml:space="preserve">However, as the area around the community grew, the systems became less necessary as fire and public safety services replaced the need for home installations. It appears that during and after the growth of public services, and prior to the installation of the owner controlled Board of Directors, this covenant was inconsistently applied. </w:t>
      </w:r>
      <w:r w:rsidR="00A4063E">
        <w:rPr>
          <w:rFonts w:ascii="Arial" w:hAnsi="Arial" w:cs="Arial"/>
        </w:rPr>
        <w:t xml:space="preserve"> </w:t>
      </w:r>
      <w:r w:rsidRPr="008A3EDE">
        <w:rPr>
          <w:rFonts w:ascii="Arial" w:hAnsi="Arial" w:cs="Arial"/>
        </w:rPr>
        <w:t xml:space="preserve">This resulted in some owners having installed the sprinkler systems and some </w:t>
      </w:r>
      <w:r w:rsidR="00A4063E">
        <w:rPr>
          <w:rFonts w:ascii="Arial" w:hAnsi="Arial" w:cs="Arial"/>
        </w:rPr>
        <w:t>having</w:t>
      </w:r>
      <w:r w:rsidRPr="008A3EDE">
        <w:rPr>
          <w:rFonts w:ascii="Arial" w:hAnsi="Arial" w:cs="Arial"/>
        </w:rPr>
        <w:t xml:space="preserve"> not</w:t>
      </w:r>
      <w:r w:rsidR="00A4063E">
        <w:rPr>
          <w:rFonts w:ascii="Arial" w:hAnsi="Arial" w:cs="Arial"/>
        </w:rPr>
        <w:t xml:space="preserve"> installed the sprinkler systems</w:t>
      </w:r>
      <w:r w:rsidRPr="008A3EDE">
        <w:rPr>
          <w:rFonts w:ascii="Arial" w:hAnsi="Arial" w:cs="Arial"/>
        </w:rPr>
        <w:t xml:space="preserve">. </w:t>
      </w:r>
      <w:r w:rsidR="00A4063E">
        <w:rPr>
          <w:rFonts w:ascii="Arial" w:hAnsi="Arial" w:cs="Arial"/>
        </w:rPr>
        <w:t xml:space="preserve"> </w:t>
      </w:r>
      <w:r w:rsidRPr="008A3EDE">
        <w:rPr>
          <w:rFonts w:ascii="Arial" w:hAnsi="Arial" w:cs="Arial"/>
        </w:rPr>
        <w:t xml:space="preserve">As this covenant remains, some owners </w:t>
      </w:r>
      <w:r w:rsidR="00037C4C">
        <w:rPr>
          <w:rFonts w:ascii="Arial" w:hAnsi="Arial" w:cs="Arial"/>
        </w:rPr>
        <w:t xml:space="preserve">could </w:t>
      </w:r>
      <w:r w:rsidRPr="008A3EDE">
        <w:rPr>
          <w:rFonts w:ascii="Arial" w:hAnsi="Arial" w:cs="Arial"/>
        </w:rPr>
        <w:t xml:space="preserve">take action against the Association for failing to enforce the Covenant, </w:t>
      </w:r>
      <w:r w:rsidR="00037C4C">
        <w:rPr>
          <w:rFonts w:ascii="Arial" w:hAnsi="Arial" w:cs="Arial"/>
        </w:rPr>
        <w:t xml:space="preserve">even though the County’s clarification </w:t>
      </w:r>
      <w:r w:rsidRPr="008A3EDE">
        <w:rPr>
          <w:rFonts w:ascii="Arial" w:hAnsi="Arial" w:cs="Arial"/>
        </w:rPr>
        <w:t xml:space="preserve">that the systems are not required. </w:t>
      </w:r>
    </w:p>
    <w:p w14:paraId="79507D5E" w14:textId="77777777" w:rsidR="00DD71FC" w:rsidRPr="008A3EDE" w:rsidRDefault="00DD71FC" w:rsidP="008A3EDE">
      <w:pPr>
        <w:pStyle w:val="Header"/>
        <w:widowControl/>
        <w:tabs>
          <w:tab w:val="center" w:pos="4680"/>
        </w:tabs>
        <w:jc w:val="both"/>
        <w:rPr>
          <w:rFonts w:ascii="Arial" w:hAnsi="Arial" w:cs="Arial"/>
        </w:rPr>
      </w:pPr>
    </w:p>
    <w:p w14:paraId="1FE674B7" w14:textId="77777777" w:rsidR="008A3EDE" w:rsidRDefault="008A3EDE" w:rsidP="008A3EDE">
      <w:pPr>
        <w:pStyle w:val="Header"/>
        <w:widowControl/>
        <w:tabs>
          <w:tab w:val="center" w:pos="4680"/>
        </w:tabs>
        <w:jc w:val="both"/>
        <w:rPr>
          <w:rFonts w:ascii="Arial" w:hAnsi="Arial" w:cs="Arial"/>
        </w:rPr>
      </w:pPr>
      <w:r w:rsidRPr="008A3EDE">
        <w:rPr>
          <w:rFonts w:ascii="Arial" w:hAnsi="Arial" w:cs="Arial"/>
        </w:rPr>
        <w:t xml:space="preserve">Currently, </w:t>
      </w:r>
      <w:proofErr w:type="spellStart"/>
      <w:r w:rsidRPr="008A3EDE">
        <w:rPr>
          <w:rFonts w:ascii="Arial" w:hAnsi="Arial" w:cs="Arial"/>
        </w:rPr>
        <w:t>Maronda</w:t>
      </w:r>
      <w:proofErr w:type="spellEnd"/>
      <w:r w:rsidRPr="008A3EDE">
        <w:rPr>
          <w:rFonts w:ascii="Arial" w:hAnsi="Arial" w:cs="Arial"/>
        </w:rPr>
        <w:t xml:space="preserve"> Homes, who has purchased 11 Lots, has already stated that they will take legal action if necessary to enforce their right to build previously approved homes on their purchased Lots</w:t>
      </w:r>
      <w:r w:rsidR="00542952">
        <w:rPr>
          <w:rFonts w:ascii="Arial" w:hAnsi="Arial" w:cs="Arial"/>
        </w:rPr>
        <w:t xml:space="preserve"> (</w:t>
      </w:r>
      <w:r w:rsidR="00542952" w:rsidRPr="00542952">
        <w:rPr>
          <w:rFonts w:ascii="Arial" w:hAnsi="Arial" w:cs="Arial"/>
          <w:u w:val="single"/>
        </w:rPr>
        <w:t>without</w:t>
      </w:r>
      <w:r w:rsidR="00542952">
        <w:rPr>
          <w:rFonts w:ascii="Arial" w:hAnsi="Arial" w:cs="Arial"/>
        </w:rPr>
        <w:t xml:space="preserve"> these systems)</w:t>
      </w:r>
      <w:r w:rsidRPr="008A3EDE">
        <w:rPr>
          <w:rFonts w:ascii="Arial" w:hAnsi="Arial" w:cs="Arial"/>
        </w:rPr>
        <w:t>. The developer of the Association approved the plans of the pending 11 homes without the sprinkler system.</w:t>
      </w:r>
      <w:r w:rsidR="0046031D">
        <w:rPr>
          <w:rFonts w:ascii="Arial" w:hAnsi="Arial" w:cs="Arial"/>
        </w:rPr>
        <w:t xml:space="preserve"> </w:t>
      </w:r>
      <w:r w:rsidRPr="008A3EDE">
        <w:rPr>
          <w:rFonts w:ascii="Arial" w:hAnsi="Arial" w:cs="Arial"/>
        </w:rPr>
        <w:t xml:space="preserve"> If this amendment is not </w:t>
      </w:r>
      <w:r w:rsidR="0063467E">
        <w:rPr>
          <w:rFonts w:ascii="Arial" w:hAnsi="Arial" w:cs="Arial"/>
        </w:rPr>
        <w:t>approved</w:t>
      </w:r>
      <w:r w:rsidRPr="008A3EDE">
        <w:rPr>
          <w:rFonts w:ascii="Arial" w:hAnsi="Arial" w:cs="Arial"/>
        </w:rPr>
        <w:t xml:space="preserve">, and the Board moves forward with requiring the sprinkler system, </w:t>
      </w:r>
      <w:proofErr w:type="spellStart"/>
      <w:r w:rsidRPr="008A3EDE">
        <w:rPr>
          <w:rFonts w:ascii="Arial" w:hAnsi="Arial" w:cs="Arial"/>
        </w:rPr>
        <w:t>Maronda</w:t>
      </w:r>
      <w:proofErr w:type="spellEnd"/>
      <w:r w:rsidRPr="008A3EDE">
        <w:rPr>
          <w:rFonts w:ascii="Arial" w:hAnsi="Arial" w:cs="Arial"/>
        </w:rPr>
        <w:t xml:space="preserve"> has indicated that it will move</w:t>
      </w:r>
      <w:r w:rsidR="0063467E">
        <w:rPr>
          <w:rFonts w:ascii="Arial" w:hAnsi="Arial" w:cs="Arial"/>
        </w:rPr>
        <w:t xml:space="preserve"> to</w:t>
      </w:r>
      <w:r w:rsidRPr="008A3EDE">
        <w:rPr>
          <w:rFonts w:ascii="Arial" w:hAnsi="Arial" w:cs="Arial"/>
        </w:rPr>
        <w:t xml:space="preserve"> </w:t>
      </w:r>
      <w:r w:rsidR="000953C7">
        <w:rPr>
          <w:rFonts w:ascii="Arial" w:hAnsi="Arial" w:cs="Arial"/>
        </w:rPr>
        <w:t xml:space="preserve">initiate </w:t>
      </w:r>
      <w:r w:rsidRPr="008A3EDE">
        <w:rPr>
          <w:rFonts w:ascii="Arial" w:hAnsi="Arial" w:cs="Arial"/>
        </w:rPr>
        <w:t xml:space="preserve">legal action. </w:t>
      </w:r>
      <w:r w:rsidR="0046031D">
        <w:rPr>
          <w:rFonts w:ascii="Arial" w:hAnsi="Arial" w:cs="Arial"/>
        </w:rPr>
        <w:t xml:space="preserve"> </w:t>
      </w:r>
      <w:r w:rsidRPr="008A3EDE">
        <w:rPr>
          <w:rFonts w:ascii="Arial" w:hAnsi="Arial" w:cs="Arial"/>
        </w:rPr>
        <w:t xml:space="preserve">A lawsuit against the Association can impact the ability of prospective owners to purchase in the community, and pending litigation can impact lender and funding decisions. </w:t>
      </w:r>
    </w:p>
    <w:p w14:paraId="671843CE" w14:textId="77777777" w:rsidR="0097376A" w:rsidRPr="008A3EDE" w:rsidRDefault="0097376A" w:rsidP="008A3EDE">
      <w:pPr>
        <w:pStyle w:val="Header"/>
        <w:widowControl/>
        <w:tabs>
          <w:tab w:val="center" w:pos="4680"/>
        </w:tabs>
        <w:jc w:val="both"/>
        <w:rPr>
          <w:rFonts w:ascii="Arial" w:hAnsi="Arial" w:cs="Arial"/>
        </w:rPr>
      </w:pPr>
    </w:p>
    <w:p w14:paraId="28EE1FF0" w14:textId="77777777" w:rsidR="008A3EDE" w:rsidRDefault="008A3EDE" w:rsidP="008A3EDE">
      <w:pPr>
        <w:pStyle w:val="Header"/>
        <w:widowControl/>
        <w:tabs>
          <w:tab w:val="center" w:pos="4680"/>
        </w:tabs>
        <w:jc w:val="both"/>
        <w:rPr>
          <w:rFonts w:ascii="Arial" w:hAnsi="Arial" w:cs="Arial"/>
        </w:rPr>
      </w:pPr>
      <w:r w:rsidRPr="0097376A">
        <w:rPr>
          <w:rFonts w:ascii="Arial" w:hAnsi="Arial" w:cs="Arial"/>
          <w:b/>
          <w:u w:val="single"/>
        </w:rPr>
        <w:t>Costs</w:t>
      </w:r>
      <w:r w:rsidRPr="008A3EDE">
        <w:rPr>
          <w:rFonts w:ascii="Arial" w:hAnsi="Arial" w:cs="Arial"/>
        </w:rPr>
        <w:t>:</w:t>
      </w:r>
    </w:p>
    <w:p w14:paraId="524BF574" w14:textId="77777777" w:rsidR="0097376A" w:rsidRPr="008A3EDE" w:rsidRDefault="0097376A" w:rsidP="008A3EDE">
      <w:pPr>
        <w:pStyle w:val="Header"/>
        <w:widowControl/>
        <w:tabs>
          <w:tab w:val="center" w:pos="4680"/>
        </w:tabs>
        <w:jc w:val="both"/>
        <w:rPr>
          <w:rFonts w:ascii="Arial" w:hAnsi="Arial" w:cs="Arial"/>
        </w:rPr>
      </w:pPr>
    </w:p>
    <w:p w14:paraId="471456FB" w14:textId="77777777" w:rsidR="008A3EDE" w:rsidRDefault="00304D3A" w:rsidP="008A3EDE">
      <w:pPr>
        <w:pStyle w:val="Header"/>
        <w:widowControl/>
        <w:tabs>
          <w:tab w:val="center" w:pos="4680"/>
        </w:tabs>
        <w:jc w:val="both"/>
        <w:rPr>
          <w:rFonts w:ascii="Arial" w:hAnsi="Arial" w:cs="Arial"/>
        </w:rPr>
      </w:pPr>
      <w:r w:rsidRPr="008A3EDE">
        <w:rPr>
          <w:rFonts w:ascii="Arial" w:hAnsi="Arial" w:cs="Arial"/>
        </w:rPr>
        <w:t xml:space="preserve">Litigation also brings additional costs. </w:t>
      </w:r>
      <w:r>
        <w:rPr>
          <w:rFonts w:ascii="Arial" w:hAnsi="Arial" w:cs="Arial"/>
        </w:rPr>
        <w:t xml:space="preserve"> </w:t>
      </w:r>
      <w:r w:rsidR="008A3EDE" w:rsidRPr="008A3EDE">
        <w:rPr>
          <w:rFonts w:ascii="Arial" w:hAnsi="Arial" w:cs="Arial"/>
        </w:rPr>
        <w:t xml:space="preserve">If the Covenant remains, the Association may </w:t>
      </w:r>
      <w:r w:rsidR="00A1262A">
        <w:rPr>
          <w:rFonts w:ascii="Arial" w:hAnsi="Arial" w:cs="Arial"/>
        </w:rPr>
        <w:t xml:space="preserve">be forced </w:t>
      </w:r>
      <w:r w:rsidR="008A3EDE" w:rsidRPr="008A3EDE">
        <w:rPr>
          <w:rFonts w:ascii="Arial" w:hAnsi="Arial" w:cs="Arial"/>
        </w:rPr>
        <w:t xml:space="preserve">to litigate certain claims </w:t>
      </w:r>
      <w:r w:rsidR="00CF2AD4">
        <w:rPr>
          <w:rFonts w:ascii="Arial" w:hAnsi="Arial" w:cs="Arial"/>
        </w:rPr>
        <w:t>(</w:t>
      </w:r>
      <w:r w:rsidR="008A3EDE" w:rsidRPr="008A3EDE">
        <w:rPr>
          <w:rFonts w:ascii="Arial" w:hAnsi="Arial" w:cs="Arial"/>
        </w:rPr>
        <w:t>failure to enforce the covenants, selective enforcement, and breach of contract</w:t>
      </w:r>
      <w:r w:rsidR="00CF2AD4">
        <w:rPr>
          <w:rFonts w:ascii="Arial" w:hAnsi="Arial" w:cs="Arial"/>
        </w:rPr>
        <w:t>)</w:t>
      </w:r>
      <w:r w:rsidR="008A3EDE" w:rsidRPr="008A3EDE">
        <w:rPr>
          <w:rFonts w:ascii="Arial" w:hAnsi="Arial" w:cs="Arial"/>
        </w:rPr>
        <w:t xml:space="preserve">. Litigation comes with certain risks and costs that affect the entire </w:t>
      </w:r>
      <w:r w:rsidR="00F05834">
        <w:rPr>
          <w:rFonts w:ascii="Arial" w:hAnsi="Arial" w:cs="Arial"/>
        </w:rPr>
        <w:t>m</w:t>
      </w:r>
      <w:r w:rsidR="008A3EDE" w:rsidRPr="008A3EDE">
        <w:rPr>
          <w:rFonts w:ascii="Arial" w:hAnsi="Arial" w:cs="Arial"/>
        </w:rPr>
        <w:t xml:space="preserve">embership of the Association. If the Association is sued, the lawsuit </w:t>
      </w:r>
      <w:r w:rsidR="003F694A">
        <w:rPr>
          <w:rFonts w:ascii="Arial" w:hAnsi="Arial" w:cs="Arial"/>
        </w:rPr>
        <w:t xml:space="preserve">might </w:t>
      </w:r>
      <w:r w:rsidR="008A3EDE" w:rsidRPr="008A3EDE">
        <w:rPr>
          <w:rFonts w:ascii="Arial" w:hAnsi="Arial" w:cs="Arial"/>
        </w:rPr>
        <w:t xml:space="preserve">be handled by an Attorney provided by the Association’s insurance carrier. However, policies often don’t cover any damages or a plaintiff’s attorney’s fees. For example, if an owner or a builder is successful in suing the Association, the Association may have to charge a special assessment or raise assessments in order to pay a judgment amount, </w:t>
      </w:r>
      <w:r w:rsidR="0063467E">
        <w:rPr>
          <w:rFonts w:ascii="Arial" w:hAnsi="Arial" w:cs="Arial"/>
        </w:rPr>
        <w:t>and/</w:t>
      </w:r>
      <w:r w:rsidR="008A3EDE" w:rsidRPr="008A3EDE">
        <w:rPr>
          <w:rFonts w:ascii="Arial" w:hAnsi="Arial" w:cs="Arial"/>
        </w:rPr>
        <w:t xml:space="preserve">or the attorney’s fees of the prevailing party. If the Association is not assigned an attorney by insurance, the cost is </w:t>
      </w:r>
      <w:r w:rsidR="002A315A">
        <w:rPr>
          <w:rFonts w:ascii="Arial" w:hAnsi="Arial" w:cs="Arial"/>
        </w:rPr>
        <w:t xml:space="preserve">significantly </w:t>
      </w:r>
      <w:r w:rsidR="008A3EDE" w:rsidRPr="008A3EDE">
        <w:rPr>
          <w:rFonts w:ascii="Arial" w:hAnsi="Arial" w:cs="Arial"/>
        </w:rPr>
        <w:t xml:space="preserve">higher, as the Association would be paying its own legal fees, most certainly causing higher </w:t>
      </w:r>
      <w:r w:rsidR="00A14AE0">
        <w:rPr>
          <w:rFonts w:ascii="Arial" w:hAnsi="Arial" w:cs="Arial"/>
        </w:rPr>
        <w:t xml:space="preserve">or </w:t>
      </w:r>
      <w:r w:rsidR="008A3EDE" w:rsidRPr="008A3EDE">
        <w:rPr>
          <w:rFonts w:ascii="Arial" w:hAnsi="Arial" w:cs="Arial"/>
        </w:rPr>
        <w:t xml:space="preserve">special assessments. Even currently, the Association has retained this </w:t>
      </w:r>
      <w:r w:rsidR="0046031D">
        <w:rPr>
          <w:rFonts w:ascii="Arial" w:hAnsi="Arial" w:cs="Arial"/>
        </w:rPr>
        <w:t>F</w:t>
      </w:r>
      <w:r w:rsidR="008A3EDE" w:rsidRPr="008A3EDE">
        <w:rPr>
          <w:rFonts w:ascii="Arial" w:hAnsi="Arial" w:cs="Arial"/>
        </w:rPr>
        <w:t>irm, which is incurring legal fees in the assistance of this particular matter. If the Covenants remain as they are, and the Association attempts enforcement by requiring the sprinkler system</w:t>
      </w:r>
      <w:r w:rsidR="00A14AE0">
        <w:rPr>
          <w:rFonts w:ascii="Arial" w:hAnsi="Arial" w:cs="Arial"/>
        </w:rPr>
        <w:t>s</w:t>
      </w:r>
      <w:r w:rsidR="008A3EDE" w:rsidRPr="008A3EDE">
        <w:rPr>
          <w:rFonts w:ascii="Arial" w:hAnsi="Arial" w:cs="Arial"/>
        </w:rPr>
        <w:t xml:space="preserve">, </w:t>
      </w:r>
      <w:r w:rsidR="00A14AE0">
        <w:rPr>
          <w:rFonts w:ascii="Arial" w:hAnsi="Arial" w:cs="Arial"/>
        </w:rPr>
        <w:t xml:space="preserve">it is likely that </w:t>
      </w:r>
      <w:r w:rsidR="008A3EDE" w:rsidRPr="008A3EDE">
        <w:rPr>
          <w:rFonts w:ascii="Arial" w:hAnsi="Arial" w:cs="Arial"/>
        </w:rPr>
        <w:t xml:space="preserve">the Association will be sued, and all lawsuits incur fees, which are then passed on to you, the Owners. </w:t>
      </w:r>
    </w:p>
    <w:p w14:paraId="7259ADFA" w14:textId="77777777" w:rsidR="0046031D" w:rsidRDefault="0046031D" w:rsidP="008A3EDE">
      <w:pPr>
        <w:pStyle w:val="Header"/>
        <w:widowControl/>
        <w:tabs>
          <w:tab w:val="center" w:pos="4680"/>
        </w:tabs>
        <w:jc w:val="both"/>
        <w:rPr>
          <w:rFonts w:ascii="Arial" w:hAnsi="Arial" w:cs="Arial"/>
        </w:rPr>
      </w:pPr>
    </w:p>
    <w:p w14:paraId="75744501" w14:textId="77777777" w:rsidR="0046031D" w:rsidRDefault="0046031D" w:rsidP="008A3EDE">
      <w:pPr>
        <w:pStyle w:val="Header"/>
        <w:widowControl/>
        <w:tabs>
          <w:tab w:val="center" w:pos="4680"/>
        </w:tabs>
        <w:jc w:val="both"/>
        <w:rPr>
          <w:rFonts w:ascii="Arial" w:hAnsi="Arial" w:cs="Arial"/>
        </w:rPr>
      </w:pPr>
    </w:p>
    <w:p w14:paraId="08883ADE" w14:textId="77777777" w:rsidR="0046031D" w:rsidRPr="008A3EDE" w:rsidRDefault="0046031D" w:rsidP="008A3EDE">
      <w:pPr>
        <w:pStyle w:val="Header"/>
        <w:widowControl/>
        <w:tabs>
          <w:tab w:val="center" w:pos="4680"/>
        </w:tabs>
        <w:jc w:val="both"/>
        <w:rPr>
          <w:rFonts w:ascii="Arial" w:hAnsi="Arial" w:cs="Arial"/>
        </w:rPr>
      </w:pPr>
    </w:p>
    <w:p w14:paraId="6D4701BB" w14:textId="77777777" w:rsidR="0046031D" w:rsidRDefault="008A3EDE" w:rsidP="008A3EDE">
      <w:pPr>
        <w:pStyle w:val="Header"/>
        <w:widowControl/>
        <w:tabs>
          <w:tab w:val="center" w:pos="4680"/>
        </w:tabs>
        <w:jc w:val="both"/>
        <w:rPr>
          <w:rFonts w:ascii="Arial" w:hAnsi="Arial" w:cs="Arial"/>
        </w:rPr>
      </w:pPr>
      <w:r w:rsidRPr="0046031D">
        <w:rPr>
          <w:rFonts w:ascii="Arial" w:hAnsi="Arial" w:cs="Arial"/>
          <w:b/>
          <w:u w:val="single"/>
        </w:rPr>
        <w:t>Conclusion</w:t>
      </w:r>
      <w:r w:rsidRPr="008A3EDE">
        <w:rPr>
          <w:rFonts w:ascii="Arial" w:hAnsi="Arial" w:cs="Arial"/>
        </w:rPr>
        <w:t>:</w:t>
      </w:r>
    </w:p>
    <w:p w14:paraId="581A4DC8" w14:textId="77777777" w:rsidR="0063467E" w:rsidRDefault="0063467E" w:rsidP="008A3EDE">
      <w:pPr>
        <w:pStyle w:val="Header"/>
        <w:widowControl/>
        <w:tabs>
          <w:tab w:val="center" w:pos="4680"/>
        </w:tabs>
        <w:jc w:val="both"/>
        <w:rPr>
          <w:rFonts w:ascii="Arial" w:hAnsi="Arial" w:cs="Arial"/>
        </w:rPr>
      </w:pPr>
    </w:p>
    <w:p w14:paraId="0426CC66" w14:textId="77777777" w:rsidR="0063467E" w:rsidRDefault="0063467E" w:rsidP="008A3EDE">
      <w:pPr>
        <w:pStyle w:val="Header"/>
        <w:widowControl/>
        <w:tabs>
          <w:tab w:val="center" w:pos="4680"/>
        </w:tabs>
        <w:jc w:val="both"/>
        <w:rPr>
          <w:rFonts w:ascii="Arial" w:hAnsi="Arial" w:cs="Arial"/>
        </w:rPr>
      </w:pPr>
      <w:r>
        <w:rPr>
          <w:rFonts w:ascii="Arial" w:hAnsi="Arial" w:cs="Arial"/>
        </w:rPr>
        <w:t xml:space="preserve">The Board of Directors is attempting to pass this amendment via the method provided in Chapter 720.306, Florida Statues, which requires a 2/3 affirmative vote of the membership. Although certain sections of the Declaration must be amended via an instrument signed by not less than 90% of the community, the Declaration provides an exception for amendments to the provisions of Article IV from the 90% rule. However, the Declaration is silent as to how to amend the Article VI provisions. When a Declaration is silent as to amendments, the statute will control, thus the Association must approve this Amendment by a 2/3rds vote. </w:t>
      </w:r>
    </w:p>
    <w:p w14:paraId="5F7C1741" w14:textId="77777777" w:rsidR="008A3EDE" w:rsidRPr="008A3EDE" w:rsidRDefault="008A3EDE" w:rsidP="008A3EDE">
      <w:pPr>
        <w:pStyle w:val="Header"/>
        <w:widowControl/>
        <w:tabs>
          <w:tab w:val="center" w:pos="4680"/>
        </w:tabs>
        <w:jc w:val="both"/>
        <w:rPr>
          <w:rFonts w:ascii="Arial" w:hAnsi="Arial" w:cs="Arial"/>
        </w:rPr>
      </w:pPr>
      <w:r w:rsidRPr="008A3EDE">
        <w:rPr>
          <w:rFonts w:ascii="Arial" w:hAnsi="Arial" w:cs="Arial"/>
        </w:rPr>
        <w:t xml:space="preserve"> </w:t>
      </w:r>
    </w:p>
    <w:p w14:paraId="36950D47" w14:textId="77777777" w:rsidR="008A3EDE" w:rsidRDefault="008A3EDE" w:rsidP="008A3EDE">
      <w:pPr>
        <w:pStyle w:val="Header"/>
        <w:widowControl/>
        <w:tabs>
          <w:tab w:val="clear" w:pos="4320"/>
          <w:tab w:val="clear" w:pos="8640"/>
          <w:tab w:val="center" w:pos="4680"/>
        </w:tabs>
        <w:jc w:val="both"/>
        <w:rPr>
          <w:rFonts w:ascii="Arial" w:hAnsi="Arial" w:cs="Arial"/>
        </w:rPr>
      </w:pPr>
      <w:r w:rsidRPr="008A3EDE">
        <w:rPr>
          <w:rFonts w:ascii="Arial" w:hAnsi="Arial" w:cs="Arial"/>
        </w:rPr>
        <w:t xml:space="preserve">Although this particular Covenant was well intended when it was drafted, it is now unnecessary to achieve its purpose. </w:t>
      </w:r>
      <w:r w:rsidR="0046031D">
        <w:rPr>
          <w:rFonts w:ascii="Arial" w:hAnsi="Arial" w:cs="Arial"/>
        </w:rPr>
        <w:t xml:space="preserve"> </w:t>
      </w:r>
      <w:r w:rsidRPr="008A3EDE">
        <w:rPr>
          <w:rFonts w:ascii="Arial" w:hAnsi="Arial" w:cs="Arial"/>
        </w:rPr>
        <w:t xml:space="preserve">Certificates of </w:t>
      </w:r>
      <w:r w:rsidR="00F17994">
        <w:rPr>
          <w:rFonts w:ascii="Arial" w:hAnsi="Arial" w:cs="Arial"/>
        </w:rPr>
        <w:t xml:space="preserve">Occupancy </w:t>
      </w:r>
      <w:r w:rsidRPr="008A3EDE">
        <w:rPr>
          <w:rFonts w:ascii="Arial" w:hAnsi="Arial" w:cs="Arial"/>
        </w:rPr>
        <w:t xml:space="preserve">are issued without sprinklers. The covenant itself lacks clarity and places the Association at high risk </w:t>
      </w:r>
      <w:r w:rsidR="00F17994">
        <w:rPr>
          <w:rFonts w:ascii="Arial" w:hAnsi="Arial" w:cs="Arial"/>
        </w:rPr>
        <w:t xml:space="preserve">of </w:t>
      </w:r>
      <w:r w:rsidRPr="008A3EDE">
        <w:rPr>
          <w:rFonts w:ascii="Arial" w:hAnsi="Arial" w:cs="Arial"/>
        </w:rPr>
        <w:t xml:space="preserve">litigation which could result in higher </w:t>
      </w:r>
      <w:r w:rsidR="00F17994">
        <w:rPr>
          <w:rFonts w:ascii="Arial" w:hAnsi="Arial" w:cs="Arial"/>
        </w:rPr>
        <w:t xml:space="preserve">or </w:t>
      </w:r>
      <w:r w:rsidRPr="008A3EDE">
        <w:rPr>
          <w:rFonts w:ascii="Arial" w:hAnsi="Arial" w:cs="Arial"/>
        </w:rPr>
        <w:t>special assessments to fund legal fees, and could stall development of the community by deterring lenders and builders.</w:t>
      </w:r>
    </w:p>
    <w:p w14:paraId="0F2B2F84" w14:textId="77777777" w:rsidR="008A3EDE" w:rsidRDefault="008A3EDE" w:rsidP="008A3EDE">
      <w:pPr>
        <w:pStyle w:val="Header"/>
        <w:widowControl/>
        <w:tabs>
          <w:tab w:val="clear" w:pos="4320"/>
          <w:tab w:val="clear" w:pos="8640"/>
          <w:tab w:val="center" w:pos="4680"/>
        </w:tabs>
        <w:jc w:val="both"/>
        <w:rPr>
          <w:rFonts w:ascii="Arial" w:hAnsi="Arial" w:cs="Arial"/>
        </w:rPr>
      </w:pPr>
    </w:p>
    <w:p w14:paraId="06CAA2D0" w14:textId="77777777" w:rsidR="008A3EDE" w:rsidRPr="008A3EDE" w:rsidRDefault="008A3EDE" w:rsidP="008A3EDE">
      <w:pPr>
        <w:pStyle w:val="Header"/>
        <w:widowControl/>
        <w:tabs>
          <w:tab w:val="center" w:pos="4680"/>
        </w:tabs>
        <w:jc w:val="both"/>
        <w:rPr>
          <w:rFonts w:ascii="Arial" w:hAnsi="Arial" w:cs="Arial"/>
        </w:rPr>
      </w:pPr>
      <w:r w:rsidRPr="008A3EDE">
        <w:rPr>
          <w:rFonts w:ascii="Arial" w:hAnsi="Arial" w:cs="Arial"/>
        </w:rPr>
        <w:tab/>
      </w:r>
      <w:r>
        <w:rPr>
          <w:rFonts w:ascii="Arial" w:hAnsi="Arial" w:cs="Arial"/>
        </w:rPr>
        <w:tab/>
      </w:r>
      <w:r w:rsidRPr="008A3EDE">
        <w:rPr>
          <w:rFonts w:ascii="Arial" w:hAnsi="Arial" w:cs="Arial"/>
        </w:rPr>
        <w:t>Garganese Weiss D’Agresta &amp; Salzman, PA</w:t>
      </w:r>
    </w:p>
    <w:p w14:paraId="26D4C075" w14:textId="77777777" w:rsidR="008A3EDE" w:rsidRPr="008A3EDE" w:rsidRDefault="008A3EDE" w:rsidP="008A3EDE">
      <w:pPr>
        <w:pStyle w:val="Header"/>
        <w:widowControl/>
        <w:tabs>
          <w:tab w:val="center" w:pos="4680"/>
        </w:tabs>
        <w:jc w:val="both"/>
        <w:rPr>
          <w:rFonts w:ascii="Arial" w:hAnsi="Arial" w:cs="Arial"/>
        </w:rPr>
      </w:pPr>
    </w:p>
    <w:p w14:paraId="4AE81980" w14:textId="77777777" w:rsidR="008A3EDE" w:rsidRPr="008A3EDE" w:rsidRDefault="008A3EDE" w:rsidP="008A3EDE">
      <w:pPr>
        <w:pStyle w:val="Header"/>
        <w:widowControl/>
        <w:tabs>
          <w:tab w:val="center" w:pos="4680"/>
        </w:tabs>
        <w:jc w:val="both"/>
        <w:rPr>
          <w:rFonts w:ascii="Arial" w:hAnsi="Arial" w:cs="Arial"/>
        </w:rPr>
      </w:pPr>
    </w:p>
    <w:p w14:paraId="45272AE7" w14:textId="77777777" w:rsidR="008A3EDE" w:rsidRPr="008A3EDE" w:rsidRDefault="008A3EDE" w:rsidP="008A3EDE">
      <w:pPr>
        <w:pStyle w:val="Header"/>
        <w:widowControl/>
        <w:tabs>
          <w:tab w:val="center" w:pos="4680"/>
        </w:tabs>
        <w:jc w:val="both"/>
        <w:rPr>
          <w:rFonts w:ascii="Arial" w:hAnsi="Arial" w:cs="Arial"/>
        </w:rPr>
      </w:pPr>
    </w:p>
    <w:p w14:paraId="0AA5ACDF" w14:textId="77777777" w:rsidR="008A3EDE" w:rsidRPr="008A3EDE" w:rsidRDefault="008A3EDE" w:rsidP="008A3EDE">
      <w:pPr>
        <w:pStyle w:val="Header"/>
        <w:widowControl/>
        <w:tabs>
          <w:tab w:val="center" w:pos="4680"/>
        </w:tabs>
        <w:jc w:val="both"/>
        <w:rPr>
          <w:rFonts w:ascii="Arial" w:hAnsi="Arial" w:cs="Arial"/>
        </w:rPr>
      </w:pPr>
      <w:r w:rsidRPr="008A3EDE">
        <w:rPr>
          <w:rFonts w:ascii="Arial" w:hAnsi="Arial" w:cs="Arial"/>
        </w:rPr>
        <w:tab/>
      </w:r>
      <w:r>
        <w:rPr>
          <w:rFonts w:ascii="Arial" w:hAnsi="Arial" w:cs="Arial"/>
        </w:rPr>
        <w:tab/>
      </w:r>
      <w:r w:rsidRPr="008A3EDE">
        <w:rPr>
          <w:rFonts w:ascii="Arial" w:hAnsi="Arial" w:cs="Arial"/>
        </w:rPr>
        <w:t>Theresa M. McDowell</w:t>
      </w:r>
    </w:p>
    <w:p w14:paraId="10E5AF65" w14:textId="77777777" w:rsidR="008A3EDE" w:rsidRPr="008A3EDE" w:rsidRDefault="008A3EDE" w:rsidP="008A3EDE">
      <w:pPr>
        <w:pStyle w:val="Header"/>
        <w:widowControl/>
        <w:tabs>
          <w:tab w:val="center" w:pos="4680"/>
        </w:tabs>
        <w:jc w:val="both"/>
        <w:rPr>
          <w:rFonts w:ascii="Arial" w:hAnsi="Arial" w:cs="Arial"/>
        </w:rPr>
      </w:pPr>
    </w:p>
    <w:p w14:paraId="56867B00" w14:textId="77777777" w:rsidR="008A3EDE" w:rsidRPr="008A3EDE" w:rsidRDefault="008A3EDE" w:rsidP="008A3EDE">
      <w:pPr>
        <w:pStyle w:val="Header"/>
        <w:widowControl/>
        <w:tabs>
          <w:tab w:val="center" w:pos="4680"/>
        </w:tabs>
        <w:jc w:val="both"/>
        <w:rPr>
          <w:rFonts w:ascii="Arial" w:hAnsi="Arial" w:cs="Arial"/>
        </w:rPr>
      </w:pPr>
    </w:p>
    <w:p w14:paraId="00298985" w14:textId="77777777" w:rsidR="008A3EDE" w:rsidRPr="008A3EDE" w:rsidRDefault="008A3EDE" w:rsidP="008A3EDE">
      <w:pPr>
        <w:pStyle w:val="Header"/>
        <w:widowControl/>
        <w:tabs>
          <w:tab w:val="center" w:pos="4680"/>
        </w:tabs>
        <w:jc w:val="both"/>
        <w:rPr>
          <w:rFonts w:ascii="Arial" w:hAnsi="Arial" w:cs="Arial"/>
        </w:rPr>
      </w:pPr>
      <w:r w:rsidRPr="008A3EDE">
        <w:rPr>
          <w:rFonts w:ascii="Arial" w:hAnsi="Arial" w:cs="Arial"/>
        </w:rPr>
        <w:tab/>
      </w:r>
    </w:p>
    <w:p w14:paraId="548D509D" w14:textId="77777777" w:rsidR="008A3EDE" w:rsidRPr="008A3EDE" w:rsidRDefault="008A3EDE" w:rsidP="008A3EDE">
      <w:pPr>
        <w:pStyle w:val="Header"/>
        <w:widowControl/>
        <w:tabs>
          <w:tab w:val="center" w:pos="4680"/>
        </w:tabs>
        <w:jc w:val="both"/>
        <w:rPr>
          <w:rFonts w:ascii="Arial" w:hAnsi="Arial" w:cs="Arial"/>
        </w:rPr>
      </w:pPr>
      <w:r w:rsidRPr="008A3EDE">
        <w:rPr>
          <w:rFonts w:ascii="Arial" w:hAnsi="Arial" w:cs="Arial"/>
        </w:rPr>
        <w:tab/>
      </w:r>
      <w:r>
        <w:rPr>
          <w:rFonts w:ascii="Arial" w:hAnsi="Arial" w:cs="Arial"/>
        </w:rPr>
        <w:tab/>
      </w:r>
      <w:r w:rsidRPr="008A3EDE">
        <w:rPr>
          <w:rFonts w:ascii="Arial" w:hAnsi="Arial" w:cs="Arial"/>
        </w:rPr>
        <w:t>William E. Reischmann, Jr.</w:t>
      </w:r>
      <w:r w:rsidRPr="008A3EDE">
        <w:rPr>
          <w:rFonts w:ascii="Arial" w:hAnsi="Arial" w:cs="Arial"/>
        </w:rPr>
        <w:tab/>
      </w:r>
    </w:p>
    <w:p w14:paraId="4C5A71B3" w14:textId="77777777" w:rsidR="008A3EDE" w:rsidRPr="008A3EDE" w:rsidRDefault="008A3EDE" w:rsidP="008A3EDE">
      <w:pPr>
        <w:pStyle w:val="Header"/>
        <w:widowControl/>
        <w:tabs>
          <w:tab w:val="center" w:pos="4680"/>
        </w:tabs>
        <w:jc w:val="both"/>
        <w:rPr>
          <w:rFonts w:ascii="Arial" w:hAnsi="Arial" w:cs="Arial"/>
        </w:rPr>
      </w:pPr>
      <w:r w:rsidRPr="008A3EDE">
        <w:rPr>
          <w:rFonts w:ascii="Arial" w:hAnsi="Arial" w:cs="Arial"/>
        </w:rPr>
        <w:tab/>
      </w:r>
      <w:r w:rsidRPr="008A3EDE">
        <w:rPr>
          <w:rFonts w:ascii="Arial" w:hAnsi="Arial" w:cs="Arial"/>
        </w:rPr>
        <w:tab/>
      </w:r>
      <w:r w:rsidRPr="008A3EDE">
        <w:rPr>
          <w:rFonts w:ascii="Arial" w:hAnsi="Arial" w:cs="Arial"/>
        </w:rPr>
        <w:tab/>
      </w:r>
    </w:p>
    <w:p w14:paraId="44C8C003" w14:textId="77777777" w:rsidR="008A3EDE" w:rsidRPr="008A3EDE" w:rsidRDefault="008A3EDE" w:rsidP="008A3EDE">
      <w:pPr>
        <w:pStyle w:val="Header"/>
        <w:widowControl/>
        <w:tabs>
          <w:tab w:val="center" w:pos="4680"/>
        </w:tabs>
        <w:jc w:val="both"/>
        <w:rPr>
          <w:rFonts w:ascii="Arial" w:hAnsi="Arial" w:cs="Arial"/>
        </w:rPr>
      </w:pPr>
    </w:p>
    <w:p w14:paraId="647B00B7" w14:textId="77777777" w:rsidR="008A3EDE" w:rsidRPr="008A3EDE" w:rsidRDefault="008A3EDE" w:rsidP="008A3EDE">
      <w:pPr>
        <w:pStyle w:val="Header"/>
        <w:widowControl/>
        <w:tabs>
          <w:tab w:val="center" w:pos="4680"/>
        </w:tabs>
        <w:jc w:val="both"/>
        <w:rPr>
          <w:rFonts w:ascii="Arial" w:hAnsi="Arial" w:cs="Arial"/>
        </w:rPr>
      </w:pPr>
      <w:r w:rsidRPr="008A3EDE">
        <w:rPr>
          <w:rFonts w:ascii="Arial" w:hAnsi="Arial" w:cs="Arial"/>
        </w:rPr>
        <w:t>CC:</w:t>
      </w:r>
      <w:r w:rsidR="0046031D">
        <w:rPr>
          <w:rFonts w:ascii="Arial" w:hAnsi="Arial" w:cs="Arial"/>
        </w:rPr>
        <w:t xml:space="preserve"> </w:t>
      </w:r>
      <w:r w:rsidRPr="008A3EDE">
        <w:rPr>
          <w:rFonts w:ascii="Arial" w:hAnsi="Arial" w:cs="Arial"/>
        </w:rPr>
        <w:t>Board of Directors</w:t>
      </w:r>
    </w:p>
    <w:p w14:paraId="5DD74D36" w14:textId="77777777" w:rsidR="008A3EDE" w:rsidRDefault="008A3EDE" w:rsidP="008A3EDE">
      <w:pPr>
        <w:pStyle w:val="Header"/>
        <w:widowControl/>
        <w:tabs>
          <w:tab w:val="clear" w:pos="4320"/>
          <w:tab w:val="clear" w:pos="8640"/>
          <w:tab w:val="center" w:pos="4680"/>
        </w:tabs>
        <w:jc w:val="both"/>
        <w:rPr>
          <w:rFonts w:ascii="Arial" w:hAnsi="Arial" w:cs="Arial"/>
        </w:rPr>
      </w:pPr>
    </w:p>
    <w:p w14:paraId="27B9FD91" w14:textId="77777777" w:rsidR="00E137A6" w:rsidRDefault="00E137A6"/>
    <w:sectPr w:rsidR="00E137A6">
      <w:headerReference w:type="default" r:id="rId13"/>
      <w:footerReference w:type="default" r:id="rId14"/>
      <w:endnotePr>
        <w:numFmt w:val="decimal"/>
      </w:endnotePr>
      <w:type w:val="continuous"/>
      <w:pgSz w:w="12240" w:h="15840"/>
      <w:pgMar w:top="1170" w:right="1440" w:bottom="576" w:left="1440" w:header="117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64058" w14:textId="77777777" w:rsidR="00A32BCC" w:rsidRDefault="00351587">
      <w:r>
        <w:separator/>
      </w:r>
    </w:p>
  </w:endnote>
  <w:endnote w:type="continuationSeparator" w:id="0">
    <w:p w14:paraId="0CB003C3" w14:textId="77777777" w:rsidR="00A32BCC" w:rsidRDefault="0035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WP TypographicSymbols">
    <w:altName w:val="Calibri"/>
    <w:panose1 w:val="020B0604020202020204"/>
    <w:charset w:val="00"/>
    <w:family w:val="auto"/>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BE814" w14:textId="77777777" w:rsidR="00626247" w:rsidRDefault="008E7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D8DBF" w14:textId="77777777" w:rsidR="003310B6" w:rsidRDefault="008E72F3"/>
  <w:p w14:paraId="4B33D85D" w14:textId="77777777" w:rsidR="003310B6" w:rsidRDefault="008E72F3">
    <w:pPr>
      <w:framePr w:w="374" w:h="374" w:hRule="exact" w:wrap="notBeside" w:hAnchor="margin" w:x="9405" w:y="13987"/>
    </w:pPr>
  </w:p>
  <w:p w14:paraId="1F004AEB" w14:textId="77777777" w:rsidR="003310B6" w:rsidRDefault="005169FE">
    <w:pPr>
      <w:spacing w:line="19" w:lineRule="exact"/>
      <w:ind w:left="720" w:right="720"/>
      <w:jc w:val="center"/>
      <w:rPr>
        <w:rFonts w:ascii="Arial" w:hAnsi="Arial" w:cs="Arial"/>
        <w:sz w:val="16"/>
        <w:szCs w:val="16"/>
      </w:rPr>
    </w:pPr>
    <w:r>
      <w:rPr>
        <w:noProof/>
        <w:sz w:val="20"/>
      </w:rPr>
      <mc:AlternateContent>
        <mc:Choice Requires="wps">
          <w:drawing>
            <wp:anchor distT="0" distB="0" distL="114300" distR="114300" simplePos="0" relativeHeight="251657216" behindDoc="1" locked="1" layoutInCell="0" allowOverlap="1" wp14:anchorId="7D702E0A" wp14:editId="53A34319">
              <wp:simplePos x="0" y="0"/>
              <wp:positionH relativeFrom="page">
                <wp:posOffset>914400</wp:posOffset>
              </wp:positionH>
              <wp:positionV relativeFrom="paragraph">
                <wp:posOffset>0</wp:posOffset>
              </wp:positionV>
              <wp:extent cx="5943600" cy="12065"/>
              <wp:effectExtent l="0" t="254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062EF"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yB9Cr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6946D8C2" w14:textId="77777777" w:rsidR="003310B6" w:rsidRDefault="0046031D">
    <w:pPr>
      <w:ind w:left="720" w:right="720"/>
      <w:jc w:val="center"/>
      <w:rPr>
        <w:rFonts w:ascii="Garamond" w:hAnsi="Garamond"/>
        <w:sz w:val="20"/>
        <w:szCs w:val="20"/>
      </w:rPr>
    </w:pPr>
    <w:r>
      <w:rPr>
        <w:rFonts w:ascii="Garamond" w:hAnsi="Garamond"/>
        <w:sz w:val="20"/>
        <w:szCs w:val="20"/>
      </w:rPr>
      <w:t xml:space="preserve">Ft. Lauderdale (954) 670-1979 </w:t>
    </w:r>
    <w:r>
      <w:rPr>
        <w:rFonts w:ascii="Garamond" w:hAnsi="Garamond"/>
        <w:sz w:val="20"/>
        <w:szCs w:val="20"/>
      </w:rPr>
      <w:sym w:font="WP TypographicSymbols" w:char="0024"/>
    </w:r>
    <w:r>
      <w:rPr>
        <w:rFonts w:ascii="Garamond" w:hAnsi="Garamond"/>
        <w:sz w:val="20"/>
        <w:szCs w:val="20"/>
      </w:rPr>
      <w:t xml:space="preserve"> Kissimmee (321) 402-0144 </w:t>
    </w:r>
    <w:r>
      <w:rPr>
        <w:rFonts w:ascii="Garamond" w:hAnsi="Garamond"/>
        <w:sz w:val="20"/>
        <w:szCs w:val="20"/>
      </w:rPr>
      <w:sym w:font="WP TypographicSymbols" w:char="0024"/>
    </w:r>
    <w:r>
      <w:rPr>
        <w:rFonts w:ascii="Garamond" w:hAnsi="Garamond"/>
        <w:sz w:val="20"/>
        <w:szCs w:val="20"/>
      </w:rPr>
      <w:t xml:space="preserve"> Cocoa (866) 425-9566</w:t>
    </w:r>
  </w:p>
  <w:p w14:paraId="5DF67DF1" w14:textId="77777777" w:rsidR="003310B6" w:rsidRDefault="0046031D">
    <w:pPr>
      <w:ind w:left="720" w:right="720"/>
      <w:jc w:val="center"/>
      <w:rPr>
        <w:rFonts w:ascii="Arial" w:hAnsi="Arial" w:cs="Arial"/>
        <w:sz w:val="16"/>
        <w:szCs w:val="16"/>
      </w:rPr>
    </w:pPr>
    <w:r>
      <w:rPr>
        <w:rFonts w:ascii="Garamond" w:hAnsi="Garamond"/>
        <w:sz w:val="20"/>
        <w:szCs w:val="20"/>
      </w:rPr>
      <w:t xml:space="preserve">Website: www.orlandolaw.net </w:t>
    </w:r>
    <w:r>
      <w:rPr>
        <w:rFonts w:ascii="Garamond" w:hAnsi="Garamond"/>
        <w:sz w:val="20"/>
        <w:szCs w:val="20"/>
      </w:rPr>
      <w:sym w:font="WP TypographicSymbols" w:char="0024"/>
    </w:r>
    <w:r>
      <w:rPr>
        <w:rFonts w:ascii="Garamond" w:hAnsi="Garamond"/>
        <w:sz w:val="20"/>
        <w:szCs w:val="20"/>
      </w:rPr>
      <w:t xml:space="preserve"> Email: firm@orlandolaw.net</w:t>
    </w:r>
    <w:r>
      <w:rPr>
        <w:rFonts w:ascii="Shruti" w:hAnsi="Shrut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88407" w14:textId="77777777" w:rsidR="00626247" w:rsidRDefault="008E72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B92D1" w14:textId="77777777" w:rsidR="003310B6" w:rsidRDefault="008E72F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8524F" w14:textId="77777777" w:rsidR="00A32BCC" w:rsidRDefault="00351587">
      <w:r>
        <w:separator/>
      </w:r>
    </w:p>
  </w:footnote>
  <w:footnote w:type="continuationSeparator" w:id="0">
    <w:p w14:paraId="3FEE6522" w14:textId="77777777" w:rsidR="00A32BCC" w:rsidRDefault="0035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14846" w14:textId="77777777" w:rsidR="00626247" w:rsidRDefault="008E7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B5C59" w14:textId="77777777" w:rsidR="00626247" w:rsidRDefault="008E7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99414" w14:textId="77777777" w:rsidR="00626247" w:rsidRDefault="008E72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258FB" w14:textId="77777777" w:rsidR="003310B6" w:rsidRDefault="008E72F3">
    <w:pPr>
      <w:pStyle w:val="Header"/>
    </w:pPr>
    <w:sdt>
      <w:sdtPr>
        <w:id w:val="1551421311"/>
        <w:docPartObj>
          <w:docPartGallery w:val="Watermarks"/>
          <w:docPartUnique/>
        </w:docPartObj>
      </w:sdtPr>
      <w:sdtEndPr/>
      <w:sdtContent>
        <w:r>
          <w:rPr>
            <w:noProof/>
          </w:rPr>
        </w:r>
        <w:r w:rsidR="008E72F3">
          <w:rPr>
            <w:noProof/>
          </w:rPr>
          <w:pict w14:anchorId="3951E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5" type="#_x0000_t136" alt="" style="position:absolute;margin-left:0;margin-top:0;width:494.9pt;height:164.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O NOT COPY"/>
              <w10:wrap anchorx="margin" anchory="margin"/>
            </v:shape>
          </w:pict>
        </w:r>
      </w:sdtContent>
    </w:sdt>
    <w:r w:rsidR="0046031D">
      <w:fldChar w:fldCharType="begin"/>
    </w:r>
    <w:r w:rsidR="0046031D">
      <w:instrText xml:space="preserve"> DATE  \* MERGEFORMAT </w:instrText>
    </w:r>
    <w:r w:rsidR="0046031D">
      <w:fldChar w:fldCharType="separate"/>
    </w:r>
    <w:r>
      <w:rPr>
        <w:noProof/>
      </w:rPr>
      <w:t>8/5/21</w:t>
    </w:r>
    <w:r w:rsidR="0046031D">
      <w:fldChar w:fldCharType="end"/>
    </w:r>
  </w:p>
  <w:p w14:paraId="008C6AC2" w14:textId="77777777" w:rsidR="003310B6" w:rsidRDefault="0046031D">
    <w:pPr>
      <w:pStyle w:val="Header"/>
    </w:pPr>
    <w:r>
      <w:t>Page -</w:t>
    </w:r>
    <w:r>
      <w:rPr>
        <w:rStyle w:val="PageNumber"/>
      </w:rPr>
      <w:fldChar w:fldCharType="begin"/>
    </w:r>
    <w:r>
      <w:rPr>
        <w:rStyle w:val="PageNumber"/>
      </w:rPr>
      <w:instrText xml:space="preserve"> PAGE </w:instrText>
    </w:r>
    <w:r>
      <w:rPr>
        <w:rStyle w:val="PageNumber"/>
      </w:rPr>
      <w:fldChar w:fldCharType="separate"/>
    </w:r>
    <w:r w:rsidR="0063467E">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0E7"/>
    <w:rsid w:val="00037C4C"/>
    <w:rsid w:val="00037C52"/>
    <w:rsid w:val="000953C7"/>
    <w:rsid w:val="001D1133"/>
    <w:rsid w:val="001E0D53"/>
    <w:rsid w:val="00205C01"/>
    <w:rsid w:val="00281CD1"/>
    <w:rsid w:val="002A315A"/>
    <w:rsid w:val="00304D3A"/>
    <w:rsid w:val="00351587"/>
    <w:rsid w:val="003F694A"/>
    <w:rsid w:val="0044038B"/>
    <w:rsid w:val="00456E78"/>
    <w:rsid w:val="0046031D"/>
    <w:rsid w:val="005169FE"/>
    <w:rsid w:val="00542952"/>
    <w:rsid w:val="00597B3F"/>
    <w:rsid w:val="005B2ABE"/>
    <w:rsid w:val="0063467E"/>
    <w:rsid w:val="00645AFD"/>
    <w:rsid w:val="00745EE1"/>
    <w:rsid w:val="008A3EDE"/>
    <w:rsid w:val="008E72F3"/>
    <w:rsid w:val="009423F1"/>
    <w:rsid w:val="0097119A"/>
    <w:rsid w:val="0097376A"/>
    <w:rsid w:val="00A1262A"/>
    <w:rsid w:val="00A14AE0"/>
    <w:rsid w:val="00A32BCC"/>
    <w:rsid w:val="00A4063E"/>
    <w:rsid w:val="00B379E6"/>
    <w:rsid w:val="00C81403"/>
    <w:rsid w:val="00CB4A69"/>
    <w:rsid w:val="00CF2AD4"/>
    <w:rsid w:val="00D16E31"/>
    <w:rsid w:val="00D3507F"/>
    <w:rsid w:val="00DB40E7"/>
    <w:rsid w:val="00DD71FC"/>
    <w:rsid w:val="00E137A6"/>
    <w:rsid w:val="00EF628C"/>
    <w:rsid w:val="00F05834"/>
    <w:rsid w:val="00F1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6BD123A"/>
  <w15:chartTrackingRefBased/>
  <w15:docId w15:val="{D9C7A7D0-71DD-41BD-841C-39918387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169FE"/>
    <w:pPr>
      <w:tabs>
        <w:tab w:val="center" w:pos="4320"/>
        <w:tab w:val="right" w:pos="8640"/>
      </w:tabs>
    </w:pPr>
  </w:style>
  <w:style w:type="character" w:customStyle="1" w:styleId="HeaderChar">
    <w:name w:val="Header Char"/>
    <w:basedOn w:val="DefaultParagraphFont"/>
    <w:link w:val="Header"/>
    <w:semiHidden/>
    <w:rsid w:val="005169FE"/>
    <w:rPr>
      <w:rFonts w:ascii="Times New Roman" w:eastAsia="Times New Roman" w:hAnsi="Times New Roman" w:cs="Times New Roman"/>
      <w:sz w:val="24"/>
      <w:szCs w:val="24"/>
    </w:rPr>
  </w:style>
  <w:style w:type="paragraph" w:styleId="Footer">
    <w:name w:val="footer"/>
    <w:basedOn w:val="Normal"/>
    <w:link w:val="FooterChar"/>
    <w:semiHidden/>
    <w:rsid w:val="005169FE"/>
    <w:pPr>
      <w:tabs>
        <w:tab w:val="center" w:pos="4320"/>
        <w:tab w:val="right" w:pos="8640"/>
      </w:tabs>
    </w:pPr>
  </w:style>
  <w:style w:type="character" w:customStyle="1" w:styleId="FooterChar">
    <w:name w:val="Footer Char"/>
    <w:basedOn w:val="DefaultParagraphFont"/>
    <w:link w:val="Footer"/>
    <w:semiHidden/>
    <w:rsid w:val="005169FE"/>
    <w:rPr>
      <w:rFonts w:ascii="Times New Roman" w:eastAsia="Times New Roman" w:hAnsi="Times New Roman" w:cs="Times New Roman"/>
      <w:sz w:val="24"/>
      <w:szCs w:val="24"/>
    </w:rPr>
  </w:style>
  <w:style w:type="character" w:styleId="PageNumber">
    <w:name w:val="page number"/>
    <w:basedOn w:val="DefaultParagraphFont"/>
    <w:semiHidden/>
    <w:rsid w:val="005169FE"/>
  </w:style>
  <w:style w:type="paragraph" w:styleId="MessageHeader">
    <w:name w:val="Message Header"/>
    <w:basedOn w:val="BodyText"/>
    <w:link w:val="MessageHeaderChar"/>
    <w:semiHidden/>
    <w:rsid w:val="008A3EDE"/>
    <w:pPr>
      <w:keepLines/>
      <w:widowControl/>
      <w:autoSpaceDE/>
      <w:autoSpaceDN/>
      <w:adjustRightInd/>
      <w:spacing w:after="0" w:line="415" w:lineRule="atLeast"/>
      <w:ind w:left="1560" w:hanging="720"/>
    </w:pPr>
    <w:rPr>
      <w:sz w:val="20"/>
      <w:szCs w:val="20"/>
    </w:rPr>
  </w:style>
  <w:style w:type="character" w:customStyle="1" w:styleId="MessageHeaderChar">
    <w:name w:val="Message Header Char"/>
    <w:basedOn w:val="DefaultParagraphFont"/>
    <w:link w:val="MessageHeader"/>
    <w:semiHidden/>
    <w:rsid w:val="008A3EDE"/>
    <w:rPr>
      <w:rFonts w:ascii="Times New Roman" w:eastAsia="Times New Roman" w:hAnsi="Times New Roman" w:cs="Times New Roman"/>
      <w:sz w:val="20"/>
      <w:szCs w:val="20"/>
    </w:rPr>
  </w:style>
  <w:style w:type="paragraph" w:customStyle="1" w:styleId="MessageHeaderFirst">
    <w:name w:val="Message Header First"/>
    <w:basedOn w:val="MessageHeader"/>
    <w:next w:val="MessageHeader"/>
    <w:rsid w:val="008A3EDE"/>
  </w:style>
  <w:style w:type="character" w:customStyle="1" w:styleId="MessageHeaderLabel">
    <w:name w:val="Message Header Label"/>
    <w:rsid w:val="008A3EDE"/>
    <w:rPr>
      <w:rFonts w:ascii="Arial" w:hAnsi="Arial"/>
      <w:b/>
      <w:spacing w:val="-4"/>
      <w:sz w:val="18"/>
      <w:vertAlign w:val="baseline"/>
    </w:rPr>
  </w:style>
  <w:style w:type="paragraph" w:customStyle="1" w:styleId="MessageHeaderLast">
    <w:name w:val="Message Header Last"/>
    <w:basedOn w:val="MessageHeader"/>
    <w:next w:val="BodyText"/>
    <w:rsid w:val="008A3EDE"/>
    <w:pPr>
      <w:pBdr>
        <w:bottom w:val="single" w:sz="6" w:space="22" w:color="auto"/>
      </w:pBdr>
      <w:spacing w:after="400"/>
    </w:pPr>
  </w:style>
  <w:style w:type="paragraph" w:styleId="BodyText">
    <w:name w:val="Body Text"/>
    <w:basedOn w:val="Normal"/>
    <w:link w:val="BodyTextChar"/>
    <w:uiPriority w:val="99"/>
    <w:semiHidden/>
    <w:unhideWhenUsed/>
    <w:rsid w:val="008A3EDE"/>
    <w:pPr>
      <w:spacing w:after="120"/>
    </w:pPr>
  </w:style>
  <w:style w:type="character" w:customStyle="1" w:styleId="BodyTextChar">
    <w:name w:val="Body Text Char"/>
    <w:basedOn w:val="DefaultParagraphFont"/>
    <w:link w:val="BodyText"/>
    <w:uiPriority w:val="99"/>
    <w:semiHidden/>
    <w:rsid w:val="008A3E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33810-F748-40C4-8158-C71E9C68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Weber</dc:creator>
  <cp:keywords/>
  <dc:description/>
  <cp:lastModifiedBy>Chrissy Nichols</cp:lastModifiedBy>
  <cp:revision>2</cp:revision>
  <cp:lastPrinted>2021-07-19T18:32:00Z</cp:lastPrinted>
  <dcterms:created xsi:type="dcterms:W3CDTF">2021-08-05T23:28:00Z</dcterms:created>
  <dcterms:modified xsi:type="dcterms:W3CDTF">2021-08-05T23:28:00Z</dcterms:modified>
</cp:coreProperties>
</file>