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66F5" w14:textId="77777777" w:rsidR="004D5CF0" w:rsidRDefault="002C34B1">
      <w:pPr>
        <w:spacing w:after="0" w:line="259" w:lineRule="auto"/>
        <w:ind w:left="89" w:firstLine="0"/>
      </w:pPr>
      <w:r>
        <w:rPr>
          <w:i/>
          <w:color w:val="000080"/>
          <w:sz w:val="24"/>
        </w:rPr>
        <w:t xml:space="preserve"> </w:t>
      </w:r>
    </w:p>
    <w:p w14:paraId="5294A882" w14:textId="77777777" w:rsidR="004D5CF0" w:rsidRDefault="002C34B1">
      <w:pPr>
        <w:spacing w:after="0" w:line="259" w:lineRule="auto"/>
        <w:ind w:left="0" w:firstLine="0"/>
      </w:pPr>
      <w:r>
        <w:rPr>
          <w:i/>
          <w:color w:val="000080"/>
          <w:sz w:val="24"/>
        </w:rPr>
        <w:t xml:space="preserve"> </w:t>
      </w:r>
      <w:r>
        <w:rPr>
          <w:i/>
          <w:color w:val="000080"/>
          <w:sz w:val="24"/>
        </w:rPr>
        <w:tab/>
        <w:t xml:space="preserve"> </w:t>
      </w:r>
    </w:p>
    <w:p w14:paraId="2C116576" w14:textId="77777777" w:rsidR="004D5CF0" w:rsidRDefault="002C34B1">
      <w:pPr>
        <w:spacing w:after="0" w:line="259" w:lineRule="auto"/>
        <w:ind w:left="0" w:firstLine="0"/>
      </w:pPr>
      <w:r>
        <w:rPr>
          <w:i/>
          <w:color w:val="000080"/>
          <w:sz w:val="24"/>
        </w:rPr>
        <w:t xml:space="preserve"> </w:t>
      </w:r>
    </w:p>
    <w:p w14:paraId="326E185D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44A97FFA" w14:textId="77777777" w:rsidR="004D5CF0" w:rsidRDefault="002C34B1">
      <w:pPr>
        <w:pStyle w:val="Heading1"/>
        <w:ind w:left="-5"/>
      </w:pPr>
      <w:r>
        <w:t>Background</w:t>
      </w:r>
      <w:r>
        <w:rPr>
          <w:u w:val="none"/>
        </w:rPr>
        <w:t xml:space="preserve"> </w:t>
      </w:r>
    </w:p>
    <w:p w14:paraId="359F6BA5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3FF159E8" w14:textId="72B3C5E4" w:rsidR="004D5CF0" w:rsidRDefault="002C34B1">
      <w:pPr>
        <w:ind w:left="-5"/>
      </w:pPr>
      <w:r>
        <w:t xml:space="preserve">NMP Ltd took over the pest control contract for this customer. The Initial site survey deemed </w:t>
      </w:r>
      <w:r w:rsidR="0051205A">
        <w:t>either 4/8/12</w:t>
      </w:r>
      <w:r>
        <w:t xml:space="preserve"> routine visits </w:t>
      </w:r>
      <w:r w:rsidR="00C628C1">
        <w:t xml:space="preserve">will be made </w:t>
      </w:r>
      <w:r>
        <w:t xml:space="preserve">by a technician per annum, EFK service and fly counts would be appropriate. There have been no instances of rodent problems within any of the buildings; however, location of site is surrounded by </w:t>
      </w:r>
      <w:r w:rsidR="00132D58">
        <w:t>nearby Town and canal where rodents are known to be around</w:t>
      </w:r>
      <w:r>
        <w:t xml:space="preserve">. </w:t>
      </w:r>
    </w:p>
    <w:p w14:paraId="2912DF44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540C0034" w14:textId="77777777" w:rsidR="004D5CF0" w:rsidRDefault="002C34B1">
      <w:pPr>
        <w:pStyle w:val="Heading1"/>
        <w:ind w:left="-5"/>
        <w:rPr>
          <w:u w:val="none"/>
        </w:rPr>
      </w:pPr>
      <w:r>
        <w:t>Potential Risks – Health &amp; Safety</w:t>
      </w:r>
      <w:r>
        <w:rPr>
          <w:u w:val="none"/>
        </w:rPr>
        <w:t xml:space="preserve"> </w:t>
      </w:r>
    </w:p>
    <w:p w14:paraId="7AEFF94D" w14:textId="77777777" w:rsidR="00132D58" w:rsidRPr="00132D58" w:rsidRDefault="00132D58" w:rsidP="00132D58"/>
    <w:p w14:paraId="6B70B630" w14:textId="77777777" w:rsidR="004D5CF0" w:rsidRDefault="002C34B1">
      <w:pPr>
        <w:numPr>
          <w:ilvl w:val="0"/>
          <w:numId w:val="1"/>
        </w:numPr>
        <w:ind w:hanging="732"/>
      </w:pPr>
      <w:r>
        <w:t xml:space="preserve">Access to poison </w:t>
      </w:r>
    </w:p>
    <w:p w14:paraId="5E0A2D79" w14:textId="77777777" w:rsidR="004D5CF0" w:rsidRDefault="002C34B1">
      <w:pPr>
        <w:numPr>
          <w:ilvl w:val="0"/>
          <w:numId w:val="1"/>
        </w:numPr>
        <w:ind w:hanging="732"/>
      </w:pPr>
      <w:r>
        <w:t xml:space="preserve">Contamination of foods </w:t>
      </w:r>
    </w:p>
    <w:p w14:paraId="477F534C" w14:textId="77777777" w:rsidR="004D5CF0" w:rsidRDefault="002C34B1">
      <w:pPr>
        <w:numPr>
          <w:ilvl w:val="0"/>
          <w:numId w:val="1"/>
        </w:numPr>
        <w:ind w:hanging="732"/>
      </w:pPr>
      <w:r>
        <w:t xml:space="preserve">Secondary Poisoning </w:t>
      </w:r>
    </w:p>
    <w:p w14:paraId="7AAB6A5D" w14:textId="77777777" w:rsidR="004D5CF0" w:rsidRDefault="002C34B1">
      <w:pPr>
        <w:numPr>
          <w:ilvl w:val="0"/>
          <w:numId w:val="1"/>
        </w:numPr>
        <w:ind w:hanging="732"/>
      </w:pPr>
      <w:r>
        <w:t xml:space="preserve">Moving Vehicles on Site </w:t>
      </w:r>
    </w:p>
    <w:p w14:paraId="1D1C773C" w14:textId="77777777" w:rsidR="004D5CF0" w:rsidRDefault="002C34B1">
      <w:pPr>
        <w:numPr>
          <w:ilvl w:val="0"/>
          <w:numId w:val="1"/>
        </w:numPr>
        <w:ind w:hanging="732"/>
      </w:pPr>
      <w:r>
        <w:t xml:space="preserve">Electric Shock from E.F.K  </w:t>
      </w:r>
    </w:p>
    <w:p w14:paraId="77D87B65" w14:textId="77777777" w:rsidR="00FE2BDA" w:rsidRDefault="00FE2BDA" w:rsidP="00FE2BDA"/>
    <w:p w14:paraId="6816FF9A" w14:textId="77777777" w:rsidR="004D5CF0" w:rsidRDefault="002C34B1">
      <w:pPr>
        <w:pStyle w:val="Heading1"/>
        <w:ind w:left="-5"/>
        <w:rPr>
          <w:u w:val="none"/>
        </w:rPr>
      </w:pPr>
      <w:r>
        <w:t>Potential Risks – Pests</w:t>
      </w:r>
      <w:r>
        <w:rPr>
          <w:u w:val="none"/>
        </w:rPr>
        <w:t xml:space="preserve"> </w:t>
      </w:r>
    </w:p>
    <w:p w14:paraId="0EFE5B94" w14:textId="77777777" w:rsidR="00132D58" w:rsidRPr="00132D58" w:rsidRDefault="00132D58" w:rsidP="00132D58"/>
    <w:p w14:paraId="5558A9BC" w14:textId="77777777" w:rsidR="004D5CF0" w:rsidRDefault="002C34B1">
      <w:pPr>
        <w:numPr>
          <w:ilvl w:val="0"/>
          <w:numId w:val="2"/>
        </w:numPr>
        <w:ind w:hanging="360"/>
      </w:pPr>
      <w:r>
        <w:t xml:space="preserve">Damage to buildings </w:t>
      </w:r>
    </w:p>
    <w:p w14:paraId="457475A0" w14:textId="77777777" w:rsidR="004D5CF0" w:rsidRDefault="002C34B1">
      <w:pPr>
        <w:numPr>
          <w:ilvl w:val="0"/>
          <w:numId w:val="2"/>
        </w:numPr>
        <w:ind w:hanging="360"/>
      </w:pPr>
      <w:r>
        <w:t xml:space="preserve">Damage to product </w:t>
      </w:r>
    </w:p>
    <w:p w14:paraId="1FD15D49" w14:textId="77777777" w:rsidR="004D5CF0" w:rsidRDefault="002C34B1">
      <w:pPr>
        <w:numPr>
          <w:ilvl w:val="0"/>
          <w:numId w:val="2"/>
        </w:numPr>
        <w:ind w:hanging="360"/>
      </w:pPr>
      <w:r>
        <w:t xml:space="preserve">Disruption to production </w:t>
      </w:r>
    </w:p>
    <w:p w14:paraId="19F7D615" w14:textId="77777777" w:rsidR="00132D58" w:rsidRDefault="00132D58" w:rsidP="00132D58">
      <w:pPr>
        <w:ind w:left="1440" w:firstLine="0"/>
      </w:pPr>
    </w:p>
    <w:p w14:paraId="3DF46B0C" w14:textId="77777777" w:rsidR="004D5CF0" w:rsidRDefault="002C34B1">
      <w:pPr>
        <w:pStyle w:val="Heading1"/>
        <w:ind w:left="-5"/>
        <w:rPr>
          <w:u w:val="none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A59183" wp14:editId="1DCC2DE7">
                <wp:simplePos x="0" y="0"/>
                <wp:positionH relativeFrom="page">
                  <wp:posOffset>0</wp:posOffset>
                </wp:positionH>
                <wp:positionV relativeFrom="page">
                  <wp:posOffset>1490980</wp:posOffset>
                </wp:positionV>
                <wp:extent cx="10683240" cy="9525"/>
                <wp:effectExtent l="0" t="0" r="0" b="0"/>
                <wp:wrapTopAndBottom/>
                <wp:docPr id="10654" name="Group 10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3240" cy="9525"/>
                          <a:chOff x="0" y="0"/>
                          <a:chExt cx="10683240" cy="9525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0683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240">
                                <a:moveTo>
                                  <a:pt x="10683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292F1" id="Group 10654" o:spid="_x0000_s1026" style="position:absolute;margin-left:0;margin-top:117.4pt;width:841.2pt;height:.75pt;z-index:251658240;mso-position-horizontal-relative:page;mso-position-vertical-relative:page" coordsize="1068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">
                <v:shape id="Shape 230" o:spid="_x0000_s1027" style="position:absolute;width:106832;height:0;visibility:visible;mso-wrap-style:square;v-text-anchor:top" coordsize="10683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" path="m10683240,l,e" filled="f" strokecolor="red">
                  <v:path arrowok="t" textboxrect="0,0,10683240,0"/>
                </v:shape>
                <w10:wrap type="topAndBottom" anchorx="page" anchory="page"/>
              </v:group>
            </w:pict>
          </mc:Fallback>
        </mc:AlternateContent>
      </w:r>
      <w:r>
        <w:t>Risk Assessment</w:t>
      </w:r>
      <w:r>
        <w:rPr>
          <w:u w:val="none"/>
        </w:rPr>
        <w:t xml:space="preserve"> </w:t>
      </w:r>
    </w:p>
    <w:p w14:paraId="542CEF7C" w14:textId="77777777" w:rsidR="00132D58" w:rsidRPr="00132D58" w:rsidRDefault="00132D58" w:rsidP="00132D58"/>
    <w:p w14:paraId="0950A2EF" w14:textId="5505E8D5" w:rsidR="004D5CF0" w:rsidRDefault="002C34B1" w:rsidP="00132D58">
      <w:pPr>
        <w:spacing w:after="0" w:line="259" w:lineRule="auto"/>
        <w:ind w:left="0" w:firstLine="0"/>
      </w:pPr>
      <w:r>
        <w:t xml:space="preserve">Each risk along with current control methods is considered and a risk assessment made, based on the Likelihood (L), Severity (Se) and Significance (Si), Likelihood + the chance of an event happening (1 = No more than once in 6 months, 2 = No more than once per month, 3 = a more frequent event). Severity = the consequences of an event of any of the potential risks (1 = no effect, 2 = minor inconvenience, 3 = serious inconvenience / major incident). Significance = the level of impact on the business (1 = no effect, 2 = minor inconvenience, 3 = major incident). The risk is calculated as the of L x Se x Si (and thus rated as 1 through to 27).  </w:t>
      </w:r>
    </w:p>
    <w:p w14:paraId="75876F4E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67C60449" w14:textId="77777777" w:rsidR="004D5CF0" w:rsidRDefault="002C34B1">
      <w:pPr>
        <w:ind w:left="-5"/>
      </w:pPr>
      <w:r>
        <w:t xml:space="preserve">Score 1-9 = Low Risk, score 10-18 = Medium Risk, Score 19-27 = High Risk </w:t>
      </w:r>
    </w:p>
    <w:p w14:paraId="329F5596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3012" w:type="dxa"/>
        <w:tblInd w:w="0" w:type="dxa"/>
        <w:tblLook w:val="04A0" w:firstRow="1" w:lastRow="0" w:firstColumn="1" w:lastColumn="0" w:noHBand="0" w:noVBand="1"/>
      </w:tblPr>
      <w:tblGrid>
        <w:gridCol w:w="1703"/>
        <w:gridCol w:w="3970"/>
        <w:gridCol w:w="2266"/>
        <w:gridCol w:w="2270"/>
        <w:gridCol w:w="2803"/>
      </w:tblGrid>
      <w:tr w:rsidR="004D5CF0" w14:paraId="446A0769" w14:textId="77777777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5A3390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Likelihood (L)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01CEA938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Chance of an event happening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03E724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6B2083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6F15C2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</w:tr>
      <w:tr w:rsidR="004D5CF0" w14:paraId="448A7FEB" w14:textId="77777777">
        <w:trPr>
          <w:trHeight w:val="691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0E64942" w14:textId="3C1CC5AE" w:rsidR="004D5CF0" w:rsidRDefault="004D5CF0">
            <w:pPr>
              <w:spacing w:after="0" w:line="259" w:lineRule="auto"/>
              <w:ind w:left="0" w:firstLine="0"/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D9536C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062526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&lt;1 per 6 months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1700B794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&lt;1 per month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18F610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More frequent </w:t>
            </w:r>
          </w:p>
        </w:tc>
      </w:tr>
      <w:tr w:rsidR="004D5CF0" w14:paraId="475B859C" w14:textId="77777777">
        <w:trPr>
          <w:trHeight w:val="23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05A388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Severity (Se)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03885C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The consequence of an event happening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7166E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No effect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70869C7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Minor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772E540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Serious </w:t>
            </w:r>
          </w:p>
        </w:tc>
      </w:tr>
      <w:tr w:rsidR="004D5CF0" w14:paraId="4CB936EE" w14:textId="77777777">
        <w:trPr>
          <w:trHeight w:val="45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D219A8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D30D86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5EA87D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16AF5B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Inconvenience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F612B7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Inconvenience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DCC9693" w14:textId="77777777" w:rsidR="004D5CF0" w:rsidRDefault="004D5CF0">
            <w:pPr>
              <w:spacing w:after="160" w:line="259" w:lineRule="auto"/>
              <w:ind w:left="0" w:firstLine="0"/>
            </w:pPr>
          </w:p>
        </w:tc>
      </w:tr>
      <w:tr w:rsidR="004D5CF0" w14:paraId="727C9C4B" w14:textId="77777777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87D24C5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Significance (Si)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3F8916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The level of impact of an event happening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1EDFAC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Little Impact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41BB45B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Minor Impact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486F5780" w14:textId="77777777" w:rsidR="004D5CF0" w:rsidRDefault="002C34B1">
            <w:pPr>
              <w:tabs>
                <w:tab w:val="center" w:pos="2753"/>
              </w:tabs>
              <w:spacing w:after="0" w:line="259" w:lineRule="auto"/>
              <w:ind w:left="0" w:firstLine="0"/>
            </w:pPr>
            <w:r>
              <w:t xml:space="preserve">Serious Impact / Major Impact </w:t>
            </w:r>
            <w:r>
              <w:tab/>
              <w:t xml:space="preserve"> </w:t>
            </w:r>
          </w:p>
        </w:tc>
      </w:tr>
    </w:tbl>
    <w:p w14:paraId="3184DE6F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51562576" w14:textId="77777777" w:rsidR="004D5CF0" w:rsidRDefault="002C34B1">
      <w:pPr>
        <w:ind w:left="-5"/>
      </w:pPr>
      <w:r>
        <w:t xml:space="preserve">The significance of the risk is derived from a balanced probabilistic evaluation and practical knowledge based on the historical understanding of the site potential risks. A score above the figure of 9 deemed significant and will result in the further action being employed (The risk Analysis will assume the worst case scenario). </w:t>
      </w:r>
    </w:p>
    <w:p w14:paraId="73DE9446" w14:textId="77777777" w:rsidR="00132D58" w:rsidRDefault="00132D58">
      <w:pPr>
        <w:ind w:left="-5"/>
      </w:pPr>
    </w:p>
    <w:p w14:paraId="70E7F13D" w14:textId="77777777" w:rsidR="004D5CF0" w:rsidRDefault="002C34B1">
      <w:pPr>
        <w:spacing w:after="0" w:line="259" w:lineRule="auto"/>
        <w:ind w:left="4367"/>
      </w:pPr>
      <w:r>
        <w:rPr>
          <w:b/>
          <w:i/>
          <w:u w:val="single" w:color="000000"/>
        </w:rPr>
        <w:t>Risk Assessment and Decision Summary</w:t>
      </w:r>
      <w:r>
        <w:rPr>
          <w:b/>
          <w:i/>
        </w:rPr>
        <w:t xml:space="preserve"> </w:t>
      </w:r>
    </w:p>
    <w:p w14:paraId="0D1E950B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69487F6A" w14:textId="77777777" w:rsidR="004D5CF0" w:rsidRDefault="002C34B1">
      <w:pPr>
        <w:pStyle w:val="Heading1"/>
        <w:ind w:left="-5"/>
      </w:pPr>
      <w:r>
        <w:t>Health &amp; Safety</w:t>
      </w:r>
      <w:r>
        <w:rPr>
          <w:u w:val="none"/>
        </w:rPr>
        <w:t xml:space="preserve"> </w:t>
      </w:r>
    </w:p>
    <w:p w14:paraId="1D4CFD19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2D9657AA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3814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176"/>
        <w:gridCol w:w="518"/>
        <w:gridCol w:w="518"/>
        <w:gridCol w:w="516"/>
        <w:gridCol w:w="605"/>
        <w:gridCol w:w="6041"/>
        <w:gridCol w:w="1724"/>
        <w:gridCol w:w="1716"/>
      </w:tblGrid>
      <w:tr w:rsidR="004D5CF0" w14:paraId="32C12E2B" w14:textId="77777777">
        <w:trPr>
          <w:trHeight w:val="468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D558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Potential Risk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80D6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L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72ED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B821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8F26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Risk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7161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Current Controls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880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Additional </w:t>
            </w:r>
          </w:p>
          <w:p w14:paraId="721996C6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Requirements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28EF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Score </w:t>
            </w:r>
          </w:p>
        </w:tc>
      </w:tr>
      <w:tr w:rsidR="004D5CF0" w14:paraId="466BAF8F" w14:textId="77777777">
        <w:trPr>
          <w:trHeight w:val="122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D3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84204E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Access to Poison 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3CC1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7FE9759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060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B501195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43F8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99F3578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152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BDF943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14E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43F1052" w14:textId="2CF2F568" w:rsidR="004D5CF0" w:rsidRDefault="002C34B1">
            <w:pPr>
              <w:spacing w:after="0" w:line="259" w:lineRule="auto"/>
              <w:ind w:left="2" w:firstLine="0"/>
            </w:pPr>
            <w:r>
              <w:t>All Bait on site is Toxic where required</w:t>
            </w:r>
            <w:r w:rsidR="00132D58">
              <w:t xml:space="preserve"> (External boxes in garage and bin store areas)</w:t>
            </w:r>
            <w:r>
              <w:t xml:space="preserve"> and contained in tamper proof stations internally and externally.  Any Poison on site is contained in tamper proof bait stations and </w:t>
            </w:r>
            <w:r>
              <w:rPr>
                <w:b/>
              </w:rPr>
              <w:t>only</w:t>
            </w:r>
            <w:r>
              <w:t xml:space="preserve"> </w:t>
            </w:r>
            <w:r>
              <w:rPr>
                <w:b/>
              </w:rPr>
              <w:t>used</w:t>
            </w:r>
            <w:r>
              <w:t xml:space="preserve"> where Rat activity has been present</w:t>
            </w:r>
            <w:r w:rsidR="00132D58">
              <w:t xml:space="preserve"> or ongoing issues.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B0B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CC5C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4F4A68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 </w:t>
            </w:r>
          </w:p>
          <w:p w14:paraId="38A5A9B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  <w:tr w:rsidR="004D5CF0" w14:paraId="460EFEE6" w14:textId="77777777">
        <w:trPr>
          <w:trHeight w:val="162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ECF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BA2C9A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Contamination of foods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FAE8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C2F72D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A24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0E25C4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EB8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3299A4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EE5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A9430D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422E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751C0A4" w14:textId="39C0AB4C" w:rsidR="004D5CF0" w:rsidRDefault="002C34B1">
            <w:pPr>
              <w:spacing w:after="0" w:line="239" w:lineRule="auto"/>
              <w:ind w:left="2" w:right="13" w:firstLine="0"/>
            </w:pPr>
            <w:r>
              <w:t xml:space="preserve">Production areas contain Non-toxic monitoring baits. No poison baits to be installed in any area unless there is a take on the monitoring block, which then will be replaced with a </w:t>
            </w:r>
            <w:r w:rsidR="00021010">
              <w:t>toxic</w:t>
            </w:r>
            <w:r>
              <w:t xml:space="preserve"> block and followed up on a daily basis until 3 days clear.  Once clear the poison bait will be removed from site and replaced with non-toxic bait. </w:t>
            </w:r>
          </w:p>
          <w:p w14:paraId="76583CED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8C6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D45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74A708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  <w:p w14:paraId="6DCBFF5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  <w:tr w:rsidR="004D5CF0" w14:paraId="28DCCE9B" w14:textId="77777777">
        <w:trPr>
          <w:trHeight w:val="1219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F3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7C8C1E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Secondary Poisoning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0CF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95FADA8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098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4F877D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10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ED26D95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DE32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3D301B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F793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D84673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Any Poison on site is contained in tamper proof bait stations and </w:t>
            </w:r>
            <w:r>
              <w:rPr>
                <w:b/>
              </w:rPr>
              <w:t>only</w:t>
            </w:r>
            <w:r>
              <w:t xml:space="preserve"> </w:t>
            </w:r>
            <w:r>
              <w:rPr>
                <w:b/>
              </w:rPr>
              <w:t>used</w:t>
            </w:r>
            <w:r>
              <w:t xml:space="preserve"> where Rat activity has been present; all other baits contain nontoxic including all internal areas. Any dead rodents found on site are removed.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A3C1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307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59A2584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  <w:p w14:paraId="559DFC1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  <w:tr w:rsidR="004D5CF0" w14:paraId="2FCBDD9C" w14:textId="77777777">
        <w:trPr>
          <w:trHeight w:val="131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D864" w14:textId="77777777" w:rsidR="004D5CF0" w:rsidRDefault="002C34B1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  <w:p w14:paraId="1AF04421" w14:textId="23870FB2" w:rsidR="004D5CF0" w:rsidRDefault="002C34B1">
            <w:pPr>
              <w:spacing w:after="0" w:line="259" w:lineRule="auto"/>
              <w:ind w:left="0" w:firstLine="0"/>
            </w:pPr>
            <w:r>
              <w:t xml:space="preserve">Moving </w:t>
            </w:r>
            <w:r w:rsidR="00021010">
              <w:t xml:space="preserve">machinery </w:t>
            </w:r>
            <w:r>
              <w:t xml:space="preserve">on </w:t>
            </w:r>
          </w:p>
          <w:p w14:paraId="0E726AA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site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3E49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16F5F45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5C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DEEE15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05C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611584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C6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C30783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CC06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07CD26D" w14:textId="287CA364" w:rsidR="004D5CF0" w:rsidRDefault="002C34B1">
            <w:pPr>
              <w:spacing w:after="0" w:line="259" w:lineRule="auto"/>
              <w:ind w:left="2" w:right="13" w:firstLine="0"/>
            </w:pPr>
            <w:r>
              <w:t>All NMP Ltd employees to wear high-visibility jackets whilst on site and adhere to site rules where required</w:t>
            </w:r>
            <w:r w:rsidR="00021010">
              <w:t xml:space="preserve">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8E0A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0BC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27855B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  <w:p w14:paraId="3D7E428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  <w:tr w:rsidR="004D5CF0" w14:paraId="13FCB2AE" w14:textId="77777777">
        <w:trPr>
          <w:trHeight w:val="1313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80F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3BD4EA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Electric Shock from </w:t>
            </w:r>
          </w:p>
          <w:p w14:paraId="507F7572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E.F. K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7E44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0FDC71B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067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820CAC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844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BE2B8D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A9C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054294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D379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B7DAFC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E.F. K’s to be switched off or unplugged when being serviced. (fly counts or annual tube change)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8768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A2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F86FCA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  <w:p w14:paraId="1897D615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</w:tbl>
    <w:p w14:paraId="605F88E3" w14:textId="77777777" w:rsidR="004D5CF0" w:rsidRDefault="002C34B1">
      <w:pPr>
        <w:pStyle w:val="Heading2"/>
      </w:pPr>
      <w:r>
        <w:t>Pests</w:t>
      </w:r>
      <w:r>
        <w:rPr>
          <w:u w:val="none"/>
        </w:rPr>
        <w:t xml:space="preserve"> </w:t>
      </w:r>
    </w:p>
    <w:p w14:paraId="4C1357D6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1D1D91BF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3872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183"/>
        <w:gridCol w:w="518"/>
        <w:gridCol w:w="518"/>
        <w:gridCol w:w="518"/>
        <w:gridCol w:w="608"/>
        <w:gridCol w:w="6080"/>
        <w:gridCol w:w="1724"/>
        <w:gridCol w:w="1723"/>
      </w:tblGrid>
      <w:tr w:rsidR="004D5CF0" w14:paraId="0F3ACB3A" w14:textId="77777777" w:rsidTr="002352C2">
        <w:trPr>
          <w:trHeight w:val="576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2089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Potential Risk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DA91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L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F2B9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B66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C9E0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Risk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DB4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Current Controls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2873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Additional </w:t>
            </w:r>
          </w:p>
          <w:p w14:paraId="30AC9740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Requirements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3310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Score </w:t>
            </w:r>
          </w:p>
        </w:tc>
      </w:tr>
      <w:tr w:rsidR="004D5CF0" w14:paraId="4055C1FD" w14:textId="77777777" w:rsidTr="002352C2">
        <w:trPr>
          <w:trHeight w:val="139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1E7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0040C53" w14:textId="77777777" w:rsidR="004D5CF0" w:rsidRDefault="002C34B1">
            <w:pPr>
              <w:spacing w:after="0" w:line="240" w:lineRule="auto"/>
              <w:ind w:left="0" w:right="1" w:firstLine="0"/>
            </w:pPr>
            <w:r>
              <w:t xml:space="preserve">Damage to Buildings (including pipes / cables) caused by </w:t>
            </w:r>
          </w:p>
          <w:p w14:paraId="6659B13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Rodents </w:t>
            </w:r>
          </w:p>
          <w:p w14:paraId="19F0FFA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52C6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74F351DD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869E" w14:textId="77777777" w:rsidR="004D5CF0" w:rsidRDefault="002C34B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77134A4" w14:textId="77777777" w:rsidR="004D5CF0" w:rsidRDefault="002C34B1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37DF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695513A4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6C2A" w14:textId="77777777" w:rsidR="004D5CF0" w:rsidRDefault="002C34B1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3945958C" w14:textId="77777777" w:rsidR="004D5CF0" w:rsidRDefault="002C34B1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F34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D30A9D6" w14:textId="091DDDFF" w:rsidR="004D5CF0" w:rsidRDefault="002C34B1">
            <w:pPr>
              <w:spacing w:after="0" w:line="259" w:lineRule="auto"/>
              <w:ind w:left="0" w:firstLine="0"/>
            </w:pPr>
            <w:r>
              <w:t xml:space="preserve">Pest control inspections to be carried out </w:t>
            </w:r>
            <w:r w:rsidR="000412E8">
              <w:t xml:space="preserve">every 6-8 weeks </w:t>
            </w:r>
            <w:r w:rsidR="00021010">
              <w:t>basis</w:t>
            </w:r>
            <w:r>
              <w:t>, proofing is recommended if found</w:t>
            </w:r>
            <w:r w:rsidR="000412E8">
              <w:t xml:space="preserve"> and wrote on report.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60E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D9AE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2C25DEE6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9  </w:t>
            </w:r>
          </w:p>
          <w:p w14:paraId="43E4EC9B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Low Risk </w:t>
            </w:r>
          </w:p>
        </w:tc>
      </w:tr>
      <w:tr w:rsidR="004D5CF0" w14:paraId="26552326" w14:textId="77777777" w:rsidTr="002352C2">
        <w:trPr>
          <w:trHeight w:val="139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CBEC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43EDB60" w14:textId="77777777" w:rsidR="004D5CF0" w:rsidRDefault="002C34B1">
            <w:pPr>
              <w:spacing w:after="0" w:line="240" w:lineRule="auto"/>
              <w:ind w:left="0" w:right="1" w:firstLine="0"/>
            </w:pPr>
            <w:r>
              <w:t xml:space="preserve">Damage to Buildings (including pipes / cables) caused by </w:t>
            </w:r>
          </w:p>
          <w:p w14:paraId="0A72C60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Insects  </w:t>
            </w:r>
          </w:p>
          <w:p w14:paraId="702386F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2ADF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3ABF5ED7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2FED" w14:textId="77777777" w:rsidR="004D5CF0" w:rsidRDefault="002C34B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4897E6D" w14:textId="77777777" w:rsidR="004D5CF0" w:rsidRDefault="002C34B1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E195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0AB1DDA2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54C9" w14:textId="77777777" w:rsidR="004D5CF0" w:rsidRDefault="002C34B1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011810F" w14:textId="77777777" w:rsidR="004D5CF0" w:rsidRDefault="002C34B1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CE5B" w14:textId="77777777" w:rsidR="004D5CF0" w:rsidRDefault="002C34B1">
            <w:pPr>
              <w:spacing w:after="20" w:line="259" w:lineRule="auto"/>
              <w:ind w:left="0" w:firstLine="0"/>
            </w:pPr>
            <w:r>
              <w:t xml:space="preserve"> </w:t>
            </w:r>
          </w:p>
          <w:p w14:paraId="70492B7C" w14:textId="4BC46FBF" w:rsidR="004D5CF0" w:rsidRDefault="002C34B1">
            <w:pPr>
              <w:spacing w:after="0" w:line="259" w:lineRule="auto"/>
              <w:ind w:left="0" w:firstLine="0"/>
            </w:pPr>
            <w:r>
              <w:t xml:space="preserve">EFK’s installed in strategic areas internally on site </w:t>
            </w:r>
            <w:r w:rsidR="00021010">
              <w:t xml:space="preserve">to minimise </w:t>
            </w:r>
            <w:r w:rsidR="00C446BE">
              <w:t xml:space="preserve">flying insects and monitoring pads are used for any crawling insects.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74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DEF8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524BF70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9 </w:t>
            </w:r>
          </w:p>
          <w:p w14:paraId="0DD1026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Low Risk </w:t>
            </w:r>
          </w:p>
        </w:tc>
      </w:tr>
      <w:tr w:rsidR="004D5CF0" w14:paraId="0EB0165E" w14:textId="77777777" w:rsidTr="002352C2">
        <w:trPr>
          <w:trHeight w:val="1159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2F7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F53A6B9" w14:textId="77777777" w:rsidR="004D5CF0" w:rsidRDefault="002C34B1">
            <w:pPr>
              <w:spacing w:after="0" w:line="240" w:lineRule="auto"/>
              <w:ind w:left="0" w:right="1" w:firstLine="0"/>
            </w:pPr>
            <w:r>
              <w:t xml:space="preserve">Damage to Buildings (including pipes / cables) caused by Birds  </w:t>
            </w:r>
          </w:p>
          <w:p w14:paraId="072FCD6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3CEA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1B75BBF2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EBB7" w14:textId="77777777" w:rsidR="004D5CF0" w:rsidRDefault="002C34B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40DA72D1" w14:textId="77777777" w:rsidR="004D5CF0" w:rsidRDefault="002C34B1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A3A1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4A5919F3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5D89" w14:textId="77777777" w:rsidR="004D5CF0" w:rsidRDefault="002C34B1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B223DF1" w14:textId="77777777" w:rsidR="004D5CF0" w:rsidRDefault="002C34B1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12F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677E526" w14:textId="0BFB64CD" w:rsidR="004D5CF0" w:rsidRDefault="002C34B1">
            <w:pPr>
              <w:spacing w:after="0" w:line="259" w:lineRule="auto"/>
              <w:ind w:left="0" w:firstLine="0"/>
            </w:pPr>
            <w:r>
              <w:t>Building has been proofed against entry for birds. External doors to be kept shut at all times</w:t>
            </w:r>
            <w:r w:rsidR="00C446BE">
              <w:t xml:space="preserve"> where possible.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4F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E941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C5F654A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9 </w:t>
            </w:r>
          </w:p>
          <w:p w14:paraId="12BD9955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Low Risk </w:t>
            </w:r>
          </w:p>
        </w:tc>
      </w:tr>
    </w:tbl>
    <w:p w14:paraId="42031153" w14:textId="77777777" w:rsidR="004D5CF0" w:rsidRDefault="002C34B1">
      <w:pPr>
        <w:spacing w:after="0" w:line="259" w:lineRule="auto"/>
        <w:ind w:left="0" w:right="438" w:firstLine="0"/>
        <w:jc w:val="right"/>
      </w:pPr>
      <w:r>
        <w:t xml:space="preserve"> </w:t>
      </w:r>
    </w:p>
    <w:p w14:paraId="79E3EF53" w14:textId="77777777" w:rsidR="002C34B1" w:rsidRDefault="002C34B1">
      <w:pPr>
        <w:spacing w:after="0" w:line="259" w:lineRule="auto"/>
        <w:ind w:left="0" w:firstLine="0"/>
      </w:pPr>
    </w:p>
    <w:p w14:paraId="03652E36" w14:textId="77777777" w:rsidR="002C34B1" w:rsidRDefault="002C34B1">
      <w:pPr>
        <w:spacing w:after="0" w:line="259" w:lineRule="auto"/>
        <w:ind w:left="0" w:firstLine="0"/>
      </w:pPr>
    </w:p>
    <w:p w14:paraId="35AEB855" w14:textId="77777777" w:rsidR="002C34B1" w:rsidRDefault="002C34B1">
      <w:pPr>
        <w:spacing w:after="0" w:line="259" w:lineRule="auto"/>
        <w:ind w:left="0" w:firstLine="0"/>
      </w:pPr>
    </w:p>
    <w:p w14:paraId="2C177682" w14:textId="77777777" w:rsidR="002C34B1" w:rsidRDefault="002C34B1">
      <w:pPr>
        <w:spacing w:after="0" w:line="259" w:lineRule="auto"/>
        <w:ind w:left="0" w:firstLine="0"/>
      </w:pPr>
    </w:p>
    <w:p w14:paraId="3AFEDB7B" w14:textId="77777777" w:rsidR="002C34B1" w:rsidRDefault="002C34B1">
      <w:pPr>
        <w:spacing w:after="0" w:line="259" w:lineRule="auto"/>
        <w:ind w:left="0" w:firstLine="0"/>
      </w:pPr>
    </w:p>
    <w:p w14:paraId="3D62F756" w14:textId="1B2A25F5" w:rsidR="004D5CF0" w:rsidRDefault="002C34B1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09AC31" wp14:editId="371FB343">
                <wp:simplePos x="0" y="0"/>
                <wp:positionH relativeFrom="page">
                  <wp:posOffset>0</wp:posOffset>
                </wp:positionH>
                <wp:positionV relativeFrom="page">
                  <wp:posOffset>6049010</wp:posOffset>
                </wp:positionV>
                <wp:extent cx="10692384" cy="9525"/>
                <wp:effectExtent l="0" t="0" r="0" b="0"/>
                <wp:wrapTopAndBottom/>
                <wp:docPr id="11527" name="Group 11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384" cy="9525"/>
                          <a:chOff x="0" y="0"/>
                          <a:chExt cx="10692384" cy="9525"/>
                        </a:xfrm>
                      </wpg:grpSpPr>
                      <wps:wsp>
                        <wps:cNvPr id="1462" name="Shape 1462"/>
                        <wps:cNvSpPr/>
                        <wps:spPr>
                          <a:xfrm>
                            <a:off x="0" y="0"/>
                            <a:ext cx="10692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>
                                <a:moveTo>
                                  <a:pt x="106923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1BC17" id="Group 11527" o:spid="_x0000_s1026" style="position:absolute;margin-left:0;margin-top:476.3pt;width:841.9pt;height:.75pt;z-index:251659264;mso-position-horizontal-relative:page;mso-position-vertical-relative:page" coordsize="1069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">
                <v:shape id="Shape 1462" o:spid="_x0000_s1027" style="position:absolute;width:106923;height:0;visibility:visible;mso-wrap-style:square;v-text-anchor:top" coordsize="10692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" path="m10692384,l,e" filled="f" strokecolor="red">
                  <v:path arrowok="t" textboxrect="0,0,10692384,0"/>
                </v:shape>
                <w10:wrap type="topAndBottom" anchorx="page" anchory="page"/>
              </v:group>
            </w:pict>
          </mc:Fallback>
        </mc:AlternateContent>
      </w:r>
    </w:p>
    <w:p w14:paraId="512D734F" w14:textId="2221C78D" w:rsidR="002352C2" w:rsidRDefault="002C34B1" w:rsidP="002352C2">
      <w:pPr>
        <w:spacing w:after="0" w:line="259" w:lineRule="auto"/>
        <w:ind w:left="0" w:firstLine="0"/>
      </w:pPr>
      <w:r>
        <w:t xml:space="preserve"> </w:t>
      </w:r>
    </w:p>
    <w:p w14:paraId="5EB48D82" w14:textId="37C2ACF5" w:rsidR="004D5CF0" w:rsidRDefault="004D5CF0">
      <w:pPr>
        <w:ind w:left="-5"/>
      </w:pPr>
    </w:p>
    <w:sectPr w:rsidR="004D5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50" w:right="1267" w:bottom="1351" w:left="1133" w:header="419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19B5" w14:textId="77777777" w:rsidR="007A5997" w:rsidRDefault="007A5997">
      <w:pPr>
        <w:spacing w:after="0" w:line="240" w:lineRule="auto"/>
      </w:pPr>
      <w:r>
        <w:separator/>
      </w:r>
    </w:p>
  </w:endnote>
  <w:endnote w:type="continuationSeparator" w:id="0">
    <w:p w14:paraId="31C2C7B9" w14:textId="77777777" w:rsidR="007A5997" w:rsidRDefault="007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E30D" w14:textId="77777777" w:rsidR="004D5CF0" w:rsidRDefault="002C34B1">
    <w:pPr>
      <w:spacing w:after="0" w:line="259" w:lineRule="auto"/>
      <w:ind w:left="0" w:firstLine="0"/>
    </w:pPr>
    <w:r>
      <w:rPr>
        <w:sz w:val="24"/>
      </w:rPr>
      <w:t xml:space="preserve"> </w:t>
    </w:r>
  </w:p>
  <w:p w14:paraId="001540B8" w14:textId="77777777" w:rsidR="004D5CF0" w:rsidRDefault="002C34B1">
    <w:pPr>
      <w:tabs>
        <w:tab w:val="center" w:pos="4513"/>
        <w:tab w:val="center" w:pos="9028"/>
        <w:tab w:val="center" w:pos="9361"/>
        <w:tab w:val="center" w:pos="10081"/>
        <w:tab w:val="center" w:pos="10801"/>
        <w:tab w:val="center" w:pos="11522"/>
        <w:tab w:val="center" w:pos="12242"/>
        <w:tab w:val="center" w:pos="12962"/>
      </w:tabs>
      <w:spacing w:after="0" w:line="259" w:lineRule="auto"/>
      <w:ind w:left="0" w:firstLine="0"/>
    </w:pPr>
    <w:r>
      <w:rPr>
        <w:sz w:val="16"/>
      </w:rPr>
      <w:t xml:space="preserve">Issued by:   Dean Daly, NMP Ltd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 </w:t>
    </w:r>
  </w:p>
  <w:p w14:paraId="4A6081E6" w14:textId="77777777" w:rsidR="004D5CF0" w:rsidRDefault="002C34B1">
    <w:pPr>
      <w:spacing w:after="0" w:line="259" w:lineRule="auto"/>
      <w:ind w:left="0" w:firstLine="0"/>
    </w:pPr>
    <w:r>
      <w:rPr>
        <w:sz w:val="16"/>
      </w:rPr>
      <w:t xml:space="preserve">Date:            02.02.2020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3358" w14:textId="77777777" w:rsidR="004D5CF0" w:rsidRDefault="002C34B1">
    <w:pPr>
      <w:spacing w:after="0" w:line="259" w:lineRule="auto"/>
      <w:ind w:left="0" w:firstLine="0"/>
    </w:pPr>
    <w:r>
      <w:rPr>
        <w:sz w:val="24"/>
      </w:rPr>
      <w:t xml:space="preserve"> </w:t>
    </w:r>
  </w:p>
  <w:p w14:paraId="000A97B5" w14:textId="77777777" w:rsidR="004D5CF0" w:rsidRDefault="002C34B1">
    <w:pPr>
      <w:tabs>
        <w:tab w:val="center" w:pos="4513"/>
        <w:tab w:val="center" w:pos="9028"/>
        <w:tab w:val="center" w:pos="9361"/>
        <w:tab w:val="center" w:pos="10081"/>
        <w:tab w:val="center" w:pos="10801"/>
        <w:tab w:val="center" w:pos="11522"/>
        <w:tab w:val="center" w:pos="12242"/>
        <w:tab w:val="center" w:pos="12962"/>
      </w:tabs>
      <w:spacing w:after="0" w:line="259" w:lineRule="auto"/>
      <w:ind w:left="0" w:firstLine="0"/>
    </w:pPr>
    <w:r>
      <w:rPr>
        <w:sz w:val="16"/>
      </w:rPr>
      <w:t xml:space="preserve">Issued by:   Dean Daly, NMP Ltd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 </w:t>
    </w:r>
  </w:p>
  <w:p w14:paraId="316A9AF9" w14:textId="0F426AEF" w:rsidR="004D5CF0" w:rsidRDefault="002C34B1">
    <w:pPr>
      <w:spacing w:after="0" w:line="259" w:lineRule="auto"/>
      <w:ind w:left="0" w:firstLine="0"/>
    </w:pPr>
    <w:r>
      <w:rPr>
        <w:sz w:val="16"/>
      </w:rPr>
      <w:t xml:space="preserve">Date:            </w:t>
    </w:r>
    <w:r w:rsidR="00191905">
      <w:rPr>
        <w:sz w:val="16"/>
      </w:rPr>
      <w:t>16</w:t>
    </w:r>
    <w:r>
      <w:rPr>
        <w:sz w:val="16"/>
      </w:rPr>
      <w:t>.</w:t>
    </w:r>
    <w:r w:rsidR="00DA2B85">
      <w:rPr>
        <w:sz w:val="16"/>
      </w:rPr>
      <w:t>01</w:t>
    </w:r>
    <w:r>
      <w:rPr>
        <w:sz w:val="16"/>
      </w:rPr>
      <w:t>.202</w:t>
    </w:r>
    <w:r w:rsidR="00191905">
      <w:rPr>
        <w:sz w:val="16"/>
      </w:rPr>
      <w:t xml:space="preserve">5 </w:t>
    </w:r>
    <w:r>
      <w:rPr>
        <w:sz w:val="16"/>
      </w:rPr>
      <w:t xml:space="preserve">(Issue </w:t>
    </w:r>
    <w:r w:rsidR="00191905">
      <w:rPr>
        <w:sz w:val="16"/>
      </w:rPr>
      <w:t>5</w:t>
    </w:r>
    <w:r>
      <w:rPr>
        <w:sz w:val="16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A4FC" w14:textId="77777777" w:rsidR="004D5CF0" w:rsidRDefault="002C34B1">
    <w:pPr>
      <w:spacing w:after="0" w:line="259" w:lineRule="auto"/>
      <w:ind w:left="0" w:firstLine="0"/>
    </w:pPr>
    <w:r>
      <w:rPr>
        <w:sz w:val="24"/>
      </w:rPr>
      <w:t xml:space="preserve"> </w:t>
    </w:r>
  </w:p>
  <w:p w14:paraId="48250999" w14:textId="77777777" w:rsidR="004D5CF0" w:rsidRDefault="002C34B1">
    <w:pPr>
      <w:tabs>
        <w:tab w:val="center" w:pos="4513"/>
        <w:tab w:val="center" w:pos="9028"/>
        <w:tab w:val="center" w:pos="9361"/>
        <w:tab w:val="center" w:pos="10081"/>
        <w:tab w:val="center" w:pos="10801"/>
        <w:tab w:val="center" w:pos="11522"/>
        <w:tab w:val="center" w:pos="12242"/>
        <w:tab w:val="center" w:pos="12962"/>
      </w:tabs>
      <w:spacing w:after="0" w:line="259" w:lineRule="auto"/>
      <w:ind w:left="0" w:firstLine="0"/>
    </w:pPr>
    <w:r>
      <w:rPr>
        <w:sz w:val="16"/>
      </w:rPr>
      <w:t xml:space="preserve">Issued by:   Dean Daly, NMP Ltd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 </w:t>
    </w:r>
  </w:p>
  <w:p w14:paraId="4FEE194F" w14:textId="77777777" w:rsidR="004D5CF0" w:rsidRDefault="002C34B1">
    <w:pPr>
      <w:spacing w:after="0" w:line="259" w:lineRule="auto"/>
      <w:ind w:left="0" w:firstLine="0"/>
    </w:pPr>
    <w:r>
      <w:rPr>
        <w:sz w:val="16"/>
      </w:rPr>
      <w:t xml:space="preserve">Date:            02.02.2020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4F3A" w14:textId="77777777" w:rsidR="007A5997" w:rsidRDefault="007A5997">
      <w:pPr>
        <w:spacing w:after="0" w:line="240" w:lineRule="auto"/>
      </w:pPr>
      <w:r>
        <w:separator/>
      </w:r>
    </w:p>
  </w:footnote>
  <w:footnote w:type="continuationSeparator" w:id="0">
    <w:p w14:paraId="7D6DFC30" w14:textId="77777777" w:rsidR="007A5997" w:rsidRDefault="007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1426" w14:textId="77777777" w:rsidR="004D5CF0" w:rsidRDefault="002C34B1">
    <w:pPr>
      <w:spacing w:after="0" w:line="259" w:lineRule="auto"/>
      <w:ind w:left="376" w:right="-13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242B905" wp14:editId="74C0C895">
          <wp:simplePos x="0" y="0"/>
          <wp:positionH relativeFrom="page">
            <wp:posOffset>958215</wp:posOffset>
          </wp:positionH>
          <wp:positionV relativeFrom="page">
            <wp:posOffset>266065</wp:posOffset>
          </wp:positionV>
          <wp:extent cx="2413000" cy="8826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 xml:space="preserve">NMP Ltd </w:t>
    </w:r>
  </w:p>
  <w:p w14:paraId="6CABC860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1532EB29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5D74471B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0681" w14:textId="77777777" w:rsidR="004D5CF0" w:rsidRDefault="002C34B1">
    <w:pPr>
      <w:spacing w:after="0" w:line="259" w:lineRule="auto"/>
      <w:ind w:left="376" w:right="-13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2DBFF2E" wp14:editId="6CD955B5">
          <wp:simplePos x="0" y="0"/>
          <wp:positionH relativeFrom="page">
            <wp:posOffset>958215</wp:posOffset>
          </wp:positionH>
          <wp:positionV relativeFrom="page">
            <wp:posOffset>266065</wp:posOffset>
          </wp:positionV>
          <wp:extent cx="2413000" cy="882650"/>
          <wp:effectExtent l="0" t="0" r="0" b="0"/>
          <wp:wrapSquare wrapText="bothSides"/>
          <wp:docPr id="1036477061" name="Picture 10364770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 xml:space="preserve">NMP Ltd </w:t>
    </w:r>
  </w:p>
  <w:p w14:paraId="409B5309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21CD67BF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6011DE4E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A7EF" w14:textId="77777777" w:rsidR="004D5CF0" w:rsidRDefault="002C34B1">
    <w:pPr>
      <w:spacing w:after="0" w:line="259" w:lineRule="auto"/>
      <w:ind w:left="376" w:right="-13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8BA0453" wp14:editId="4344E2DB">
          <wp:simplePos x="0" y="0"/>
          <wp:positionH relativeFrom="page">
            <wp:posOffset>958215</wp:posOffset>
          </wp:positionH>
          <wp:positionV relativeFrom="page">
            <wp:posOffset>266065</wp:posOffset>
          </wp:positionV>
          <wp:extent cx="2413000" cy="882650"/>
          <wp:effectExtent l="0" t="0" r="0" b="0"/>
          <wp:wrapSquare wrapText="bothSides"/>
          <wp:docPr id="854050601" name="Picture 8540506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 xml:space="preserve">NMP Ltd </w:t>
    </w:r>
  </w:p>
  <w:p w14:paraId="36705F1B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0FFD5C23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05C46F94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8A8"/>
    <w:multiLevelType w:val="hybridMultilevel"/>
    <w:tmpl w:val="6C4ADD6E"/>
    <w:lvl w:ilvl="0" w:tplc="7EE45F9E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A413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42EF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A76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8C1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82DA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95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9E3D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E39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F82019"/>
    <w:multiLevelType w:val="hybridMultilevel"/>
    <w:tmpl w:val="4A1C6AC8"/>
    <w:lvl w:ilvl="0" w:tplc="1BC6E7C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A4AD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00104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6B9A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741AD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6081EE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A71D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E9D3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4CCBB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114572">
    <w:abstractNumId w:val="0"/>
  </w:num>
  <w:num w:numId="2" w16cid:durableId="11344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F0"/>
    <w:rsid w:val="00021010"/>
    <w:rsid w:val="000412E8"/>
    <w:rsid w:val="00132D58"/>
    <w:rsid w:val="00191905"/>
    <w:rsid w:val="002352C2"/>
    <w:rsid w:val="002C34B1"/>
    <w:rsid w:val="004D5CF0"/>
    <w:rsid w:val="0051205A"/>
    <w:rsid w:val="006A74F8"/>
    <w:rsid w:val="00740B43"/>
    <w:rsid w:val="007A5997"/>
    <w:rsid w:val="00956B88"/>
    <w:rsid w:val="00C446BE"/>
    <w:rsid w:val="00C628C1"/>
    <w:rsid w:val="00DA2B85"/>
    <w:rsid w:val="00E165C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C183"/>
  <w15:docId w15:val="{4268792C-A0E5-48FC-B72E-F6DA856B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9672"/>
      <w:jc w:val="right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0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FJ Need (foods) &amp; The Salt Company</dc:title>
  <dc:subject/>
  <dc:creator>Gary Steele</dc:creator>
  <cp:keywords/>
  <cp:lastModifiedBy>Dean Daly</cp:lastModifiedBy>
  <cp:revision>5</cp:revision>
  <cp:lastPrinted>2023-09-11T13:50:00Z</cp:lastPrinted>
  <dcterms:created xsi:type="dcterms:W3CDTF">2024-01-04T09:54:00Z</dcterms:created>
  <dcterms:modified xsi:type="dcterms:W3CDTF">2025-01-16T13:54:00Z</dcterms:modified>
</cp:coreProperties>
</file>