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82E4" w14:textId="77777777" w:rsidR="0049352C" w:rsidRDefault="0049352C" w:rsidP="004D5109">
      <w:pPr>
        <w:pStyle w:val="DefaultText"/>
        <w:ind w:firstLine="142"/>
        <w:rPr>
          <w:rFonts w:asciiTheme="minorHAnsi" w:hAnsiTheme="minorHAnsi" w:cstheme="minorHAnsi"/>
          <w:sz w:val="22"/>
          <w:szCs w:val="22"/>
          <w:lang w:val="it-IT"/>
        </w:rPr>
      </w:pPr>
      <w:r w:rsidRPr="0049352C">
        <w:rPr>
          <w:rFonts w:asciiTheme="minorHAnsi" w:hAnsiTheme="minorHAnsi" w:cstheme="minorHAnsi"/>
          <w:sz w:val="22"/>
          <w:szCs w:val="22"/>
          <w:lang w:val="it-IT"/>
        </w:rPr>
        <w:t xml:space="preserve">Mobile: </w:t>
      </w:r>
      <w:r w:rsidR="004D5109" w:rsidRPr="0049352C">
        <w:rPr>
          <w:rFonts w:asciiTheme="minorHAnsi" w:hAnsiTheme="minorHAnsi" w:cstheme="minorHAnsi"/>
          <w:sz w:val="22"/>
          <w:szCs w:val="22"/>
          <w:lang w:val="it-IT"/>
        </w:rPr>
        <w:t>+44 (0)7538 755797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6ED3AB3C" w14:textId="34EB44FA" w:rsidR="004D5109" w:rsidRPr="0049352C" w:rsidRDefault="0049352C" w:rsidP="0049352C">
      <w:pPr>
        <w:pStyle w:val="DefaultText"/>
        <w:ind w:firstLine="142"/>
        <w:rPr>
          <w:rFonts w:asciiTheme="minorHAnsi" w:hAnsiTheme="minorHAnsi" w:cstheme="minorHAnsi"/>
          <w:sz w:val="22"/>
          <w:szCs w:val="22"/>
          <w:lang w:val="fr-FR"/>
        </w:rPr>
      </w:pPr>
      <w:r w:rsidRPr="0049352C">
        <w:rPr>
          <w:rFonts w:asciiTheme="minorHAnsi" w:hAnsiTheme="minorHAnsi" w:cstheme="minorHAnsi"/>
          <w:sz w:val="22"/>
          <w:szCs w:val="22"/>
          <w:lang w:val="fr-FR"/>
        </w:rPr>
        <w:t xml:space="preserve">Email: </w:t>
      </w:r>
      <w:hyperlink r:id="rId6" w:history="1">
        <w:r w:rsidRPr="0049352C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sean@independentexpertengineer.co.uk</w:t>
        </w:r>
      </w:hyperlink>
      <w:r w:rsidR="004D5109" w:rsidRPr="0049352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495D07CB" w14:textId="77777777" w:rsidR="004D5109" w:rsidRPr="0049352C" w:rsidRDefault="004D5109" w:rsidP="004D5109">
      <w:pPr>
        <w:pStyle w:val="DefaultText"/>
        <w:rPr>
          <w:sz w:val="28"/>
          <w:lang w:val="fr-FR"/>
        </w:rPr>
      </w:pPr>
    </w:p>
    <w:p w14:paraId="1100DF46" w14:textId="77777777" w:rsidR="004D5109" w:rsidRPr="0049352C" w:rsidRDefault="004D5109" w:rsidP="004D5109">
      <w:pPr>
        <w:pStyle w:val="DefaultText"/>
        <w:rPr>
          <w:sz w:val="28"/>
          <w:lang w:val="fr-FR"/>
        </w:rPr>
      </w:pPr>
      <w:r w:rsidRPr="0049352C">
        <w:rPr>
          <w:sz w:val="28"/>
          <w:lang w:val="fr-FR"/>
        </w:rPr>
        <w:t>Qualifications</w:t>
      </w:r>
    </w:p>
    <w:tbl>
      <w:tblPr>
        <w:tblW w:w="9038" w:type="dxa"/>
        <w:tblInd w:w="142" w:type="dxa"/>
        <w:tblLook w:val="04A0" w:firstRow="1" w:lastRow="0" w:firstColumn="1" w:lastColumn="0" w:noHBand="0" w:noVBand="1"/>
      </w:tblPr>
      <w:tblGrid>
        <w:gridCol w:w="2013"/>
        <w:gridCol w:w="6125"/>
        <w:gridCol w:w="900"/>
      </w:tblGrid>
      <w:tr w:rsidR="004D5109" w14:paraId="56CFD77B" w14:textId="77777777" w:rsidTr="00867CCF">
        <w:tc>
          <w:tcPr>
            <w:tcW w:w="2013" w:type="dxa"/>
            <w:hideMark/>
          </w:tcPr>
          <w:p w14:paraId="698242D0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CEng</w:t>
            </w:r>
          </w:p>
        </w:tc>
        <w:tc>
          <w:tcPr>
            <w:tcW w:w="6125" w:type="dxa"/>
            <w:hideMark/>
          </w:tcPr>
          <w:p w14:paraId="454A233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Chartered Engineer</w:t>
            </w:r>
          </w:p>
        </w:tc>
        <w:tc>
          <w:tcPr>
            <w:tcW w:w="900" w:type="dxa"/>
            <w:hideMark/>
          </w:tcPr>
          <w:p w14:paraId="4835E64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1995</w:t>
            </w:r>
          </w:p>
        </w:tc>
      </w:tr>
      <w:tr w:rsidR="004D5109" w14:paraId="24D55302" w14:textId="77777777" w:rsidTr="00867CCF">
        <w:tc>
          <w:tcPr>
            <w:tcW w:w="2013" w:type="dxa"/>
            <w:hideMark/>
          </w:tcPr>
          <w:p w14:paraId="7E8A7188" w14:textId="2714ECF6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C.WEM, </w:t>
            </w:r>
            <w:r w:rsidR="0053543C">
              <w:rPr>
                <w:rFonts w:asciiTheme="minorHAnsi" w:hAnsiTheme="minorHAnsi" w:cstheme="minorHAnsi"/>
                <w:b/>
                <w:sz w:val="22"/>
                <w:lang w:val="en-US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CIWEM</w:t>
            </w:r>
          </w:p>
        </w:tc>
        <w:tc>
          <w:tcPr>
            <w:tcW w:w="6125" w:type="dxa"/>
            <w:hideMark/>
          </w:tcPr>
          <w:p w14:paraId="2032652B" w14:textId="59661C0B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Chartered Waste Manager, </w:t>
            </w:r>
            <w:r w:rsidR="0053543C">
              <w:rPr>
                <w:rFonts w:asciiTheme="minorHAnsi" w:hAnsiTheme="minorHAnsi" w:cstheme="minorHAnsi"/>
                <w:sz w:val="22"/>
                <w:lang w:val="en-US"/>
              </w:rPr>
              <w:t>Fellow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of CIWEM</w:t>
            </w:r>
          </w:p>
        </w:tc>
        <w:tc>
          <w:tcPr>
            <w:tcW w:w="900" w:type="dxa"/>
            <w:hideMark/>
          </w:tcPr>
          <w:p w14:paraId="485FF8B7" w14:textId="089D1492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</w:t>
            </w:r>
            <w:r w:rsidR="0053543C">
              <w:rPr>
                <w:rFonts w:asciiTheme="minorHAnsi" w:hAnsiTheme="minorHAnsi" w:cstheme="minorHAnsi"/>
                <w:sz w:val="22"/>
                <w:lang w:val="en-US"/>
              </w:rPr>
              <w:t>21</w:t>
            </w:r>
          </w:p>
        </w:tc>
      </w:tr>
      <w:tr w:rsidR="004D5109" w14:paraId="7986BA85" w14:textId="77777777" w:rsidTr="00867CCF">
        <w:tc>
          <w:tcPr>
            <w:tcW w:w="2013" w:type="dxa"/>
            <w:hideMark/>
          </w:tcPr>
          <w:p w14:paraId="6193080B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EUR ING</w:t>
            </w:r>
          </w:p>
        </w:tc>
        <w:tc>
          <w:tcPr>
            <w:tcW w:w="6125" w:type="dxa"/>
            <w:hideMark/>
          </w:tcPr>
          <w:p w14:paraId="60A886E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European Engineer (FEANI)</w:t>
            </w:r>
          </w:p>
        </w:tc>
        <w:tc>
          <w:tcPr>
            <w:tcW w:w="900" w:type="dxa"/>
            <w:hideMark/>
          </w:tcPr>
          <w:p w14:paraId="3C4D38B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2013</w:t>
            </w:r>
          </w:p>
        </w:tc>
      </w:tr>
      <w:tr w:rsidR="004D5109" w14:paraId="5FBAF622" w14:textId="77777777" w:rsidTr="00867CCF">
        <w:tc>
          <w:tcPr>
            <w:tcW w:w="2013" w:type="dxa"/>
            <w:hideMark/>
          </w:tcPr>
          <w:p w14:paraId="40AE76E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SFHEA</w:t>
            </w:r>
          </w:p>
        </w:tc>
        <w:tc>
          <w:tcPr>
            <w:tcW w:w="6125" w:type="dxa"/>
            <w:hideMark/>
          </w:tcPr>
          <w:p w14:paraId="0015509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Senior Fellow of the Higher Education Academy</w:t>
            </w:r>
          </w:p>
        </w:tc>
        <w:tc>
          <w:tcPr>
            <w:tcW w:w="900" w:type="dxa"/>
            <w:hideMark/>
          </w:tcPr>
          <w:p w14:paraId="4CC2942A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2011</w:t>
            </w:r>
          </w:p>
        </w:tc>
      </w:tr>
      <w:tr w:rsidR="004D5109" w14:paraId="5CE91237" w14:textId="77777777" w:rsidTr="00867CCF">
        <w:tc>
          <w:tcPr>
            <w:tcW w:w="2013" w:type="dxa"/>
            <w:hideMark/>
          </w:tcPr>
          <w:p w14:paraId="22816CE4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PhD</w:t>
            </w:r>
          </w:p>
        </w:tc>
        <w:tc>
          <w:tcPr>
            <w:tcW w:w="6125" w:type="dxa"/>
            <w:hideMark/>
          </w:tcPr>
          <w:p w14:paraId="5A3B27F1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Chemical &amp; Environmental Engineering, University of Nottingham</w:t>
            </w:r>
          </w:p>
        </w:tc>
        <w:tc>
          <w:tcPr>
            <w:tcW w:w="900" w:type="dxa"/>
            <w:hideMark/>
          </w:tcPr>
          <w:p w14:paraId="2A781C7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2018</w:t>
            </w:r>
          </w:p>
        </w:tc>
      </w:tr>
      <w:tr w:rsidR="004D5109" w14:paraId="544175D8" w14:textId="77777777" w:rsidTr="00867CCF">
        <w:tc>
          <w:tcPr>
            <w:tcW w:w="2013" w:type="dxa"/>
            <w:hideMark/>
          </w:tcPr>
          <w:p w14:paraId="746CB40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PGCHE</w:t>
            </w:r>
          </w:p>
        </w:tc>
        <w:tc>
          <w:tcPr>
            <w:tcW w:w="6125" w:type="dxa"/>
            <w:hideMark/>
          </w:tcPr>
          <w:p w14:paraId="0943478A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University of Nottingham</w:t>
            </w:r>
          </w:p>
        </w:tc>
        <w:tc>
          <w:tcPr>
            <w:tcW w:w="900" w:type="dxa"/>
            <w:hideMark/>
          </w:tcPr>
          <w:p w14:paraId="751C2843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2011</w:t>
            </w:r>
          </w:p>
        </w:tc>
      </w:tr>
      <w:tr w:rsidR="004D5109" w14:paraId="001668AC" w14:textId="77777777" w:rsidTr="00867CCF">
        <w:tc>
          <w:tcPr>
            <w:tcW w:w="2013" w:type="dxa"/>
            <w:hideMark/>
          </w:tcPr>
          <w:p w14:paraId="6E52C1B2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MSc</w:t>
            </w:r>
          </w:p>
        </w:tc>
        <w:tc>
          <w:tcPr>
            <w:tcW w:w="6125" w:type="dxa"/>
            <w:hideMark/>
          </w:tcPr>
          <w:p w14:paraId="77DDCEE2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Biochemical Engineering, University College London</w:t>
            </w:r>
          </w:p>
        </w:tc>
        <w:tc>
          <w:tcPr>
            <w:tcW w:w="900" w:type="dxa"/>
            <w:hideMark/>
          </w:tcPr>
          <w:p w14:paraId="1356B2C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1991</w:t>
            </w:r>
          </w:p>
        </w:tc>
      </w:tr>
      <w:tr w:rsidR="004D5109" w14:paraId="2CBFCECA" w14:textId="77777777" w:rsidTr="00867CCF">
        <w:tc>
          <w:tcPr>
            <w:tcW w:w="2013" w:type="dxa"/>
            <w:hideMark/>
          </w:tcPr>
          <w:p w14:paraId="76BA4E2C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BSc</w:t>
            </w:r>
          </w:p>
        </w:tc>
        <w:tc>
          <w:tcPr>
            <w:tcW w:w="6125" w:type="dxa"/>
            <w:hideMark/>
          </w:tcPr>
          <w:p w14:paraId="6455D6F5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Science and the Environment, Leicester Polytechnic</w:t>
            </w:r>
          </w:p>
        </w:tc>
        <w:tc>
          <w:tcPr>
            <w:tcW w:w="900" w:type="dxa"/>
            <w:hideMark/>
          </w:tcPr>
          <w:p w14:paraId="4C246EE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1990</w:t>
            </w:r>
          </w:p>
        </w:tc>
      </w:tr>
    </w:tbl>
    <w:p w14:paraId="556CF5AC" w14:textId="77777777" w:rsidR="004D5109" w:rsidRDefault="004D5109" w:rsidP="004D5109">
      <w:pPr>
        <w:pStyle w:val="DefaultText"/>
        <w:rPr>
          <w:sz w:val="28"/>
        </w:rPr>
      </w:pPr>
    </w:p>
    <w:p w14:paraId="50199C9A" w14:textId="77777777" w:rsidR="004D5109" w:rsidRDefault="004D5109" w:rsidP="004D5109">
      <w:pPr>
        <w:pStyle w:val="DefaultText"/>
        <w:rPr>
          <w:sz w:val="28"/>
        </w:rPr>
      </w:pPr>
      <w:r>
        <w:rPr>
          <w:sz w:val="28"/>
        </w:rPr>
        <w:t>Profile</w:t>
      </w:r>
    </w:p>
    <w:p w14:paraId="0199A6FA" w14:textId="01E5A154" w:rsidR="004D5109" w:rsidRDefault="004D5109" w:rsidP="004D5109">
      <w:pPr>
        <w:ind w:left="142"/>
        <w:rPr>
          <w:rFonts w:cstheme="minorHAnsi"/>
        </w:rPr>
      </w:pPr>
      <w:r>
        <w:rPr>
          <w:rFonts w:cstheme="minorHAnsi"/>
        </w:rPr>
        <w:t xml:space="preserve">Sean Moran is a Chartered Engineer with </w:t>
      </w:r>
      <w:r w:rsidR="00F43289">
        <w:rPr>
          <w:rFonts w:cstheme="minorHAnsi"/>
        </w:rPr>
        <w:t xml:space="preserve">over </w:t>
      </w:r>
      <w:r>
        <w:rPr>
          <w:rFonts w:cstheme="minorHAnsi"/>
        </w:rPr>
        <w:t xml:space="preserve">thirty years’ experience in process design, commissioning and troubleshooting. He started his career with the international process engineering </w:t>
      </w:r>
      <w:r w:rsidR="00867CCF">
        <w:rPr>
          <w:rFonts w:cstheme="minorHAnsi"/>
        </w:rPr>
        <w:t>c</w:t>
      </w:r>
      <w:r>
        <w:rPr>
          <w:rFonts w:cstheme="minorHAnsi"/>
        </w:rPr>
        <w:t xml:space="preserve">ontractors Purac (now </w:t>
      </w:r>
      <w:proofErr w:type="spellStart"/>
      <w:r>
        <w:rPr>
          <w:rFonts w:cstheme="minorHAnsi"/>
        </w:rPr>
        <w:t>Enpure</w:t>
      </w:r>
      <w:proofErr w:type="spellEnd"/>
      <w:r>
        <w:rPr>
          <w:rFonts w:cstheme="minorHAnsi"/>
        </w:rPr>
        <w:t xml:space="preserve">) and Water Engineering Limited (now WABAG), and worked on many water and environmental engineering projects worldwide before setting up his own consultancy practice in 1996. </w:t>
      </w:r>
    </w:p>
    <w:p w14:paraId="7EA76EED" w14:textId="77777777" w:rsidR="004D5109" w:rsidRDefault="004D5109" w:rsidP="004D5109">
      <w:pPr>
        <w:ind w:left="142"/>
        <w:rPr>
          <w:rFonts w:cstheme="minorHAnsi"/>
        </w:rPr>
      </w:pPr>
      <w:r>
        <w:rPr>
          <w:rFonts w:cstheme="minorHAnsi"/>
        </w:rPr>
        <w:t>His specialist area is the design, commissioning of water, sewage and industrial effluent treatment plants and he has designed, commissioned and consulted on a vast range of projects, from individual residential plants and specialist industrial units through to large municipal projects across the UK, Europe and the Middle East.</w:t>
      </w:r>
    </w:p>
    <w:p w14:paraId="78577D72" w14:textId="18529020" w:rsidR="004D5109" w:rsidRDefault="004D5109" w:rsidP="004D5109">
      <w:pPr>
        <w:ind w:left="142"/>
        <w:rPr>
          <w:rFonts w:cstheme="minorHAnsi"/>
        </w:rPr>
      </w:pPr>
      <w:r>
        <w:rPr>
          <w:rFonts w:cstheme="minorHAnsi"/>
        </w:rPr>
        <w:t>Sean has also authored three textbooks on process and water treatment plant design and layout</w:t>
      </w:r>
      <w:r w:rsidR="00FD2A7F">
        <w:rPr>
          <w:rFonts w:cstheme="minorHAnsi"/>
        </w:rPr>
        <w:t>, and a dictionary of chemical engineering practice</w:t>
      </w:r>
      <w:r>
        <w:rPr>
          <w:rFonts w:cstheme="minorHAnsi"/>
        </w:rPr>
        <w:t>.</w:t>
      </w:r>
    </w:p>
    <w:p w14:paraId="4F7473D3" w14:textId="77777777" w:rsidR="004D5109" w:rsidRDefault="004D5109" w:rsidP="004D5109">
      <w:pPr>
        <w:pStyle w:val="DefaultText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Key Areas of Expertise</w:t>
      </w:r>
    </w:p>
    <w:tbl>
      <w:tblPr>
        <w:tblW w:w="9067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093"/>
        <w:gridCol w:w="6974"/>
      </w:tblGrid>
      <w:tr w:rsidR="004D5109" w14:paraId="18F46AC3" w14:textId="77777777" w:rsidTr="00867CCF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18C57C5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Design</w:t>
            </w:r>
          </w:p>
        </w:tc>
        <w:tc>
          <w:tcPr>
            <w:tcW w:w="697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400FEC8B" w14:textId="68496274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Design, procurement and commissioning for national and international water, sewage and effluent treatment projects; hydraulic design and commissioning consultancy </w:t>
            </w:r>
          </w:p>
          <w:p w14:paraId="3DF27161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D5109" w14:paraId="03BEACF3" w14:textId="77777777" w:rsidTr="00867CCF">
        <w:tc>
          <w:tcPr>
            <w:tcW w:w="20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73B06A1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Troubleshooting Consultancy</w:t>
            </w:r>
          </w:p>
          <w:p w14:paraId="51E3F257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30D4CDB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Troubleshooting, remedial design and re-commissioning of water, sewage and effluent treatment plants for municipal and private clients.</w:t>
            </w:r>
          </w:p>
          <w:p w14:paraId="6EE5DF91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D5109" w14:paraId="5B610933" w14:textId="77777777" w:rsidTr="00867CCF">
        <w:tc>
          <w:tcPr>
            <w:tcW w:w="20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4FD8FB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Advisory</w:t>
            </w:r>
          </w:p>
        </w:tc>
        <w:tc>
          <w:tcPr>
            <w:tcW w:w="69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4E7F241D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Membership of UK Government Technical Advisory Panels in water and resource efficiency, environmental consultancy and biotechnology</w:t>
            </w:r>
          </w:p>
          <w:p w14:paraId="7E99550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D5109" w14:paraId="4B1475F2" w14:textId="77777777" w:rsidTr="00867CCF">
        <w:tc>
          <w:tcPr>
            <w:tcW w:w="20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AAC0F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Expert Witness &amp; Consultancy</w:t>
            </w:r>
          </w:p>
        </w:tc>
        <w:tc>
          <w:tcPr>
            <w:tcW w:w="69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15B9C2F6" w14:textId="63EE41FA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Expert witness in contractual, tort</w:t>
            </w:r>
            <w:r w:rsidR="00CA1376">
              <w:rPr>
                <w:rFonts w:asciiTheme="minorHAnsi" w:hAnsiTheme="minorHAnsi" w:cstheme="minorHAnsi"/>
                <w:sz w:val="22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taxation disputes; </w:t>
            </w:r>
            <w:r w:rsidR="00CA1376">
              <w:rPr>
                <w:rFonts w:asciiTheme="minorHAnsi" w:hAnsiTheme="minorHAnsi" w:cstheme="minorHAnsi"/>
                <w:sz w:val="22"/>
                <w:lang w:val="en-US"/>
              </w:rPr>
              <w:t xml:space="preserve">expert advice/witness in insurance claims;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technical assistance with planning objections; due diligence for mergers &amp; acquisitions projects</w:t>
            </w:r>
          </w:p>
          <w:p w14:paraId="12791B2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D5109" w14:paraId="147A77A3" w14:textId="77777777" w:rsidTr="00867CCF">
        <w:tc>
          <w:tcPr>
            <w:tcW w:w="20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14:paraId="6AFDB4A1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Training</w:t>
            </w:r>
          </w:p>
        </w:tc>
        <w:tc>
          <w:tcPr>
            <w:tcW w:w="697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077E0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Bespoke lecturing and training in water and process engineering </w:t>
            </w:r>
          </w:p>
        </w:tc>
      </w:tr>
    </w:tbl>
    <w:p w14:paraId="15A15896" w14:textId="77777777" w:rsidR="0049352C" w:rsidRDefault="0049352C" w:rsidP="004D5109">
      <w:pPr>
        <w:pStyle w:val="DefaultText"/>
        <w:rPr>
          <w:sz w:val="28"/>
        </w:rPr>
      </w:pPr>
    </w:p>
    <w:p w14:paraId="394C5852" w14:textId="23AF42C6" w:rsidR="004D5109" w:rsidRDefault="004D5109" w:rsidP="004D5109">
      <w:pPr>
        <w:pStyle w:val="DefaultText"/>
        <w:rPr>
          <w:sz w:val="28"/>
        </w:rPr>
      </w:pPr>
      <w:r>
        <w:rPr>
          <w:sz w:val="28"/>
        </w:rPr>
        <w:lastRenderedPageBreak/>
        <w:t>Examples of Projects Undertaken</w:t>
      </w:r>
    </w:p>
    <w:p w14:paraId="3F7B5371" w14:textId="77777777" w:rsidR="00196388" w:rsidRDefault="00196388" w:rsidP="004D5109">
      <w:pPr>
        <w:pStyle w:val="DefaultText"/>
        <w:rPr>
          <w:sz w:val="28"/>
        </w:rPr>
      </w:pPr>
    </w:p>
    <w:tbl>
      <w:tblPr>
        <w:tblW w:w="9252" w:type="dxa"/>
        <w:tblInd w:w="108" w:type="dxa"/>
        <w:tblLook w:val="04A0" w:firstRow="1" w:lastRow="0" w:firstColumn="1" w:lastColumn="0" w:noHBand="0" w:noVBand="1"/>
      </w:tblPr>
      <w:tblGrid>
        <w:gridCol w:w="2025"/>
        <w:gridCol w:w="7227"/>
      </w:tblGrid>
      <w:tr w:rsidR="0049352C" w14:paraId="49898CDE" w14:textId="77777777" w:rsidTr="00B174D5">
        <w:tc>
          <w:tcPr>
            <w:tcW w:w="1985" w:type="dxa"/>
          </w:tcPr>
          <w:p w14:paraId="5647F401" w14:textId="016A4B54" w:rsidR="0049352C" w:rsidRDefault="0049352C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2024</w:t>
            </w:r>
          </w:p>
        </w:tc>
        <w:tc>
          <w:tcPr>
            <w:tcW w:w="7229" w:type="dxa"/>
          </w:tcPr>
          <w:p w14:paraId="2168B8E2" w14:textId="51401D42" w:rsidR="0049352C" w:rsidRDefault="0049352C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CPR Part 35 Expert Witness Instruction – dispute relating to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nuisance arising from </w:t>
            </w:r>
            <w:r w:rsidRP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design, </w:t>
            </w:r>
            <w:r w:rsidRP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operation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maintenance of </w:t>
            </w:r>
            <w:r w:rsidRP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municipal sewage treatment works</w:t>
            </w:r>
          </w:p>
        </w:tc>
      </w:tr>
      <w:tr w:rsidR="00867CCF" w14:paraId="224689EB" w14:textId="77777777" w:rsidTr="00B174D5">
        <w:tc>
          <w:tcPr>
            <w:tcW w:w="1985" w:type="dxa"/>
          </w:tcPr>
          <w:p w14:paraId="4FC5D6C5" w14:textId="5045A564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7229" w:type="dxa"/>
          </w:tcPr>
          <w:p w14:paraId="73CD33BB" w14:textId="5E4B6A03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(Denmark): Advisory report to legal team relating to fire damage at an anaerobic digestion plant</w:t>
            </w:r>
          </w:p>
        </w:tc>
      </w:tr>
      <w:tr w:rsidR="00867CCF" w14:paraId="7ED4AA4E" w14:textId="77777777" w:rsidTr="00B174D5">
        <w:tc>
          <w:tcPr>
            <w:tcW w:w="1985" w:type="dxa"/>
          </w:tcPr>
          <w:p w14:paraId="2EF6B1CD" w14:textId="54592C59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</w:tcPr>
          <w:p w14:paraId="490FD113" w14:textId="0A7FC9BF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Advisory Report for a UK loss adjuster relating to loss of containment and air pollution at a specialist metals processor</w:t>
            </w:r>
            <w:r w:rsid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(ongoing)</w:t>
            </w:r>
          </w:p>
        </w:tc>
      </w:tr>
      <w:tr w:rsidR="00867CCF" w14:paraId="6C958F33" w14:textId="77777777" w:rsidTr="00B174D5">
        <w:tc>
          <w:tcPr>
            <w:tcW w:w="1985" w:type="dxa"/>
          </w:tcPr>
          <w:p w14:paraId="6A037A37" w14:textId="15CD4CB4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</w:tcPr>
          <w:p w14:paraId="22748EC3" w14:textId="7066C4A5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(USA/Germany): Advice for a party to a contractual dispute over process design software</w:t>
            </w:r>
            <w:r w:rsidR="00DF01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development</w:t>
            </w:r>
            <w:r w:rsid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(settled)</w:t>
            </w:r>
          </w:p>
        </w:tc>
      </w:tr>
      <w:tr w:rsidR="00867CCF" w14:paraId="52C6C5A9" w14:textId="77777777" w:rsidTr="00B174D5">
        <w:tc>
          <w:tcPr>
            <w:tcW w:w="1985" w:type="dxa"/>
          </w:tcPr>
          <w:p w14:paraId="1BF8BCCE" w14:textId="65DFD325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2022-23</w:t>
            </w:r>
          </w:p>
        </w:tc>
        <w:tc>
          <w:tcPr>
            <w:tcW w:w="7229" w:type="dxa"/>
          </w:tcPr>
          <w:p w14:paraId="306FF996" w14:textId="1C65688C" w:rsidR="00867CCF" w:rsidRP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Witness Instruction for a UK client in a contractual dispute relating to refinery cooling water quality</w:t>
            </w:r>
            <w:r w:rsid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(settled)</w:t>
            </w:r>
          </w:p>
        </w:tc>
      </w:tr>
      <w:tr w:rsidR="00867CCF" w14:paraId="752D2DBD" w14:textId="77777777" w:rsidTr="00B174D5">
        <w:tc>
          <w:tcPr>
            <w:tcW w:w="1985" w:type="dxa"/>
          </w:tcPr>
          <w:p w14:paraId="0067371A" w14:textId="3925F80A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</w:tcPr>
          <w:p w14:paraId="12B998F2" w14:textId="134ADEC5" w:rsidR="00867CCF" w:rsidRDefault="00867CCF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67C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Advisory report for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UK </w:t>
            </w:r>
            <w:r w:rsidRPr="00867C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loss adjuster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relating to</w:t>
            </w:r>
            <w:r w:rsidRPr="00867CC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loss of containment and water pollution at pharmaceutical ingredient manufacturer</w:t>
            </w:r>
            <w:r w:rsidR="00493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(settled)</w:t>
            </w:r>
          </w:p>
        </w:tc>
      </w:tr>
      <w:tr w:rsidR="00CC00A4" w14:paraId="335CA0DE" w14:textId="77777777" w:rsidTr="00B174D5">
        <w:tc>
          <w:tcPr>
            <w:tcW w:w="1985" w:type="dxa"/>
          </w:tcPr>
          <w:p w14:paraId="74FE1721" w14:textId="05C3FC5C" w:rsidR="00CC00A4" w:rsidRDefault="00CC00A4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2022</w:t>
            </w:r>
          </w:p>
        </w:tc>
        <w:tc>
          <w:tcPr>
            <w:tcW w:w="7229" w:type="dxa"/>
          </w:tcPr>
          <w:p w14:paraId="52CA3B95" w14:textId="74638021" w:rsidR="00CC00A4" w:rsidRDefault="00CC00A4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Expert Witness Instruction from a party in a </w:t>
            </w:r>
            <w:r w:rsidR="00B174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ontractual dispute over dissolved air flotation design at a UK municipal </w:t>
            </w:r>
            <w:r w:rsidR="00B174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potable water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treatment plant</w:t>
            </w:r>
          </w:p>
        </w:tc>
      </w:tr>
      <w:tr w:rsidR="004D5109" w14:paraId="66C634EE" w14:textId="77777777" w:rsidTr="00B174D5">
        <w:tc>
          <w:tcPr>
            <w:tcW w:w="1985" w:type="dxa"/>
            <w:hideMark/>
          </w:tcPr>
          <w:p w14:paraId="40E50CCB" w14:textId="38D7C27E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</w:t>
            </w:r>
            <w:r w:rsidR="00CC00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-22</w:t>
            </w:r>
          </w:p>
        </w:tc>
        <w:tc>
          <w:tcPr>
            <w:tcW w:w="7229" w:type="dxa"/>
            <w:hideMark/>
          </w:tcPr>
          <w:p w14:paraId="2E289AC5" w14:textId="6552812F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(Italy): Advisory report for an international insurance loss adjuster over damage to the effluent treatment plant at a sugar refinery (</w:t>
            </w:r>
            <w:r w:rsidR="00FD2A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settled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4D5109" w14:paraId="5B170594" w14:textId="77777777" w:rsidTr="00B174D5">
        <w:tc>
          <w:tcPr>
            <w:tcW w:w="1985" w:type="dxa"/>
            <w:hideMark/>
          </w:tcPr>
          <w:p w14:paraId="5CE98598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7229" w:type="dxa"/>
            <w:hideMark/>
          </w:tcPr>
          <w:p w14:paraId="05B71115" w14:textId="204812A8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Witness Instruction from Defendant in contractual dispute over dosing design at a municipal potable water treatment plant (</w:t>
            </w:r>
            <w:r w:rsidR="006765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settled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4D5109" w14:paraId="4F9040B5" w14:textId="77777777" w:rsidTr="00B174D5">
        <w:tc>
          <w:tcPr>
            <w:tcW w:w="1985" w:type="dxa"/>
            <w:hideMark/>
          </w:tcPr>
          <w:p w14:paraId="1D3DEC63" w14:textId="1C76E480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2020-2</w:t>
            </w:r>
            <w:r w:rsidR="00CC00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7229" w:type="dxa"/>
            <w:hideMark/>
          </w:tcPr>
          <w:p w14:paraId="6BA261D6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(Israel): Advisory report for an international insurance loss adjuster over damage to a major municipal pumped storage plant (ongoing)</w:t>
            </w:r>
          </w:p>
        </w:tc>
      </w:tr>
      <w:tr w:rsidR="004D5109" w14:paraId="06C4B9B2" w14:textId="77777777" w:rsidTr="00B174D5">
        <w:tc>
          <w:tcPr>
            <w:tcW w:w="1985" w:type="dxa"/>
            <w:hideMark/>
          </w:tcPr>
          <w:p w14:paraId="6C0F443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229" w:type="dxa"/>
            <w:hideMark/>
          </w:tcPr>
          <w:p w14:paraId="20B97B87" w14:textId="6FF43E9F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Witness Instruction from Defendant in contractual dispute over sewage treatment plant at a residential development (</w:t>
            </w:r>
            <w:r w:rsidR="006765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settled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4D5109" w14:paraId="7BC9036F" w14:textId="77777777" w:rsidTr="00B174D5">
        <w:tc>
          <w:tcPr>
            <w:tcW w:w="1985" w:type="dxa"/>
            <w:hideMark/>
          </w:tcPr>
          <w:p w14:paraId="4414985D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2019-20</w:t>
            </w:r>
          </w:p>
        </w:tc>
        <w:tc>
          <w:tcPr>
            <w:tcW w:w="7229" w:type="dxa"/>
            <w:hideMark/>
          </w:tcPr>
          <w:p w14:paraId="6525F230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Consultancy for international mining company on effluent treatment plant issues (Panama)</w:t>
            </w:r>
          </w:p>
        </w:tc>
      </w:tr>
      <w:tr w:rsidR="004D5109" w14:paraId="709260BD" w14:textId="77777777" w:rsidTr="00B174D5">
        <w:tc>
          <w:tcPr>
            <w:tcW w:w="1985" w:type="dxa"/>
            <w:hideMark/>
          </w:tcPr>
          <w:p w14:paraId="6995BE0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7229" w:type="dxa"/>
            <w:hideMark/>
          </w:tcPr>
          <w:p w14:paraId="30A7BA08" w14:textId="25C37C42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(Israel): Advisory Report for an international insurance claims handler relating to a non-functioning process plant (</w:t>
            </w:r>
            <w:r w:rsidR="006765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settled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2D98942F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CPR Part 35 Expert Witness Instruction from Defendant in contractual dispute to do with design, construction commissioning and troubleshooting of effluent treatment plant (judgment for my client). </w:t>
            </w:r>
          </w:p>
          <w:p w14:paraId="5179894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Overseas Instruction (Ireland): Advisory report relating to the nuisance radius for a housing development adjacent to a sewage treatment plant.</w:t>
            </w:r>
          </w:p>
          <w:p w14:paraId="3E94E141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19 Expert Witness Instruction from catering industry business appealing penalties for breach of consent to discharge to sewer.</w:t>
            </w:r>
          </w:p>
        </w:tc>
      </w:tr>
      <w:tr w:rsidR="004D5109" w14:paraId="0388A2DD" w14:textId="77777777" w:rsidTr="00B174D5">
        <w:tc>
          <w:tcPr>
            <w:tcW w:w="1985" w:type="dxa"/>
            <w:hideMark/>
          </w:tcPr>
          <w:p w14:paraId="3A96229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7229" w:type="dxa"/>
            <w:hideMark/>
          </w:tcPr>
          <w:p w14:paraId="2CBA562C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– for joint defendants, nuisance claim relating to discharge of trade effluent into a treatment plant at a business park (settled)</w:t>
            </w:r>
          </w:p>
        </w:tc>
      </w:tr>
      <w:tr w:rsidR="004D5109" w14:paraId="2B547888" w14:textId="77777777" w:rsidTr="00B174D5">
        <w:tc>
          <w:tcPr>
            <w:tcW w:w="1985" w:type="dxa"/>
            <w:hideMark/>
          </w:tcPr>
          <w:p w14:paraId="2BDCB9B3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7229" w:type="dxa"/>
            <w:hideMark/>
          </w:tcPr>
          <w:p w14:paraId="4DCCD17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Multiple clients: consultancy on malfunctioning effluent treatment plants</w:t>
            </w:r>
          </w:p>
          <w:p w14:paraId="458C4FA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Instruction: contractual dispute relating to design and construction of an industrial effluent treatment plant (settled)</w:t>
            </w:r>
          </w:p>
          <w:p w14:paraId="32D83420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(Russia): contractual dispute relating to design of specialist water treatment equipment (settled)</w:t>
            </w:r>
          </w:p>
        </w:tc>
      </w:tr>
      <w:tr w:rsidR="004D5109" w14:paraId="31EF151A" w14:textId="77777777" w:rsidTr="00B174D5">
        <w:tc>
          <w:tcPr>
            <w:tcW w:w="1985" w:type="dxa"/>
            <w:hideMark/>
          </w:tcPr>
          <w:p w14:paraId="62A0C921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1999-2016</w:t>
            </w:r>
          </w:p>
        </w:tc>
        <w:tc>
          <w:tcPr>
            <w:tcW w:w="7229" w:type="dxa"/>
            <w:hideMark/>
          </w:tcPr>
          <w:p w14:paraId="4D50DB04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Multiple clients: Production of Advisory Expert Witness Reports on problems with industrial and municipal effluent treatment plants</w:t>
            </w:r>
          </w:p>
        </w:tc>
      </w:tr>
      <w:tr w:rsidR="004D5109" w14:paraId="338DC1F5" w14:textId="77777777" w:rsidTr="00B174D5">
        <w:tc>
          <w:tcPr>
            <w:tcW w:w="1985" w:type="dxa"/>
            <w:hideMark/>
          </w:tcPr>
          <w:p w14:paraId="3C09487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7229" w:type="dxa"/>
            <w:hideMark/>
          </w:tcPr>
          <w:p w14:paraId="4B2D8B51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(Various confidential private clients): Design, troubleshooting, modification and commissioning of packaged and custom designed sewage and effluent treatment plants in residential, municipal and industrial settings</w:t>
            </w:r>
          </w:p>
          <w:p w14:paraId="2D4681F6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– contractual dispute relating to design and construction of effluent treatment plant works (settled)</w:t>
            </w:r>
          </w:p>
          <w:p w14:paraId="04F4848D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Overseas Expert Instruction (Austria) – contractual dispute relating to design and construction of produced water treatment plant works (settled)</w:t>
            </w:r>
          </w:p>
        </w:tc>
      </w:tr>
      <w:tr w:rsidR="004D5109" w14:paraId="262976C7" w14:textId="77777777" w:rsidTr="00B174D5">
        <w:tc>
          <w:tcPr>
            <w:tcW w:w="1985" w:type="dxa"/>
            <w:hideMark/>
          </w:tcPr>
          <w:p w14:paraId="60569856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7229" w:type="dxa"/>
            <w:hideMark/>
          </w:tcPr>
          <w:p w14:paraId="751F0E41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Single Joint Expert Instruction – contractual dispute relating to completion of effluent treatment plant works (settled)</w:t>
            </w:r>
          </w:p>
          <w:p w14:paraId="4372CCD9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– hydraulics and drainage dispute, including evidence at County Court (judgement for my client)</w:t>
            </w:r>
          </w:p>
        </w:tc>
      </w:tr>
      <w:tr w:rsidR="004D5109" w14:paraId="594C7B59" w14:textId="77777777" w:rsidTr="00B174D5">
        <w:tc>
          <w:tcPr>
            <w:tcW w:w="1985" w:type="dxa"/>
            <w:hideMark/>
          </w:tcPr>
          <w:p w14:paraId="6B60E9EE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2013-2014</w:t>
            </w:r>
          </w:p>
        </w:tc>
        <w:tc>
          <w:tcPr>
            <w:tcW w:w="7229" w:type="dxa"/>
            <w:hideMark/>
          </w:tcPr>
          <w:p w14:paraId="7FFB3F2D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from confidential client – taxation dispute relating to sewage sludge treatment (settled)</w:t>
            </w:r>
          </w:p>
          <w:p w14:paraId="64B39AF4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– contractual dispute relating to specification/installation of sewage treatment plant (settled)</w:t>
            </w:r>
          </w:p>
        </w:tc>
      </w:tr>
      <w:tr w:rsidR="004D5109" w14:paraId="091D358C" w14:textId="77777777" w:rsidTr="00B174D5">
        <w:tc>
          <w:tcPr>
            <w:tcW w:w="1985" w:type="dxa"/>
            <w:hideMark/>
          </w:tcPr>
          <w:p w14:paraId="6624F712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7229" w:type="dxa"/>
            <w:hideMark/>
          </w:tcPr>
          <w:p w14:paraId="33276367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CPR Part 35 Expert Witness Instruction – dispute relating to the operation of a municipal sewage treatment works (settled)</w:t>
            </w:r>
          </w:p>
        </w:tc>
      </w:tr>
      <w:tr w:rsidR="004D5109" w14:paraId="14B83FE6" w14:textId="77777777" w:rsidTr="00B174D5">
        <w:tc>
          <w:tcPr>
            <w:tcW w:w="1985" w:type="dxa"/>
            <w:hideMark/>
          </w:tcPr>
          <w:p w14:paraId="409BE824" w14:textId="454A4425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hideMark/>
          </w:tcPr>
          <w:p w14:paraId="3825945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University of Nottingham, Super-Critical Water Oxidation Research Group: Outline engineering design of a super-critical water oxidation plant</w:t>
            </w:r>
          </w:p>
        </w:tc>
      </w:tr>
      <w:tr w:rsidR="004D5109" w14:paraId="0D9698AF" w14:textId="77777777" w:rsidTr="00B174D5">
        <w:tc>
          <w:tcPr>
            <w:tcW w:w="1985" w:type="dxa"/>
            <w:hideMark/>
          </w:tcPr>
          <w:p w14:paraId="7B7804D0" w14:textId="4E011E73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hideMark/>
          </w:tcPr>
          <w:p w14:paraId="465D8A7C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EPC Groupe UK: troubleshooting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optimising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effluent treatment at explosives manufacturing plant</w:t>
            </w:r>
          </w:p>
        </w:tc>
      </w:tr>
      <w:tr w:rsidR="004D5109" w14:paraId="2168FD20" w14:textId="77777777" w:rsidTr="00B174D5">
        <w:tc>
          <w:tcPr>
            <w:tcW w:w="1985" w:type="dxa"/>
            <w:hideMark/>
          </w:tcPr>
          <w:p w14:paraId="656C18AF" w14:textId="54BBF421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hideMark/>
          </w:tcPr>
          <w:p w14:paraId="7EFBEAB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PriceWaterhouseCoopers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LLP: Consultancy associated with water treatment industry and equipment suppliers, to inform a merger/acquisition transaction</w:t>
            </w:r>
          </w:p>
        </w:tc>
      </w:tr>
      <w:tr w:rsidR="004D5109" w14:paraId="7F9CAE79" w14:textId="77777777" w:rsidTr="00B174D5">
        <w:tc>
          <w:tcPr>
            <w:tcW w:w="1985" w:type="dxa"/>
            <w:hideMark/>
          </w:tcPr>
          <w:p w14:paraId="53C36B66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7229" w:type="dxa"/>
            <w:hideMark/>
          </w:tcPr>
          <w:p w14:paraId="0AFBF96E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Rawat Dar 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Handasa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Iraqi: Hydraulic design and surge analysis for river intake structure, pumping station and twin 11km pipelines for Ramadi Water Treatment Plant, Iraq</w:t>
            </w:r>
          </w:p>
        </w:tc>
      </w:tr>
      <w:tr w:rsidR="004D5109" w14:paraId="02C6ABE2" w14:textId="77777777" w:rsidTr="00B174D5">
        <w:tc>
          <w:tcPr>
            <w:tcW w:w="1985" w:type="dxa"/>
            <w:hideMark/>
          </w:tcPr>
          <w:p w14:paraId="13905995" w14:textId="4C590792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br w:type="page"/>
            </w:r>
          </w:p>
        </w:tc>
        <w:tc>
          <w:tcPr>
            <w:tcW w:w="7229" w:type="dxa"/>
            <w:hideMark/>
          </w:tcPr>
          <w:p w14:paraId="23C97628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UK Marine &amp; Coastguard Agency via SLR Consulting Ltd: Development of a decision-making tool to be used in the response to coastal oil spills</w:t>
            </w:r>
          </w:p>
        </w:tc>
      </w:tr>
      <w:tr w:rsidR="004D5109" w14:paraId="191A3E13" w14:textId="77777777" w:rsidTr="00B174D5">
        <w:tc>
          <w:tcPr>
            <w:tcW w:w="1985" w:type="dxa"/>
            <w:hideMark/>
          </w:tcPr>
          <w:p w14:paraId="1ABCBE4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2010-2012</w:t>
            </w:r>
          </w:p>
        </w:tc>
        <w:tc>
          <w:tcPr>
            <w:tcW w:w="7229" w:type="dxa"/>
            <w:hideMark/>
          </w:tcPr>
          <w:p w14:paraId="55DCF7C6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Barratt Homes via Wilson Bailey Partnership Ltd: Troubleshooting problems with domestic sewage treatment plant, design and commissioning of solution</w:t>
            </w:r>
          </w:p>
        </w:tc>
      </w:tr>
      <w:tr w:rsidR="004D5109" w14:paraId="7DEE2025" w14:textId="77777777" w:rsidTr="00B174D5">
        <w:tc>
          <w:tcPr>
            <w:tcW w:w="1985" w:type="dxa"/>
            <w:hideMark/>
          </w:tcPr>
          <w:p w14:paraId="1ECC1BE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2009-2010 </w:t>
            </w:r>
          </w:p>
        </w:tc>
        <w:tc>
          <w:tcPr>
            <w:tcW w:w="7229" w:type="dxa"/>
            <w:hideMark/>
          </w:tcPr>
          <w:p w14:paraId="1756F47D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Colorcon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Ltd: Troubleshooting problems with pharmaceutical effluent treatment plant, design and commissioning of solutions</w:t>
            </w:r>
          </w:p>
        </w:tc>
      </w:tr>
      <w:tr w:rsidR="004D5109" w14:paraId="52A66139" w14:textId="77777777" w:rsidTr="00B174D5">
        <w:tc>
          <w:tcPr>
            <w:tcW w:w="1985" w:type="dxa"/>
            <w:hideMark/>
          </w:tcPr>
          <w:p w14:paraId="3354293F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2005-2007</w:t>
            </w:r>
          </w:p>
        </w:tc>
        <w:tc>
          <w:tcPr>
            <w:tcW w:w="7229" w:type="dxa"/>
            <w:hideMark/>
          </w:tcPr>
          <w:p w14:paraId="3EBF2ED4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Kerrygold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Co, Ltd: Technical expert consultancy supporting a planning objection to a sewage pumping station near a cheese distribution depot</w:t>
            </w:r>
          </w:p>
          <w:p w14:paraId="477445CB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Johns Water Services: Design of SWRO and MBR Plants for holiday development in Cape Verde</w:t>
            </w:r>
          </w:p>
        </w:tc>
      </w:tr>
      <w:tr w:rsidR="004D5109" w14:paraId="21089953" w14:textId="77777777" w:rsidTr="00B174D5">
        <w:tc>
          <w:tcPr>
            <w:tcW w:w="1985" w:type="dxa"/>
            <w:hideMark/>
          </w:tcPr>
          <w:p w14:paraId="53ECB7CD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2004</w:t>
            </w:r>
          </w:p>
        </w:tc>
        <w:tc>
          <w:tcPr>
            <w:tcW w:w="7229" w:type="dxa"/>
            <w:hideMark/>
          </w:tcPr>
          <w:p w14:paraId="3B54031F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Campbell’s Grocery Products: Design and procurement of industrial effluent treatment plant for a food production facility</w:t>
            </w:r>
          </w:p>
        </w:tc>
      </w:tr>
      <w:tr w:rsidR="004D5109" w14:paraId="2DDBF2D4" w14:textId="77777777" w:rsidTr="00B174D5">
        <w:tc>
          <w:tcPr>
            <w:tcW w:w="1985" w:type="dxa"/>
            <w:hideMark/>
          </w:tcPr>
          <w:p w14:paraId="61EECF8E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2003-2012</w:t>
            </w:r>
          </w:p>
        </w:tc>
        <w:tc>
          <w:tcPr>
            <w:tcW w:w="7229" w:type="dxa"/>
            <w:hideMark/>
          </w:tcPr>
          <w:p w14:paraId="219D6297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SLR Consulting Ltd: Commissioning of two water treatment plants, troubleshooting of various water and effluent treatment plants, PCB treatment consultancy, Health Safety and Environment surveys</w:t>
            </w:r>
          </w:p>
        </w:tc>
      </w:tr>
      <w:tr w:rsidR="004D5109" w14:paraId="3F9D176D" w14:textId="77777777" w:rsidTr="00B174D5">
        <w:tc>
          <w:tcPr>
            <w:tcW w:w="1985" w:type="dxa"/>
            <w:hideMark/>
          </w:tcPr>
          <w:p w14:paraId="69FF7CCA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2002</w:t>
            </w:r>
          </w:p>
        </w:tc>
        <w:tc>
          <w:tcPr>
            <w:tcW w:w="7229" w:type="dxa"/>
            <w:hideMark/>
          </w:tcPr>
          <w:p w14:paraId="0963400E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Alnwick Castle, UK: Hydraulic and process design of new water features for stately home</w:t>
            </w:r>
          </w:p>
        </w:tc>
      </w:tr>
      <w:tr w:rsidR="004D5109" w14:paraId="3EF867D0" w14:textId="77777777" w:rsidTr="00B174D5">
        <w:tc>
          <w:tcPr>
            <w:tcW w:w="1985" w:type="dxa"/>
            <w:hideMark/>
          </w:tcPr>
          <w:p w14:paraId="08988F3C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2001-2010</w:t>
            </w:r>
          </w:p>
        </w:tc>
        <w:tc>
          <w:tcPr>
            <w:tcW w:w="7229" w:type="dxa"/>
            <w:hideMark/>
          </w:tcPr>
          <w:p w14:paraId="5FBBB415" w14:textId="77777777" w:rsidR="004D5109" w:rsidRDefault="004D5109">
            <w:pPr>
              <w:pStyle w:val="BodySingle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Envirowise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Provision of advice on environmental, water and effluent treatment matters to many hundreds of UK businesses on behalf of the government-funded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Envirowise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150+ site visits. Provided extensive advice on solid waste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minimisation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handling, and landfill waste acceptance criteria.</w:t>
            </w:r>
          </w:p>
        </w:tc>
      </w:tr>
      <w:tr w:rsidR="004D5109" w14:paraId="79EF18B3" w14:textId="77777777" w:rsidTr="00B174D5">
        <w:tc>
          <w:tcPr>
            <w:tcW w:w="1985" w:type="dxa"/>
            <w:hideMark/>
          </w:tcPr>
          <w:p w14:paraId="5AB37CC3" w14:textId="77777777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1996-1999</w:t>
            </w:r>
          </w:p>
        </w:tc>
        <w:tc>
          <w:tcPr>
            <w:tcW w:w="7229" w:type="dxa"/>
            <w:hideMark/>
          </w:tcPr>
          <w:p w14:paraId="32C63BC1" w14:textId="77777777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Astra Zeneca Pharmaceuticals: Design of effluent treatment plant, completion of HAZOP study</w:t>
            </w:r>
          </w:p>
        </w:tc>
      </w:tr>
      <w:tr w:rsidR="004D5109" w14:paraId="0ED5F5AF" w14:textId="77777777" w:rsidTr="00B174D5">
        <w:tc>
          <w:tcPr>
            <w:tcW w:w="2025" w:type="dxa"/>
            <w:hideMark/>
          </w:tcPr>
          <w:p w14:paraId="0D1753C0" w14:textId="77777777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1993-1995</w:t>
            </w:r>
          </w:p>
        </w:tc>
        <w:tc>
          <w:tcPr>
            <w:tcW w:w="7227" w:type="dxa"/>
            <w:hideMark/>
          </w:tcPr>
          <w:p w14:paraId="52F4A7CB" w14:textId="77777777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Jellyholm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Water Treatment Works: Refurbishment of the existing drinking water filter station to two-stage DAF and RGF (£5.4M project) </w:t>
            </w:r>
          </w:p>
        </w:tc>
      </w:tr>
      <w:tr w:rsidR="004D5109" w14:paraId="78376C51" w14:textId="77777777" w:rsidTr="00B174D5">
        <w:tc>
          <w:tcPr>
            <w:tcW w:w="2025" w:type="dxa"/>
            <w:hideMark/>
          </w:tcPr>
          <w:p w14:paraId="413EF35F" w14:textId="6F6B3A76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1991-1993</w:t>
            </w:r>
          </w:p>
        </w:tc>
        <w:tc>
          <w:tcPr>
            <w:tcW w:w="7227" w:type="dxa"/>
            <w:hideMark/>
          </w:tcPr>
          <w:p w14:paraId="270B5137" w14:textId="77777777" w:rsidR="004D5109" w:rsidRDefault="004D5109">
            <w:pPr>
              <w:pStyle w:val="DefaultTex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Design of Riva Sewage Works, Turkey ($1.8Bn project)</w:t>
            </w:r>
          </w:p>
        </w:tc>
      </w:tr>
    </w:tbl>
    <w:p w14:paraId="01434841" w14:textId="77777777" w:rsidR="004D5109" w:rsidRDefault="004D5109" w:rsidP="004D5109">
      <w:pPr>
        <w:rPr>
          <w:rFonts w:ascii="Times New Roman" w:eastAsia="Times New Roman" w:hAnsi="Times New Roman" w:cs="Times New Roman"/>
          <w:sz w:val="28"/>
          <w:szCs w:val="20"/>
          <w:lang w:val="en-GB"/>
        </w:rPr>
      </w:pPr>
    </w:p>
    <w:p w14:paraId="0D379D97" w14:textId="77777777" w:rsidR="004D5109" w:rsidRDefault="004D5109" w:rsidP="004D5109">
      <w:pPr>
        <w:pStyle w:val="BodySingle"/>
        <w:rPr>
          <w:sz w:val="32"/>
        </w:rPr>
      </w:pPr>
      <w:r>
        <w:rPr>
          <w:sz w:val="28"/>
        </w:rPr>
        <w:t>Employment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3"/>
        <w:gridCol w:w="6895"/>
      </w:tblGrid>
      <w:tr w:rsidR="0049352C" w14:paraId="3803504D" w14:textId="77777777" w:rsidTr="004D5109">
        <w:tc>
          <w:tcPr>
            <w:tcW w:w="2127" w:type="dxa"/>
          </w:tcPr>
          <w:p w14:paraId="3D54B176" w14:textId="22E9B6A3" w:rsidR="0049352C" w:rsidRDefault="0049352C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2024-Date</w:t>
            </w:r>
          </w:p>
        </w:tc>
        <w:tc>
          <w:tcPr>
            <w:tcW w:w="7273" w:type="dxa"/>
          </w:tcPr>
          <w:p w14:paraId="514BAC0D" w14:textId="77777777" w:rsidR="0049352C" w:rsidRDefault="0049352C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Independent Expert Engineer Limited</w:t>
            </w:r>
          </w:p>
          <w:p w14:paraId="7528C465" w14:textId="74170C61" w:rsidR="0049352C" w:rsidRPr="0049352C" w:rsidRDefault="0049352C">
            <w:pPr>
              <w:pStyle w:val="BodySingle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</w:pPr>
            <w:r w:rsidRPr="0049352C"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  <w:t>Independent Expert Engineer</w:t>
            </w:r>
          </w:p>
        </w:tc>
      </w:tr>
      <w:tr w:rsidR="004D5109" w14:paraId="4C9B83CB" w14:textId="77777777" w:rsidTr="004D5109">
        <w:tc>
          <w:tcPr>
            <w:tcW w:w="2127" w:type="dxa"/>
            <w:hideMark/>
          </w:tcPr>
          <w:p w14:paraId="29A55145" w14:textId="26B24B25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1999-</w:t>
            </w:r>
            <w:r w:rsidR="0049352C">
              <w:rPr>
                <w:rFonts w:asciiTheme="minorHAnsi" w:hAnsiTheme="minorHAnsi" w:cstheme="minorHAnsi"/>
                <w:sz w:val="22"/>
                <w:lang w:val="en-US"/>
              </w:rPr>
              <w:t>2024</w:t>
            </w:r>
          </w:p>
        </w:tc>
        <w:tc>
          <w:tcPr>
            <w:tcW w:w="7273" w:type="dxa"/>
            <w:hideMark/>
          </w:tcPr>
          <w:p w14:paraId="462B97E0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Expertise Limited</w:t>
            </w:r>
          </w:p>
          <w:p w14:paraId="116E395E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  <w:t>Managing Director &amp; Principal Consultant</w:t>
            </w:r>
          </w:p>
        </w:tc>
      </w:tr>
      <w:tr w:rsidR="004D5109" w14:paraId="2E9DB7AD" w14:textId="77777777" w:rsidTr="004D5109">
        <w:tc>
          <w:tcPr>
            <w:tcW w:w="2127" w:type="dxa"/>
          </w:tcPr>
          <w:p w14:paraId="051BE8E1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2016-2018</w:t>
            </w:r>
          </w:p>
          <w:p w14:paraId="1AC1A2F5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7273" w:type="dxa"/>
            <w:hideMark/>
          </w:tcPr>
          <w:p w14:paraId="119552B8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University of Chester</w:t>
            </w:r>
          </w:p>
          <w:p w14:paraId="28931BC9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t>Royal Academy of Engineering Visiting Professor (part-time)</w:t>
            </w:r>
          </w:p>
        </w:tc>
      </w:tr>
      <w:tr w:rsidR="004D5109" w14:paraId="1C5B257A" w14:textId="77777777" w:rsidTr="004D5109">
        <w:tc>
          <w:tcPr>
            <w:tcW w:w="2127" w:type="dxa"/>
            <w:hideMark/>
          </w:tcPr>
          <w:p w14:paraId="739C3086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2011-2015</w:t>
            </w:r>
          </w:p>
        </w:tc>
        <w:tc>
          <w:tcPr>
            <w:tcW w:w="7273" w:type="dxa"/>
            <w:hideMark/>
          </w:tcPr>
          <w:p w14:paraId="49FE8C3A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University of Nottingham</w:t>
            </w:r>
          </w:p>
          <w:p w14:paraId="4556572D" w14:textId="77777777" w:rsidR="004D5109" w:rsidRDefault="004D5109">
            <w:pPr>
              <w:pStyle w:val="BodySingle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t>Associate Professor of Chemical &amp; Environmental Engineering (part-time)</w:t>
            </w:r>
          </w:p>
        </w:tc>
      </w:tr>
      <w:tr w:rsidR="004D5109" w14:paraId="396D341A" w14:textId="77777777" w:rsidTr="004D5109">
        <w:tc>
          <w:tcPr>
            <w:tcW w:w="2127" w:type="dxa"/>
            <w:hideMark/>
          </w:tcPr>
          <w:p w14:paraId="6FB981C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1996-1999</w:t>
            </w:r>
          </w:p>
        </w:tc>
        <w:tc>
          <w:tcPr>
            <w:tcW w:w="7273" w:type="dxa"/>
            <w:hideMark/>
          </w:tcPr>
          <w:p w14:paraId="3AB47B92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M.P.S.</w:t>
            </w:r>
          </w:p>
          <w:p w14:paraId="38F56695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t>Technical/Commercial Director</w:t>
            </w:r>
          </w:p>
        </w:tc>
      </w:tr>
      <w:tr w:rsidR="004D5109" w14:paraId="78AAB67E" w14:textId="77777777" w:rsidTr="004D5109">
        <w:tc>
          <w:tcPr>
            <w:tcW w:w="2127" w:type="dxa"/>
            <w:hideMark/>
          </w:tcPr>
          <w:p w14:paraId="2D74985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1995-1996</w:t>
            </w:r>
          </w:p>
        </w:tc>
        <w:tc>
          <w:tcPr>
            <w:tcW w:w="7273" w:type="dxa"/>
            <w:hideMark/>
          </w:tcPr>
          <w:p w14:paraId="6D054C12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Birtley Engineering</w:t>
            </w:r>
          </w:p>
          <w:p w14:paraId="7F44422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t>Senior Proposals Engineer</w:t>
            </w:r>
          </w:p>
        </w:tc>
      </w:tr>
      <w:tr w:rsidR="004D5109" w14:paraId="11A80C16" w14:textId="77777777" w:rsidTr="004D5109">
        <w:tc>
          <w:tcPr>
            <w:tcW w:w="2127" w:type="dxa"/>
            <w:hideMark/>
          </w:tcPr>
          <w:p w14:paraId="4828085E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1993-1995</w:t>
            </w:r>
          </w:p>
        </w:tc>
        <w:tc>
          <w:tcPr>
            <w:tcW w:w="7273" w:type="dxa"/>
            <w:hideMark/>
          </w:tcPr>
          <w:p w14:paraId="42D5DD15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Purac (Now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Enpure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218F4DCA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lastRenderedPageBreak/>
              <w:t>Proposals Engineer, Senior Process Engineer</w:t>
            </w:r>
          </w:p>
        </w:tc>
      </w:tr>
      <w:tr w:rsidR="004D5109" w14:paraId="76299A53" w14:textId="77777777" w:rsidTr="004D5109">
        <w:tc>
          <w:tcPr>
            <w:tcW w:w="2127" w:type="dxa"/>
            <w:hideMark/>
          </w:tcPr>
          <w:p w14:paraId="76E46954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lastRenderedPageBreak/>
              <w:t>1991-1993</w:t>
            </w:r>
          </w:p>
        </w:tc>
        <w:tc>
          <w:tcPr>
            <w:tcW w:w="7273" w:type="dxa"/>
            <w:hideMark/>
          </w:tcPr>
          <w:p w14:paraId="33A9A457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Water Engineering (Now WABAG)</w:t>
            </w:r>
          </w:p>
          <w:p w14:paraId="0E127BF2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en-US"/>
              </w:rPr>
              <w:t>Projects Engineer</w:t>
            </w:r>
          </w:p>
        </w:tc>
      </w:tr>
    </w:tbl>
    <w:p w14:paraId="351250D3" w14:textId="77777777" w:rsidR="004D5109" w:rsidRDefault="004D5109" w:rsidP="004D5109">
      <w:pPr>
        <w:pStyle w:val="DefaultText"/>
        <w:rPr>
          <w:sz w:val="28"/>
        </w:rPr>
      </w:pPr>
    </w:p>
    <w:p w14:paraId="1AB36D12" w14:textId="77777777" w:rsidR="004D5109" w:rsidRDefault="004D5109" w:rsidP="004D5109">
      <w:pPr>
        <w:pStyle w:val="DefaultText"/>
        <w:rPr>
          <w:sz w:val="28"/>
        </w:rPr>
      </w:pPr>
      <w:r>
        <w:rPr>
          <w:sz w:val="28"/>
        </w:rPr>
        <w:t>Memberships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74"/>
        <w:gridCol w:w="1544"/>
      </w:tblGrid>
      <w:tr w:rsidR="004D5109" w14:paraId="719FBE1C" w14:textId="77777777" w:rsidTr="0049352C">
        <w:tc>
          <w:tcPr>
            <w:tcW w:w="7374" w:type="dxa"/>
            <w:hideMark/>
          </w:tcPr>
          <w:p w14:paraId="4DA06675" w14:textId="2AC555FB" w:rsidR="004D5109" w:rsidRDefault="0053543C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Fellow</w:t>
            </w:r>
            <w:r w:rsidR="004D5109">
              <w:rPr>
                <w:rFonts w:asciiTheme="minorHAnsi" w:hAnsiTheme="minorHAnsi" w:cstheme="minorHAnsi"/>
                <w:sz w:val="22"/>
                <w:lang w:val="en-US"/>
              </w:rPr>
              <w:t>, CIWEM</w:t>
            </w:r>
          </w:p>
        </w:tc>
        <w:tc>
          <w:tcPr>
            <w:tcW w:w="1544" w:type="dxa"/>
            <w:hideMark/>
          </w:tcPr>
          <w:p w14:paraId="1D877BA9" w14:textId="25D55CDC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</w:t>
            </w:r>
            <w:r w:rsidR="0053543C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1-</w:t>
            </w:r>
          </w:p>
        </w:tc>
      </w:tr>
      <w:tr w:rsidR="004D5109" w14:paraId="19F97743" w14:textId="77777777" w:rsidTr="0049352C">
        <w:tc>
          <w:tcPr>
            <w:tcW w:w="7374" w:type="dxa"/>
            <w:hideMark/>
          </w:tcPr>
          <w:p w14:paraId="184D2F7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Editorial Board Member, Ullmann’s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Encyclopaedia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of Industrial Chemistry</w:t>
            </w:r>
          </w:p>
        </w:tc>
        <w:tc>
          <w:tcPr>
            <w:tcW w:w="1544" w:type="dxa"/>
            <w:hideMark/>
          </w:tcPr>
          <w:p w14:paraId="64227BE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2017-</w:t>
            </w:r>
          </w:p>
        </w:tc>
      </w:tr>
      <w:tr w:rsidR="004D5109" w14:paraId="1BF68C04" w14:textId="77777777" w:rsidTr="0049352C">
        <w:tc>
          <w:tcPr>
            <w:tcW w:w="7374" w:type="dxa"/>
            <w:hideMark/>
          </w:tcPr>
          <w:p w14:paraId="12610D5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Senior Fellow, Higher Education Academy</w:t>
            </w:r>
          </w:p>
        </w:tc>
        <w:tc>
          <w:tcPr>
            <w:tcW w:w="1544" w:type="dxa"/>
            <w:hideMark/>
          </w:tcPr>
          <w:p w14:paraId="3049D82A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2011-</w:t>
            </w:r>
          </w:p>
        </w:tc>
      </w:tr>
    </w:tbl>
    <w:p w14:paraId="5C66373D" w14:textId="77777777" w:rsidR="004D5109" w:rsidRDefault="004D5109" w:rsidP="004D5109">
      <w:pPr>
        <w:pStyle w:val="DefaultText"/>
        <w:rPr>
          <w:sz w:val="28"/>
        </w:rPr>
      </w:pPr>
    </w:p>
    <w:p w14:paraId="58620B6E" w14:textId="77777777" w:rsidR="004D5109" w:rsidRDefault="004D5109" w:rsidP="004D5109">
      <w:pPr>
        <w:pStyle w:val="DefaultText"/>
        <w:rPr>
          <w:sz w:val="28"/>
        </w:rPr>
      </w:pPr>
      <w:r>
        <w:rPr>
          <w:sz w:val="28"/>
        </w:rPr>
        <w:t>Awards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77"/>
        <w:gridCol w:w="1541"/>
      </w:tblGrid>
      <w:tr w:rsidR="004D5109" w14:paraId="00F42A7C" w14:textId="77777777" w:rsidTr="004D5109">
        <w:tc>
          <w:tcPr>
            <w:tcW w:w="7797" w:type="dxa"/>
            <w:hideMark/>
          </w:tcPr>
          <w:p w14:paraId="445D66DC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Royal Academy of Engineering Visiting Professorship</w:t>
            </w:r>
          </w:p>
        </w:tc>
        <w:tc>
          <w:tcPr>
            <w:tcW w:w="1603" w:type="dxa"/>
            <w:hideMark/>
          </w:tcPr>
          <w:p w14:paraId="4E3FCEFA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2017</w:t>
            </w:r>
          </w:p>
        </w:tc>
      </w:tr>
      <w:tr w:rsidR="004D5109" w14:paraId="0AA50ABF" w14:textId="77777777" w:rsidTr="004D5109">
        <w:tc>
          <w:tcPr>
            <w:tcW w:w="7797" w:type="dxa"/>
            <w:hideMark/>
          </w:tcPr>
          <w:p w14:paraId="320E8C7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Lord Dearing Award for Teaching &amp; Learning, University of Nottingham </w:t>
            </w:r>
          </w:p>
        </w:tc>
        <w:tc>
          <w:tcPr>
            <w:tcW w:w="1603" w:type="dxa"/>
            <w:hideMark/>
          </w:tcPr>
          <w:p w14:paraId="732FC4FD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2013</w:t>
            </w:r>
          </w:p>
        </w:tc>
      </w:tr>
      <w:tr w:rsidR="004D5109" w14:paraId="49AF1CBD" w14:textId="77777777" w:rsidTr="004D5109">
        <w:tc>
          <w:tcPr>
            <w:tcW w:w="7797" w:type="dxa"/>
            <w:hideMark/>
          </w:tcPr>
          <w:p w14:paraId="789A01BF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Exxon Mobil Excellence in Teaching Award</w:t>
            </w:r>
          </w:p>
        </w:tc>
        <w:tc>
          <w:tcPr>
            <w:tcW w:w="1603" w:type="dxa"/>
            <w:hideMark/>
          </w:tcPr>
          <w:p w14:paraId="4741FDB6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2012</w:t>
            </w:r>
          </w:p>
        </w:tc>
      </w:tr>
      <w:tr w:rsidR="004D5109" w14:paraId="4A3985EA" w14:textId="77777777" w:rsidTr="004D5109">
        <w:tc>
          <w:tcPr>
            <w:tcW w:w="7797" w:type="dxa"/>
            <w:hideMark/>
          </w:tcPr>
          <w:p w14:paraId="5DEE4E8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Royal Academy of Engineering, Professional Development Award</w:t>
            </w:r>
          </w:p>
        </w:tc>
        <w:tc>
          <w:tcPr>
            <w:tcW w:w="1603" w:type="dxa"/>
            <w:hideMark/>
          </w:tcPr>
          <w:p w14:paraId="1A47A960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2011</w:t>
            </w:r>
          </w:p>
        </w:tc>
      </w:tr>
    </w:tbl>
    <w:p w14:paraId="1BD34B22" w14:textId="77777777" w:rsidR="004D5109" w:rsidRDefault="004D5109" w:rsidP="004D5109">
      <w:pPr>
        <w:pStyle w:val="DefaultText"/>
        <w:rPr>
          <w:sz w:val="28"/>
        </w:rPr>
      </w:pPr>
    </w:p>
    <w:p w14:paraId="13F62B20" w14:textId="77777777" w:rsidR="004D5109" w:rsidRDefault="004D5109" w:rsidP="004D5109">
      <w:pPr>
        <w:pStyle w:val="DefaultText"/>
        <w:rPr>
          <w:sz w:val="28"/>
        </w:rPr>
      </w:pPr>
      <w:r>
        <w:rPr>
          <w:sz w:val="28"/>
        </w:rPr>
        <w:t>Relevant Training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2953"/>
        <w:gridCol w:w="1530"/>
      </w:tblGrid>
      <w:tr w:rsidR="004D5109" w14:paraId="37D909D0" w14:textId="77777777" w:rsidTr="004D5109">
        <w:tc>
          <w:tcPr>
            <w:tcW w:w="4786" w:type="dxa"/>
            <w:hideMark/>
          </w:tcPr>
          <w:p w14:paraId="5CBD34B8" w14:textId="77777777" w:rsidR="00833A58" w:rsidRDefault="00833A58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33A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Excellence in Report Writing Bond Solon 2023</w:t>
            </w:r>
          </w:p>
          <w:p w14:paraId="65E120F2" w14:textId="5B18AD4C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Writing Expert Reports (Advanced)</w:t>
            </w:r>
          </w:p>
        </w:tc>
        <w:tc>
          <w:tcPr>
            <w:tcW w:w="3119" w:type="dxa"/>
            <w:hideMark/>
          </w:tcPr>
          <w:p w14:paraId="45CA2FFF" w14:textId="34633BC1" w:rsidR="00833A58" w:rsidRDefault="00833A58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33A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Bond Solon</w:t>
            </w:r>
          </w:p>
          <w:p w14:paraId="08B9D835" w14:textId="619C5733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Prosols</w:t>
            </w:r>
            <w:proofErr w:type="spellEnd"/>
          </w:p>
        </w:tc>
        <w:tc>
          <w:tcPr>
            <w:tcW w:w="1603" w:type="dxa"/>
            <w:hideMark/>
          </w:tcPr>
          <w:p w14:paraId="13A76240" w14:textId="324F919B" w:rsidR="00833A58" w:rsidRDefault="00833A58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33A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2023</w:t>
            </w:r>
          </w:p>
          <w:p w14:paraId="5CA81922" w14:textId="5DF824C4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2016</w:t>
            </w:r>
          </w:p>
        </w:tc>
      </w:tr>
      <w:tr w:rsidR="004D5109" w14:paraId="0905569F" w14:textId="77777777" w:rsidTr="004D5109">
        <w:tc>
          <w:tcPr>
            <w:tcW w:w="4786" w:type="dxa"/>
            <w:hideMark/>
          </w:tcPr>
          <w:p w14:paraId="1C5A4FF3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Successful Communication at Experts’ Meetings</w:t>
            </w:r>
          </w:p>
        </w:tc>
        <w:tc>
          <w:tcPr>
            <w:tcW w:w="3119" w:type="dxa"/>
            <w:hideMark/>
          </w:tcPr>
          <w:p w14:paraId="4FB9D985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ProSols</w:t>
            </w:r>
            <w:proofErr w:type="spellEnd"/>
          </w:p>
        </w:tc>
        <w:tc>
          <w:tcPr>
            <w:tcW w:w="1603" w:type="dxa"/>
            <w:hideMark/>
          </w:tcPr>
          <w:p w14:paraId="27DA9EA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2014</w:t>
            </w:r>
          </w:p>
        </w:tc>
      </w:tr>
      <w:tr w:rsidR="004D5109" w14:paraId="6F560D2A" w14:textId="77777777" w:rsidTr="004D5109">
        <w:tc>
          <w:tcPr>
            <w:tcW w:w="4786" w:type="dxa"/>
            <w:hideMark/>
          </w:tcPr>
          <w:p w14:paraId="2CD8BF1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Expert Witness Report Writing </w:t>
            </w:r>
          </w:p>
        </w:tc>
        <w:tc>
          <w:tcPr>
            <w:tcW w:w="3119" w:type="dxa"/>
            <w:hideMark/>
          </w:tcPr>
          <w:p w14:paraId="1227D171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Witness Institute</w:t>
            </w:r>
          </w:p>
        </w:tc>
        <w:tc>
          <w:tcPr>
            <w:tcW w:w="1603" w:type="dxa"/>
            <w:hideMark/>
          </w:tcPr>
          <w:p w14:paraId="1C9A87BD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2013</w:t>
            </w:r>
          </w:p>
        </w:tc>
      </w:tr>
      <w:tr w:rsidR="004D5109" w14:paraId="3357349B" w14:textId="77777777" w:rsidTr="004D5109">
        <w:tc>
          <w:tcPr>
            <w:tcW w:w="4786" w:type="dxa"/>
            <w:hideMark/>
          </w:tcPr>
          <w:p w14:paraId="5343E43D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Cross Examination Skills</w:t>
            </w:r>
          </w:p>
        </w:tc>
        <w:tc>
          <w:tcPr>
            <w:tcW w:w="3119" w:type="dxa"/>
            <w:hideMark/>
          </w:tcPr>
          <w:p w14:paraId="6E97EC39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Expert Witness Institute</w:t>
            </w:r>
          </w:p>
        </w:tc>
        <w:tc>
          <w:tcPr>
            <w:tcW w:w="1603" w:type="dxa"/>
            <w:hideMark/>
          </w:tcPr>
          <w:p w14:paraId="554E2E68" w14:textId="77777777" w:rsidR="004D5109" w:rsidRDefault="004D5109">
            <w:pPr>
              <w:pStyle w:val="DefaultTex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2013</w:t>
            </w:r>
          </w:p>
        </w:tc>
      </w:tr>
    </w:tbl>
    <w:p w14:paraId="3389FC92" w14:textId="77777777" w:rsidR="004D5109" w:rsidRDefault="004D5109" w:rsidP="004D510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sectPr w:rsidR="004D5109" w:rsidSect="00021381">
      <w:headerReference w:type="default" r:id="rId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0280" w14:textId="77777777" w:rsidR="005D49B8" w:rsidRDefault="005D49B8" w:rsidP="00B63F20">
      <w:pPr>
        <w:spacing w:after="0" w:line="240" w:lineRule="auto"/>
      </w:pPr>
      <w:r>
        <w:separator/>
      </w:r>
    </w:p>
  </w:endnote>
  <w:endnote w:type="continuationSeparator" w:id="0">
    <w:p w14:paraId="1719C936" w14:textId="77777777" w:rsidR="005D49B8" w:rsidRDefault="005D49B8" w:rsidP="00B6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045A8" w14:textId="77777777" w:rsidR="005D49B8" w:rsidRDefault="005D49B8" w:rsidP="00B63F20">
      <w:pPr>
        <w:spacing w:after="0" w:line="240" w:lineRule="auto"/>
      </w:pPr>
      <w:r>
        <w:separator/>
      </w:r>
    </w:p>
  </w:footnote>
  <w:footnote w:type="continuationSeparator" w:id="0">
    <w:p w14:paraId="132A1E78" w14:textId="77777777" w:rsidR="005D49B8" w:rsidRDefault="005D49B8" w:rsidP="00B6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FC51" w14:textId="6A6A427E" w:rsidR="00B63F20" w:rsidRPr="00EF1896" w:rsidRDefault="00B63F20" w:rsidP="00B63F20">
    <w:pPr>
      <w:pStyle w:val="DefaultText"/>
      <w:rPr>
        <w:color w:val="000000" w:themeColor="text1"/>
        <w:sz w:val="28"/>
        <w:szCs w:val="36"/>
      </w:rPr>
    </w:pPr>
    <w:r w:rsidRPr="00EF1896">
      <w:rPr>
        <w:color w:val="000000" w:themeColor="text1"/>
        <w:sz w:val="28"/>
        <w:szCs w:val="36"/>
      </w:rPr>
      <w:t xml:space="preserve">EUR ING Dr Sean Moran CEng C.WEM </w:t>
    </w:r>
    <w:r w:rsidR="0053543C">
      <w:rPr>
        <w:color w:val="000000" w:themeColor="text1"/>
        <w:sz w:val="28"/>
        <w:szCs w:val="36"/>
      </w:rPr>
      <w:t>F</w:t>
    </w:r>
    <w:r w:rsidRPr="00EF1896">
      <w:rPr>
        <w:color w:val="000000" w:themeColor="text1"/>
        <w:sz w:val="28"/>
        <w:szCs w:val="36"/>
      </w:rPr>
      <w:t>CIWEM PhD MSc BSc</w:t>
    </w:r>
  </w:p>
  <w:p w14:paraId="64039575" w14:textId="77777777" w:rsidR="00B63F20" w:rsidRDefault="00B6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09"/>
    <w:rsid w:val="00003663"/>
    <w:rsid w:val="00021381"/>
    <w:rsid w:val="000C4530"/>
    <w:rsid w:val="00196388"/>
    <w:rsid w:val="001B3498"/>
    <w:rsid w:val="0025768D"/>
    <w:rsid w:val="002E4276"/>
    <w:rsid w:val="003A4450"/>
    <w:rsid w:val="00425498"/>
    <w:rsid w:val="00443DD4"/>
    <w:rsid w:val="0049352C"/>
    <w:rsid w:val="004B2589"/>
    <w:rsid w:val="004D5109"/>
    <w:rsid w:val="0053543C"/>
    <w:rsid w:val="005B56A7"/>
    <w:rsid w:val="005D49B8"/>
    <w:rsid w:val="00630FCB"/>
    <w:rsid w:val="00676550"/>
    <w:rsid w:val="006B6472"/>
    <w:rsid w:val="006C5A35"/>
    <w:rsid w:val="007914F0"/>
    <w:rsid w:val="00833A58"/>
    <w:rsid w:val="008611C2"/>
    <w:rsid w:val="00861A07"/>
    <w:rsid w:val="00867CCF"/>
    <w:rsid w:val="008A422F"/>
    <w:rsid w:val="008B2B7B"/>
    <w:rsid w:val="00A741D8"/>
    <w:rsid w:val="00B174D5"/>
    <w:rsid w:val="00B63F20"/>
    <w:rsid w:val="00CA1376"/>
    <w:rsid w:val="00CC00A4"/>
    <w:rsid w:val="00DE3AC9"/>
    <w:rsid w:val="00DF016D"/>
    <w:rsid w:val="00EF1896"/>
    <w:rsid w:val="00F43289"/>
    <w:rsid w:val="00FD0D61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670E"/>
  <w15:chartTrackingRefBased/>
  <w15:docId w15:val="{D5D71876-75B8-43AD-B364-2E382C8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0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109"/>
    <w:rPr>
      <w:color w:val="0563C1" w:themeColor="hyperlink"/>
      <w:u w:val="single"/>
    </w:rPr>
  </w:style>
  <w:style w:type="paragraph" w:customStyle="1" w:styleId="BodySingle">
    <w:name w:val="Body Single"/>
    <w:basedOn w:val="Normal"/>
    <w:rsid w:val="004D5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rsid w:val="004D5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2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3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8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n@independentexpertengineer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Moran</dc:creator>
  <cp:keywords/>
  <dc:description/>
  <cp:lastModifiedBy>Sean Moran</cp:lastModifiedBy>
  <cp:revision>5</cp:revision>
  <dcterms:created xsi:type="dcterms:W3CDTF">2024-08-09T08:38:00Z</dcterms:created>
  <dcterms:modified xsi:type="dcterms:W3CDTF">2024-08-09T08:46:00Z</dcterms:modified>
</cp:coreProperties>
</file>