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658368" cy="658368"/>
            <wp:docPr id="1" name="Picture 1"/>
            <wp:cNvGraphicFramePr>
              <a:graphicFrameLocks noChangeAspect="1"/>
            </wp:cNvGraphicFramePr>
            <a:graphic>
              <a:graphicData uri="http://schemas.openxmlformats.org/drawingml/2006/picture">
                <pic:pic>
                  <pic:nvPicPr>
                    <pic:cNvPr id="0" name="image1.png"/>
                    <pic:cNvPicPr/>
                  </pic:nvPicPr>
                  <pic:blipFill>
                    <a:blip r:embed="rId11"/>
                    <a:stretch>
                      <a:fillRect/>
                    </a:stretch>
                  </pic:blipFill>
                  <pic:spPr>
                    <a:xfrm>
                      <a:off x="0" y="0"/>
                      <a:ext cx="658368" cy="658368"/>
                    </a:xfrm>
                    <a:prstGeom prst="rect"/>
                  </pic:spPr>
                </pic:pic>
              </a:graphicData>
            </a:graphic>
          </wp:inline>
        </w:drawing>
      </w:r>
    </w:p>
    <w:p>
      <w:pPr>
        <w:pStyle w:val="D4UTitle"/>
        <w:jc w:val="center"/>
      </w:pPr>
      <w:r>
        <w:t>DANCE4U</w:t>
      </w:r>
    </w:p>
    <w:p>
      <w:pPr>
        <w:pStyle w:val="D4USubtitle"/>
        <w:jc w:val="center"/>
      </w:pPr>
      <w:r>
        <w:t>INCLUSIVE ARTS CIC</w:t>
      </w:r>
    </w:p>
    <w:p>
      <w:pPr>
        <w:jc w:val="center"/>
      </w:pPr>
      <w:r>
        <w:rPr>
          <w:b/>
          <w:color w:val="2A2A2A"/>
          <w:sz w:val="40"/>
        </w:rPr>
        <w:t>SAFEGUARDING PROCEDURE</w:t>
      </w:r>
    </w:p>
    <w:p>
      <w:pPr>
        <w:jc w:val="center"/>
      </w:pPr>
      <w:r>
        <w:rPr>
          <w:color w:val="18A9C3"/>
          <w:sz w:val="22"/>
        </w:rPr>
        <w:t>Operational procedure for children, young people and adults at risk</w:t>
      </w:r>
    </w:p>
    <w:p/>
    <w:tbl>
      <w:tblPr>
        <w:tblW w:type="auto" w:w="0"/>
        <w:jc w:val="center"/>
        <w:tblLayout w:type="fixed"/>
        <w:tblLook w:firstColumn="1" w:firstRow="1" w:lastColumn="0" w:lastRow="0" w:noHBand="0" w:noVBand="1" w:val="04A0"/>
      </w:tblPr>
      <w:tblGrid>
        <w:gridCol w:w="5184"/>
        <w:gridCol w:w="5184"/>
      </w:tblGrid>
      <w:tr>
        <w:tc>
          <w:tcPr>
            <w:tcW w:type="dxa" w:w="5184"/>
            <w:shd w:fill="EDE9F7"/>
            <w:tcMar>
              <w:top w:w="80" w:type="dxa"/>
              <w:start w:w="90" w:type="dxa"/>
              <w:bottom w:w="80" w:type="dxa"/>
              <w:end w:w="90" w:type="dxa"/>
            </w:tcMar>
          </w:tcPr>
          <w:p>
            <w:r>
              <w:rPr>
                <w:b/>
                <w:sz w:val="19"/>
              </w:rPr>
              <w:t>Organisation</w:t>
            </w:r>
          </w:p>
        </w:tc>
        <w:tc>
          <w:tcPr>
            <w:tcW w:type="dxa" w:w="5184"/>
            <w:tcMar>
              <w:top w:w="80" w:type="dxa"/>
              <w:start w:w="90" w:type="dxa"/>
              <w:bottom w:w="80" w:type="dxa"/>
              <w:end w:w="90" w:type="dxa"/>
            </w:tcMar>
          </w:tcPr>
          <w:p>
            <w:r>
              <w:rPr>
                <w:sz w:val="19"/>
              </w:rPr>
              <w:t>Dance4U Inclusive Arts CIC</w:t>
            </w:r>
          </w:p>
        </w:tc>
      </w:tr>
      <w:tr>
        <w:tc>
          <w:tcPr>
            <w:tcW w:type="dxa" w:w="5184"/>
            <w:shd w:fill="EDE9F7"/>
            <w:tcMar>
              <w:top w:w="80" w:type="dxa"/>
              <w:start w:w="90" w:type="dxa"/>
              <w:bottom w:w="80" w:type="dxa"/>
              <w:end w:w="90" w:type="dxa"/>
            </w:tcMar>
          </w:tcPr>
          <w:p>
            <w:r>
              <w:rPr>
                <w:b/>
                <w:sz w:val="19"/>
              </w:rPr>
              <w:t>Policy / procedure owner</w:t>
            </w:r>
          </w:p>
        </w:tc>
        <w:tc>
          <w:tcPr>
            <w:tcW w:type="dxa" w:w="5184"/>
            <w:tcMar>
              <w:top w:w="80" w:type="dxa"/>
              <w:start w:w="90" w:type="dxa"/>
              <w:bottom w:w="80" w:type="dxa"/>
              <w:end w:w="90" w:type="dxa"/>
            </w:tcMar>
          </w:tcPr>
          <w:p>
            <w:r>
              <w:rPr>
                <w:sz w:val="19"/>
              </w:rPr>
              <w:t>Emily Bollard, Founder / Director / Designated Safeguarding Lead</w:t>
            </w:r>
          </w:p>
        </w:tc>
      </w:tr>
      <w:tr>
        <w:tc>
          <w:tcPr>
            <w:tcW w:type="dxa" w:w="5184"/>
            <w:shd w:fill="EDE9F7"/>
            <w:tcMar>
              <w:top w:w="80" w:type="dxa"/>
              <w:start w:w="90" w:type="dxa"/>
              <w:bottom w:w="80" w:type="dxa"/>
              <w:end w:w="90" w:type="dxa"/>
            </w:tcMar>
          </w:tcPr>
          <w:p>
            <w:r>
              <w:rPr>
                <w:b/>
                <w:sz w:val="19"/>
              </w:rPr>
              <w:t>Version</w:t>
            </w:r>
          </w:p>
        </w:tc>
        <w:tc>
          <w:tcPr>
            <w:tcW w:type="dxa" w:w="5184"/>
            <w:tcMar>
              <w:top w:w="80" w:type="dxa"/>
              <w:start w:w="90" w:type="dxa"/>
              <w:bottom w:w="80" w:type="dxa"/>
              <w:end w:w="90" w:type="dxa"/>
            </w:tcMar>
          </w:tcPr>
          <w:p>
            <w:r>
              <w:rPr>
                <w:sz w:val="19"/>
              </w:rPr>
              <w:t>1.1</w:t>
            </w:r>
          </w:p>
        </w:tc>
      </w:tr>
      <w:tr>
        <w:tc>
          <w:tcPr>
            <w:tcW w:type="dxa" w:w="5184"/>
            <w:shd w:fill="EDE9F7"/>
            <w:tcMar>
              <w:top w:w="80" w:type="dxa"/>
              <w:start w:w="90" w:type="dxa"/>
              <w:bottom w:w="80" w:type="dxa"/>
              <w:end w:w="90" w:type="dxa"/>
            </w:tcMar>
          </w:tcPr>
          <w:p>
            <w:r>
              <w:rPr>
                <w:b/>
                <w:sz w:val="19"/>
              </w:rPr>
              <w:t>Effective date</w:t>
            </w:r>
          </w:p>
        </w:tc>
        <w:tc>
          <w:tcPr>
            <w:tcW w:type="dxa" w:w="5184"/>
            <w:tcMar>
              <w:top w:w="80" w:type="dxa"/>
              <w:start w:w="90" w:type="dxa"/>
              <w:bottom w:w="80" w:type="dxa"/>
              <w:end w:w="90" w:type="dxa"/>
            </w:tcMar>
          </w:tcPr>
          <w:p>
            <w:r>
              <w:rPr>
                <w:sz w:val="19"/>
              </w:rPr>
              <w:t>September 2026</w:t>
            </w:r>
          </w:p>
        </w:tc>
      </w:tr>
      <w:tr>
        <w:tc>
          <w:tcPr>
            <w:tcW w:type="dxa" w:w="5184"/>
            <w:shd w:fill="EDE9F7"/>
            <w:tcMar>
              <w:top w:w="80" w:type="dxa"/>
              <w:start w:w="90" w:type="dxa"/>
              <w:bottom w:w="80" w:type="dxa"/>
              <w:end w:w="90" w:type="dxa"/>
            </w:tcMar>
          </w:tcPr>
          <w:p>
            <w:r>
              <w:rPr>
                <w:b/>
                <w:sz w:val="19"/>
              </w:rPr>
              <w:t>Review date</w:t>
            </w:r>
          </w:p>
        </w:tc>
        <w:tc>
          <w:tcPr>
            <w:tcW w:type="dxa" w:w="5184"/>
            <w:tcMar>
              <w:top w:w="80" w:type="dxa"/>
              <w:start w:w="90" w:type="dxa"/>
              <w:bottom w:w="80" w:type="dxa"/>
              <w:end w:w="90" w:type="dxa"/>
            </w:tcMar>
          </w:tcPr>
          <w:p>
            <w:r>
              <w:rPr>
                <w:sz w:val="19"/>
              </w:rPr>
              <w:t>September 2027, or sooner following legislative, statutory guidance or organisational change</w:t>
            </w:r>
          </w:p>
        </w:tc>
      </w:tr>
      <w:tr>
        <w:tc>
          <w:tcPr>
            <w:tcW w:type="dxa" w:w="5184"/>
            <w:shd w:fill="EDE9F7"/>
            <w:tcMar>
              <w:top w:w="80" w:type="dxa"/>
              <w:start w:w="90" w:type="dxa"/>
              <w:bottom w:w="80" w:type="dxa"/>
              <w:end w:w="90" w:type="dxa"/>
            </w:tcMar>
          </w:tcPr>
          <w:p>
            <w:r>
              <w:rPr>
                <w:b/>
                <w:sz w:val="19"/>
              </w:rPr>
              <w:t>Applies to</w:t>
            </w:r>
          </w:p>
        </w:tc>
        <w:tc>
          <w:tcPr>
            <w:tcW w:type="dxa" w:w="5184"/>
            <w:tcMar>
              <w:top w:w="80" w:type="dxa"/>
              <w:start w:w="90" w:type="dxa"/>
              <w:bottom w:w="80" w:type="dxa"/>
              <w:end w:w="90" w:type="dxa"/>
            </w:tcMar>
          </w:tcPr>
          <w:p>
            <w:r>
              <w:rPr>
                <w:sz w:val="19"/>
              </w:rPr>
              <w:t>Directors, staff, sessional workers, contractors, volunteers, students/placements and anyone acting on behalf of Dance4U Inclusive Arts CIC</w:t>
            </w:r>
          </w:p>
        </w:tc>
      </w:tr>
    </w:tbl>
    <w:p>
      <w:r>
        <w:br w:type="page"/>
      </w:r>
    </w:p>
    <w:p>
      <w:pPr>
        <w:pStyle w:val="D4UH1"/>
        <w:pBdr>
          <w:bottom w:val="single" w:sz="8" w:space="1" w:color="18A9C3"/>
        </w:pBdr>
      </w:pPr>
      <w:r>
        <w:t>Contents</w:t>
      </w:r>
    </w:p>
    <w:p>
      <w:pPr>
        <w:spacing w:after="30"/>
      </w:pPr>
      <w:r>
        <w:rPr>
          <w:color w:val="18A9C3"/>
        </w:rPr>
        <w:t>1. Purpose</w:t>
      </w:r>
    </w:p>
    <w:p>
      <w:pPr>
        <w:spacing w:after="30"/>
      </w:pPr>
      <w:r>
        <w:rPr>
          <w:color w:val="18A9C3"/>
        </w:rPr>
        <w:t>2. Who This Procedure Applies To</w:t>
      </w:r>
    </w:p>
    <w:p>
      <w:pPr>
        <w:spacing w:after="30"/>
      </w:pPr>
      <w:r>
        <w:rPr>
          <w:color w:val="18A9C3"/>
        </w:rPr>
        <w:t>3. Immediate Responsibilities of Staff and Volunteers</w:t>
      </w:r>
    </w:p>
    <w:p>
      <w:pPr>
        <w:spacing w:after="30"/>
      </w:pPr>
      <w:r>
        <w:rPr>
          <w:color w:val="18A9C3"/>
        </w:rPr>
        <w:t>4. Safeguarding Age Decision</w:t>
      </w:r>
    </w:p>
    <w:p>
      <w:pPr>
        <w:spacing w:after="30"/>
      </w:pPr>
      <w:r>
        <w:rPr>
          <w:color w:val="18A9C3"/>
        </w:rPr>
        <w:t>5. Procedure When a Concern is Identified</w:t>
      </w:r>
    </w:p>
    <w:p>
      <w:pPr>
        <w:spacing w:after="30"/>
      </w:pPr>
      <w:r>
        <w:rPr>
          <w:color w:val="18A9C3"/>
        </w:rPr>
        <w:t>6. If a Child or Adult is at Immediate Risk</w:t>
      </w:r>
    </w:p>
    <w:p>
      <w:pPr>
        <w:spacing w:after="30"/>
      </w:pPr>
      <w:r>
        <w:rPr>
          <w:color w:val="18A9C3"/>
        </w:rPr>
        <w:t>7. Procedure When Receiving a Disclosure - The 4 Rs</w:t>
      </w:r>
    </w:p>
    <w:p>
      <w:pPr>
        <w:spacing w:after="30"/>
      </w:pPr>
      <w:r>
        <w:rPr>
          <w:color w:val="18A9C3"/>
        </w:rPr>
        <w:t>8. Recording Requirements</w:t>
      </w:r>
    </w:p>
    <w:p>
      <w:pPr>
        <w:spacing w:after="30"/>
      </w:pPr>
      <w:r>
        <w:rPr>
          <w:color w:val="18A9C3"/>
        </w:rPr>
        <w:t>9. Child Reporting and Referral Procedure</w:t>
      </w:r>
    </w:p>
    <w:p>
      <w:pPr>
        <w:spacing w:after="30"/>
      </w:pPr>
      <w:r>
        <w:rPr>
          <w:color w:val="18A9C3"/>
        </w:rPr>
        <w:t>10. Early Help and Right Help Right Time</w:t>
      </w:r>
    </w:p>
    <w:p>
      <w:pPr>
        <w:spacing w:after="30"/>
      </w:pPr>
      <w:r>
        <w:rPr>
          <w:color w:val="18A9C3"/>
        </w:rPr>
        <w:t>11. Adult Safeguarding Reporting Procedure</w:t>
      </w:r>
    </w:p>
    <w:p>
      <w:pPr>
        <w:spacing w:after="30"/>
      </w:pPr>
      <w:r>
        <w:rPr>
          <w:color w:val="18A9C3"/>
        </w:rPr>
        <w:t>12. Procedure for the DSL / Director</w:t>
      </w:r>
    </w:p>
    <w:p>
      <w:pPr>
        <w:spacing w:after="30"/>
      </w:pPr>
      <w:r>
        <w:rPr>
          <w:color w:val="18A9C3"/>
        </w:rPr>
        <w:t>13. Allegations Against Staff or Volunteers</w:t>
      </w:r>
    </w:p>
    <w:p>
      <w:pPr>
        <w:spacing w:after="30"/>
      </w:pPr>
      <w:r>
        <w:rPr>
          <w:color w:val="18A9C3"/>
        </w:rPr>
        <w:t>14. Historical Allegations</w:t>
      </w:r>
    </w:p>
    <w:p>
      <w:pPr>
        <w:spacing w:after="30"/>
      </w:pPr>
      <w:r>
        <w:rPr>
          <w:color w:val="18A9C3"/>
        </w:rPr>
        <w:t>15. Child-on-Child Abuse</w:t>
      </w:r>
    </w:p>
    <w:p>
      <w:pPr>
        <w:spacing w:after="30"/>
      </w:pPr>
      <w:r>
        <w:rPr>
          <w:color w:val="18A9C3"/>
        </w:rPr>
        <w:t>16. Disability, Communication and Reasonable Adjustments</w:t>
      </w:r>
    </w:p>
    <w:p>
      <w:pPr>
        <w:spacing w:after="30"/>
      </w:pPr>
      <w:r>
        <w:rPr>
          <w:color w:val="18A9C3"/>
        </w:rPr>
        <w:t>17. Physical Contact, Dance Correction and Personal Care</w:t>
      </w:r>
    </w:p>
    <w:p>
      <w:pPr>
        <w:spacing w:after="30"/>
      </w:pPr>
      <w:r>
        <w:rPr>
          <w:color w:val="18A9C3"/>
        </w:rPr>
        <w:t>18. Online Safeguarding, Photography and Messaging</w:t>
      </w:r>
    </w:p>
    <w:p>
      <w:pPr>
        <w:spacing w:after="30"/>
      </w:pPr>
      <w:r>
        <w:rPr>
          <w:color w:val="18A9C3"/>
        </w:rPr>
        <w:t>19. Confidentiality and Information Sharing</w:t>
      </w:r>
    </w:p>
    <w:p>
      <w:pPr>
        <w:spacing w:after="30"/>
      </w:pPr>
      <w:r>
        <w:rPr>
          <w:color w:val="18A9C3"/>
        </w:rPr>
        <w:t>20. Follow-up and Escalation</w:t>
      </w:r>
    </w:p>
    <w:p>
      <w:pPr>
        <w:spacing w:after="30"/>
      </w:pPr>
      <w:r>
        <w:rPr>
          <w:color w:val="18A9C3"/>
        </w:rPr>
        <w:t>21. Training Requirements</w:t>
      </w:r>
    </w:p>
    <w:p>
      <w:pPr>
        <w:spacing w:after="30"/>
      </w:pPr>
      <w:r>
        <w:rPr>
          <w:color w:val="18A9C3"/>
        </w:rPr>
        <w:t>22. Key Contacts</w:t>
      </w:r>
    </w:p>
    <w:p>
      <w:pPr>
        <w:spacing w:after="30"/>
      </w:pPr>
      <w:r>
        <w:rPr>
          <w:color w:val="18A9C3"/>
        </w:rPr>
        <w:t>23. Compliance and Review</w:t>
      </w:r>
    </w:p>
    <w:p>
      <w:pPr>
        <w:spacing w:after="30"/>
      </w:pPr>
      <w:r>
        <w:rPr>
          <w:color w:val="18A9C3"/>
        </w:rPr>
        <w:t>Appendix A - Quick Safeguarding Flow</w:t>
      </w:r>
    </w:p>
    <w:p>
      <w:pPr>
        <w:spacing w:after="30"/>
      </w:pPr>
      <w:r>
        <w:rPr>
          <w:color w:val="18A9C3"/>
        </w:rPr>
        <w:t>Appendix B - Minimum Safeguarding Record Information</w:t>
      </w:r>
    </w:p>
    <w:p>
      <w:r>
        <w:br w:type="page"/>
      </w:r>
    </w:p>
    <w:p>
      <w:pPr>
        <w:pStyle w:val="D4UH1"/>
        <w:pBdr>
          <w:bottom w:val="single" w:sz="8" w:space="1" w:color="18A9C3"/>
        </w:pBdr>
      </w:pPr>
      <w:r>
        <w:t>1. Purpose</w:t>
      </w:r>
    </w:p>
    <w:p>
      <w:r>
        <w:t>This document sets out the mandatory operational procedures that all Dance4U Inclusive Arts CIC staff and volunteers must follow when responding to safeguarding concerns involving children, young people or adults at risk. It supports the Dance4U Safeguarding Policy and is designed to ensure concerns are recognised, acted on quickly, recorded accurately and referred through the correct safeguarding pathway.</w:t>
      </w:r>
    </w:p>
    <w:p>
      <w:r>
        <w:t>For work in Birmingham, the procedure is implemented alongside Birmingham safeguarding arrangements, including CASS and Right Help Right Time where relevant.</w:t>
      </w:r>
    </w:p>
    <w:tbl>
      <w:tblPr>
        <w:tblW w:type="auto" w:w="0"/>
        <w:jc w:val="center"/>
        <w:tblLook w:firstColumn="1" w:firstRow="1" w:lastColumn="0" w:lastRow="0" w:noHBand="0" w:noVBand="1" w:val="04A0"/>
      </w:tblPr>
      <w:tblGrid>
        <w:gridCol w:w="10368"/>
      </w:tblGrid>
      <w:tr>
        <w:tc>
          <w:tcPr>
            <w:tcW w:type="dxa" w:w="10368"/>
            <w:shd w:fill="FFF3E5"/>
            <w:tcMar>
              <w:top w:w="100" w:type="dxa"/>
              <w:start w:w="120" w:type="dxa"/>
              <w:bottom w:w="100" w:type="dxa"/>
              <w:end w:w="120" w:type="dxa"/>
            </w:tcMar>
          </w:tcPr>
          <w:p>
            <w:pPr>
              <w:spacing w:after="0"/>
            </w:pPr>
            <w:r>
              <w:rPr>
                <w:b/>
                <w:color w:val="EF9121"/>
              </w:rPr>
              <w:t xml:space="preserve">Mandatory: </w:t>
            </w:r>
            <w:r>
              <w:t>Failure to follow these safeguarding procedures may be addressed through disciplinary, contractual or organisational procedures.</w:t>
            </w:r>
          </w:p>
        </w:tc>
      </w:tr>
    </w:tbl>
    <w:p>
      <w:pPr>
        <w:pStyle w:val="D4UH1"/>
        <w:pBdr>
          <w:bottom w:val="single" w:sz="8" w:space="1" w:color="18A9C3"/>
        </w:pBdr>
      </w:pPr>
      <w:r>
        <w:t>2. Who This Procedure Applies To</w:t>
      </w:r>
    </w:p>
    <w:p>
      <w:r>
        <w:t>This procedure applies to all Dance4U directors, employees, self-employed or sessional practitioners, contractors, volunteers, students/placements and anyone acting on behalf of Dance4U. It applies across face-to-face and online activity, schools, colleges, community venues, performances, workshops, one-to-one activity and partner settings.</w:t>
      </w:r>
    </w:p>
    <w:p>
      <w:pPr>
        <w:pStyle w:val="D4UH1"/>
        <w:pBdr>
          <w:bottom w:val="single" w:sz="8" w:space="1" w:color="18A9C3"/>
        </w:pBdr>
      </w:pPr>
      <w:r>
        <w:t>3. Immediate Responsibilities of Staff and Volunteers</w:t>
      </w:r>
    </w:p>
    <w:p>
      <w:r>
        <w:t>All staff and volunteers must:</w:t>
      </w:r>
    </w:p>
    <w:p>
      <w:pPr>
        <w:spacing w:after="30"/>
        <w:ind w:left="288" w:hanging="216"/>
      </w:pPr>
      <w:r>
        <w:rPr>
          <w:b/>
          <w:color w:val="18A9C3"/>
        </w:rPr>
        <w:t xml:space="preserve">• </w:t>
      </w:r>
      <w:r>
        <w:t>report any safeguarding concern immediately to the Designated Safeguarding Lead (DSL) / Director;</w:t>
      </w:r>
    </w:p>
    <w:p>
      <w:pPr>
        <w:spacing w:after="30"/>
        <w:ind w:left="288" w:hanging="216"/>
      </w:pPr>
      <w:r>
        <w:rPr>
          <w:b/>
          <w:color w:val="18A9C3"/>
        </w:rPr>
        <w:t xml:space="preserve">• </w:t>
      </w:r>
      <w:r>
        <w:t>take all concerns, allegations and disclosures seriously;</w:t>
      </w:r>
    </w:p>
    <w:p>
      <w:pPr>
        <w:spacing w:after="30"/>
        <w:ind w:left="288" w:hanging="216"/>
      </w:pPr>
      <w:r>
        <w:rPr>
          <w:b/>
          <w:color w:val="18A9C3"/>
        </w:rPr>
        <w:t xml:space="preserve">• </w:t>
      </w:r>
      <w:r>
        <w:t>record concerns accurately and promptly;</w:t>
      </w:r>
    </w:p>
    <w:p>
      <w:pPr>
        <w:spacing w:after="30"/>
        <w:ind w:left="288" w:hanging="216"/>
      </w:pPr>
      <w:r>
        <w:rPr>
          <w:b/>
          <w:color w:val="18A9C3"/>
        </w:rPr>
        <w:t xml:space="preserve">• </w:t>
      </w:r>
      <w:r>
        <w:t>follow local safeguarding procedures for the area in which they are working.</w:t>
      </w:r>
    </w:p>
    <w:p>
      <w:r>
        <w:t>Staff and volunteers must not:</w:t>
      </w:r>
    </w:p>
    <w:p>
      <w:pPr>
        <w:spacing w:after="30"/>
        <w:ind w:left="288" w:hanging="216"/>
      </w:pPr>
      <w:r>
        <w:rPr>
          <w:b/>
          <w:color w:val="18A9C3"/>
        </w:rPr>
        <w:t xml:space="preserve">• </w:t>
      </w:r>
      <w:r>
        <w:t>investigate concerns;</w:t>
      </w:r>
    </w:p>
    <w:p>
      <w:pPr>
        <w:spacing w:after="30"/>
        <w:ind w:left="288" w:hanging="216"/>
      </w:pPr>
      <w:r>
        <w:rPr>
          <w:b/>
          <w:color w:val="18A9C3"/>
        </w:rPr>
        <w:t xml:space="preserve">• </w:t>
      </w:r>
      <w:r>
        <w:t>delay reporting;</w:t>
      </w:r>
    </w:p>
    <w:p>
      <w:pPr>
        <w:spacing w:after="30"/>
        <w:ind w:left="288" w:hanging="216"/>
      </w:pPr>
      <w:r>
        <w:rPr>
          <w:b/>
          <w:color w:val="18A9C3"/>
        </w:rPr>
        <w:t xml:space="preserve">• </w:t>
      </w:r>
      <w:r>
        <w:t>promise confidentiality or secrecy.</w:t>
      </w:r>
    </w:p>
    <w:p>
      <w:pPr>
        <w:pStyle w:val="D4UH1"/>
        <w:pBdr>
          <w:bottom w:val="single" w:sz="8" w:space="1" w:color="18A9C3"/>
        </w:pBdr>
      </w:pPr>
      <w:r>
        <w:t>4. Safeguarding Age Decision</w:t>
      </w:r>
    </w:p>
    <w:p>
      <w:pPr>
        <w:spacing w:after="30"/>
        <w:ind w:left="288" w:hanging="216"/>
      </w:pPr>
      <w:r>
        <w:rPr>
          <w:b/>
          <w:color w:val="18A9C3"/>
        </w:rPr>
        <w:t xml:space="preserve">• </w:t>
      </w:r>
      <w:r>
        <w:t>Age 0-17: legally a child - child safeguarding procedure applies.</w:t>
      </w:r>
    </w:p>
    <w:p>
      <w:pPr>
        <w:spacing w:after="30"/>
        <w:ind w:left="288" w:hanging="216"/>
      </w:pPr>
      <w:r>
        <w:rPr>
          <w:b/>
          <w:color w:val="18A9C3"/>
        </w:rPr>
        <w:t xml:space="preserve">• </w:t>
      </w:r>
      <w:r>
        <w:t>Age 16-17 in any young adult / disabled adult programme: remains legally a child - child safeguarding procedure applies.</w:t>
      </w:r>
    </w:p>
    <w:p>
      <w:pPr>
        <w:spacing w:after="30"/>
        <w:ind w:left="288" w:hanging="216"/>
      </w:pPr>
      <w:r>
        <w:rPr>
          <w:b/>
          <w:color w:val="18A9C3"/>
        </w:rPr>
        <w:t xml:space="preserve">• </w:t>
      </w:r>
      <w:r>
        <w:t>Age 18+: adult safeguarding procedure applies where the adult meets or may meet the adult-at-risk threshold, or another serious protection concern exists.</w:t>
      </w:r>
    </w:p>
    <w:tbl>
      <w:tblPr>
        <w:tblW w:type="auto" w:w="0"/>
        <w:jc w:val="center"/>
        <w:tblLook w:firstColumn="1" w:firstRow="1" w:lastColumn="0" w:lastRow="0" w:noHBand="0" w:noVBand="1" w:val="04A0"/>
      </w:tblPr>
      <w:tblGrid>
        <w:gridCol w:w="10368"/>
      </w:tblGrid>
      <w:tr>
        <w:tc>
          <w:tcPr>
            <w:tcW w:type="dxa" w:w="10368"/>
            <w:shd w:fill="F3F4F6"/>
            <w:tcMar>
              <w:top w:w="100" w:type="dxa"/>
              <w:start w:w="120" w:type="dxa"/>
              <w:bottom w:w="100" w:type="dxa"/>
              <w:end w:w="120" w:type="dxa"/>
            </w:tcMar>
          </w:tcPr>
          <w:p>
            <w:pPr>
              <w:spacing w:after="0"/>
            </w:pPr>
            <w:r>
              <w:t>Do not assume lack of capacity or adult-at-risk status because of disability, autism, learning disability, neurodivergence, mental health condition or communication difference.</w:t>
            </w:r>
          </w:p>
        </w:tc>
      </w:tr>
    </w:tbl>
    <w:p>
      <w:pPr>
        <w:pStyle w:val="D4UH1"/>
        <w:pBdr>
          <w:bottom w:val="single" w:sz="8" w:space="1" w:color="18A9C3"/>
        </w:pBdr>
      </w:pPr>
      <w:r>
        <w:t>5. Procedure When a Concern is Identified</w:t>
      </w:r>
    </w:p>
    <w:p>
      <w:pPr>
        <w:spacing w:after="40"/>
        <w:ind w:left="403" w:hanging="317"/>
      </w:pPr>
      <w:r>
        <w:rPr>
          <w:b/>
          <w:color w:val="18A9C3"/>
        </w:rPr>
        <w:t xml:space="preserve">1. </w:t>
      </w:r>
      <w:r>
        <w:t>Recognise signs, symptoms, disclosures or other information that may indicate harm. Do not wait for proof.</w:t>
      </w:r>
    </w:p>
    <w:p>
      <w:pPr>
        <w:spacing w:after="40"/>
        <w:ind w:left="403" w:hanging="317"/>
      </w:pPr>
      <w:r>
        <w:rPr>
          <w:b/>
          <w:color w:val="18A9C3"/>
        </w:rPr>
        <w:t xml:space="preserve">2. </w:t>
      </w:r>
      <w:r>
        <w:t>Check immediate safety and urgent medical needs.</w:t>
      </w:r>
    </w:p>
    <w:p>
      <w:pPr>
        <w:spacing w:after="40"/>
        <w:ind w:left="403" w:hanging="317"/>
      </w:pPr>
      <w:r>
        <w:rPr>
          <w:b/>
          <w:color w:val="18A9C3"/>
        </w:rPr>
        <w:t xml:space="preserve">3. </w:t>
      </w:r>
      <w:r>
        <w:t>Report the concern immediately to the DSL / Director.</w:t>
      </w:r>
    </w:p>
    <w:p>
      <w:pPr>
        <w:spacing w:after="40"/>
        <w:ind w:left="403" w:hanging="317"/>
      </w:pPr>
      <w:r>
        <w:rPr>
          <w:b/>
          <w:color w:val="18A9C3"/>
        </w:rPr>
        <w:t xml:space="preserve">4. </w:t>
      </w:r>
      <w:r>
        <w:t>Complete a safeguarding concern record as soon as possible.</w:t>
      </w:r>
    </w:p>
    <w:p>
      <w:pPr>
        <w:spacing w:after="40"/>
        <w:ind w:left="403" w:hanging="317"/>
      </w:pPr>
      <w:r>
        <w:rPr>
          <w:b/>
          <w:color w:val="18A9C3"/>
        </w:rPr>
        <w:t xml:space="preserve">5. </w:t>
      </w:r>
      <w:r>
        <w:t>Record factual information only. Distinguish observations from information reported by others and do not present opinions or assumptions as fact.</w:t>
      </w:r>
    </w:p>
    <w:p>
      <w:pPr>
        <w:spacing w:after="40"/>
        <w:ind w:left="403" w:hanging="317"/>
      </w:pPr>
      <w:r>
        <w:rPr>
          <w:b/>
          <w:color w:val="18A9C3"/>
        </w:rPr>
        <w:t xml:space="preserve">6. </w:t>
      </w:r>
      <w:r>
        <w:t>Preserve potential evidence where relevant.</w:t>
      </w:r>
    </w:p>
    <w:p>
      <w:pPr>
        <w:pStyle w:val="D4UH1"/>
        <w:pBdr>
          <w:bottom w:val="single" w:sz="8" w:space="1" w:color="18A9C3"/>
        </w:pBdr>
      </w:pPr>
      <w:r>
        <w:t>6. If a Child or Adult is at Immediate Risk</w:t>
      </w:r>
    </w:p>
    <w:p>
      <w:pPr>
        <w:spacing w:after="30"/>
        <w:ind w:left="288" w:hanging="216"/>
      </w:pPr>
      <w:r>
        <w:rPr>
          <w:b/>
          <w:color w:val="18A9C3"/>
        </w:rPr>
        <w:t xml:space="preserve">• </w:t>
      </w:r>
      <w:r>
        <w:t>contact emergency services on 999 immediately;</w:t>
      </w:r>
    </w:p>
    <w:p>
      <w:pPr>
        <w:spacing w:after="30"/>
        <w:ind w:left="288" w:hanging="216"/>
      </w:pPr>
      <w:r>
        <w:rPr>
          <w:b/>
          <w:color w:val="18A9C3"/>
        </w:rPr>
        <w:t xml:space="preserve">• </w:t>
      </w:r>
      <w:r>
        <w:t>take reasonable steps to keep the person safe while waiting for emergency services;</w:t>
      </w:r>
    </w:p>
    <w:p>
      <w:pPr>
        <w:spacing w:after="30"/>
        <w:ind w:left="288" w:hanging="216"/>
      </w:pPr>
      <w:r>
        <w:rPr>
          <w:b/>
          <w:color w:val="18A9C3"/>
        </w:rPr>
        <w:t xml:space="preserve">• </w:t>
      </w:r>
      <w:r>
        <w:t>inform the DSL / Director as soon as possible;</w:t>
      </w:r>
    </w:p>
    <w:p>
      <w:pPr>
        <w:spacing w:after="30"/>
        <w:ind w:left="288" w:hanging="216"/>
      </w:pPr>
      <w:r>
        <w:rPr>
          <w:b/>
          <w:color w:val="18A9C3"/>
        </w:rPr>
        <w:t xml:space="preserve">• </w:t>
      </w:r>
      <w:r>
        <w:t>do not delay emergency action while seeking internal permission.</w:t>
      </w:r>
    </w:p>
    <w:p>
      <w:pPr>
        <w:pStyle w:val="D4UH1"/>
        <w:pBdr>
          <w:bottom w:val="single" w:sz="8" w:space="1" w:color="18A9C3"/>
        </w:pBdr>
      </w:pPr>
      <w:r>
        <w:t>7. Procedure When Receiving a Disclosure - The 4 Rs</w:t>
      </w:r>
    </w:p>
    <w:p>
      <w:pPr>
        <w:pStyle w:val="D4UH2"/>
      </w:pPr>
      <w:r>
        <w:t>Receive</w:t>
      </w:r>
    </w:p>
    <w:p>
      <w:pPr>
        <w:spacing w:after="30"/>
        <w:ind w:left="288" w:hanging="216"/>
      </w:pPr>
      <w:r>
        <w:rPr>
          <w:b/>
          <w:color w:val="18A9C3"/>
        </w:rPr>
        <w:t xml:space="preserve">• </w:t>
      </w:r>
      <w:r>
        <w:t>listen carefully without interruption;</w:t>
      </w:r>
    </w:p>
    <w:p>
      <w:pPr>
        <w:spacing w:after="30"/>
        <w:ind w:left="288" w:hanging="216"/>
      </w:pPr>
      <w:r>
        <w:rPr>
          <w:b/>
          <w:color w:val="18A9C3"/>
        </w:rPr>
        <w:t xml:space="preserve">• </w:t>
      </w:r>
      <w:r>
        <w:t>give the person time, including extra processing time or communication support where needed;</w:t>
      </w:r>
    </w:p>
    <w:p>
      <w:pPr>
        <w:spacing w:after="30"/>
        <w:ind w:left="288" w:hanging="216"/>
      </w:pPr>
      <w:r>
        <w:rPr>
          <w:b/>
          <w:color w:val="18A9C3"/>
        </w:rPr>
        <w:t xml:space="preserve">• </w:t>
      </w:r>
      <w:r>
        <w:t>accept what is being communicated and take it seriously.</w:t>
      </w:r>
    </w:p>
    <w:p>
      <w:pPr>
        <w:pStyle w:val="D4UH2"/>
      </w:pPr>
      <w:r>
        <w:t>Reassure</w:t>
      </w:r>
    </w:p>
    <w:p>
      <w:pPr>
        <w:spacing w:after="30"/>
        <w:ind w:left="288" w:hanging="216"/>
      </w:pPr>
      <w:r>
        <w:rPr>
          <w:b/>
          <w:color w:val="18A9C3"/>
        </w:rPr>
        <w:t xml:space="preserve">• </w:t>
      </w:r>
      <w:r>
        <w:t>reassure appropriately that they have done the right thing by speaking;</w:t>
      </w:r>
    </w:p>
    <w:p>
      <w:pPr>
        <w:spacing w:after="30"/>
        <w:ind w:left="288" w:hanging="216"/>
      </w:pPr>
      <w:r>
        <w:rPr>
          <w:b/>
          <w:color w:val="18A9C3"/>
        </w:rPr>
        <w:t xml:space="preserve">• </w:t>
      </w:r>
      <w:r>
        <w:t>do not blame them;</w:t>
      </w:r>
    </w:p>
    <w:p>
      <w:pPr>
        <w:spacing w:after="30"/>
        <w:ind w:left="288" w:hanging="216"/>
      </w:pPr>
      <w:r>
        <w:rPr>
          <w:b/>
          <w:color w:val="18A9C3"/>
        </w:rPr>
        <w:t xml:space="preserve">• </w:t>
      </w:r>
      <w:r>
        <w:t>do not promise confidentiality.</w:t>
      </w:r>
    </w:p>
    <w:p>
      <w:pPr>
        <w:pStyle w:val="D4UH2"/>
      </w:pPr>
      <w:r>
        <w:t>React</w:t>
      </w:r>
    </w:p>
    <w:p>
      <w:pPr>
        <w:spacing w:after="30"/>
        <w:ind w:left="288" w:hanging="216"/>
      </w:pPr>
      <w:r>
        <w:rPr>
          <w:b/>
          <w:color w:val="18A9C3"/>
        </w:rPr>
        <w:t xml:space="preserve">• </w:t>
      </w:r>
      <w:r>
        <w:t>do not ask leading questions;</w:t>
      </w:r>
    </w:p>
    <w:p>
      <w:pPr>
        <w:spacing w:after="30"/>
        <w:ind w:left="288" w:hanging="216"/>
      </w:pPr>
      <w:r>
        <w:rPr>
          <w:b/>
          <w:color w:val="18A9C3"/>
        </w:rPr>
        <w:t xml:space="preserve">• </w:t>
      </w:r>
      <w:r>
        <w:t>do not investigate or interrogate;</w:t>
      </w:r>
    </w:p>
    <w:p>
      <w:pPr>
        <w:spacing w:after="30"/>
        <w:ind w:left="288" w:hanging="216"/>
      </w:pPr>
      <w:r>
        <w:rPr>
          <w:b/>
          <w:color w:val="18A9C3"/>
        </w:rPr>
        <w:t xml:space="preserve">• </w:t>
      </w:r>
      <w:r>
        <w:t>do not confront the person alleged to have caused harm;</w:t>
      </w:r>
    </w:p>
    <w:p>
      <w:pPr>
        <w:spacing w:after="30"/>
        <w:ind w:left="288" w:hanging="216"/>
      </w:pPr>
      <w:r>
        <w:rPr>
          <w:b/>
          <w:color w:val="18A9C3"/>
        </w:rPr>
        <w:t xml:space="preserve">• </w:t>
      </w:r>
      <w:r>
        <w:t>explain in accessible language that the information will be shared with safeguarding staff or others who need to know to help keep people safe.</w:t>
      </w:r>
    </w:p>
    <w:p>
      <w:pPr>
        <w:pStyle w:val="D4UH2"/>
      </w:pPr>
      <w:r>
        <w:t>Record</w:t>
      </w:r>
    </w:p>
    <w:p>
      <w:pPr>
        <w:spacing w:after="30"/>
        <w:ind w:left="288" w:hanging="216"/>
      </w:pPr>
      <w:r>
        <w:rPr>
          <w:b/>
          <w:color w:val="18A9C3"/>
        </w:rPr>
        <w:t xml:space="preserve">• </w:t>
      </w:r>
      <w:r>
        <w:t>make notes as soon as possible;</w:t>
      </w:r>
    </w:p>
    <w:p>
      <w:pPr>
        <w:spacing w:after="30"/>
        <w:ind w:left="288" w:hanging="216"/>
      </w:pPr>
      <w:r>
        <w:rPr>
          <w:b/>
          <w:color w:val="18A9C3"/>
        </w:rPr>
        <w:t xml:space="preserve">• </w:t>
      </w:r>
      <w:r>
        <w:t>record exact words used where important;</w:t>
      </w:r>
    </w:p>
    <w:p>
      <w:pPr>
        <w:spacing w:after="30"/>
        <w:ind w:left="288" w:hanging="216"/>
      </w:pPr>
      <w:r>
        <w:rPr>
          <w:b/>
          <w:color w:val="18A9C3"/>
        </w:rPr>
        <w:t xml:space="preserve">• </w:t>
      </w:r>
      <w:r>
        <w:t>include date, time, location and context;</w:t>
      </w:r>
    </w:p>
    <w:p>
      <w:pPr>
        <w:spacing w:after="30"/>
        <w:ind w:left="288" w:hanging="216"/>
      </w:pPr>
      <w:r>
        <w:rPr>
          <w:b/>
          <w:color w:val="18A9C3"/>
        </w:rPr>
        <w:t xml:space="preserve">• </w:t>
      </w:r>
      <w:r>
        <w:t>record communication support or reasonable adjustments used;</w:t>
      </w:r>
    </w:p>
    <w:p>
      <w:pPr>
        <w:spacing w:after="30"/>
        <w:ind w:left="288" w:hanging="216"/>
      </w:pPr>
      <w:r>
        <w:rPr>
          <w:b/>
          <w:color w:val="18A9C3"/>
        </w:rPr>
        <w:t xml:space="preserve">• </w:t>
      </w:r>
      <w:r>
        <w:t>sign and date all records.</w:t>
      </w:r>
    </w:p>
    <w:p>
      <w:pPr>
        <w:pStyle w:val="D4UH1"/>
        <w:pBdr>
          <w:bottom w:val="single" w:sz="8" w:space="1" w:color="18A9C3"/>
        </w:pBdr>
      </w:pPr>
      <w:r>
        <w:t>8. Recording Requirements</w:t>
      </w:r>
    </w:p>
    <w:p>
      <w:r>
        <w:t>All safeguarding records must:</w:t>
      </w:r>
    </w:p>
    <w:p>
      <w:pPr>
        <w:spacing w:after="30"/>
        <w:ind w:left="288" w:hanging="216"/>
      </w:pPr>
      <w:r>
        <w:rPr>
          <w:b/>
          <w:color w:val="18A9C3"/>
        </w:rPr>
        <w:t xml:space="preserve">• </w:t>
      </w:r>
      <w:r>
        <w:t>be completed as soon as possible after the concern;</w:t>
      </w:r>
    </w:p>
    <w:p>
      <w:pPr>
        <w:spacing w:after="30"/>
        <w:ind w:left="288" w:hanging="216"/>
      </w:pPr>
      <w:r>
        <w:rPr>
          <w:b/>
          <w:color w:val="18A9C3"/>
        </w:rPr>
        <w:t xml:space="preserve">• </w:t>
      </w:r>
      <w:r>
        <w:t>be factual, clear and accurate;</w:t>
      </w:r>
    </w:p>
    <w:p>
      <w:pPr>
        <w:spacing w:after="30"/>
        <w:ind w:left="288" w:hanging="216"/>
      </w:pPr>
      <w:r>
        <w:rPr>
          <w:b/>
          <w:color w:val="18A9C3"/>
        </w:rPr>
        <w:t xml:space="preserve">• </w:t>
      </w:r>
      <w:r>
        <w:t>include date/time, person concerned, details of the concern/disclosure, observations, actions taken and who was informed;</w:t>
      </w:r>
    </w:p>
    <w:p>
      <w:pPr>
        <w:spacing w:after="30"/>
        <w:ind w:left="288" w:hanging="216"/>
      </w:pPr>
      <w:r>
        <w:rPr>
          <w:b/>
          <w:color w:val="18A9C3"/>
        </w:rPr>
        <w:t xml:space="preserve">• </w:t>
      </w:r>
      <w:r>
        <w:t>be signed/identified and dated;</w:t>
      </w:r>
    </w:p>
    <w:p>
      <w:pPr>
        <w:spacing w:after="30"/>
        <w:ind w:left="288" w:hanging="216"/>
      </w:pPr>
      <w:r>
        <w:rPr>
          <w:b/>
          <w:color w:val="18A9C3"/>
        </w:rPr>
        <w:t xml:space="preserve">• </w:t>
      </w:r>
      <w:r>
        <w:t>be stored securely and confidentially, with access limited to authorised people;</w:t>
      </w:r>
    </w:p>
    <w:p>
      <w:pPr>
        <w:spacing w:after="30"/>
        <w:ind w:left="288" w:hanging="216"/>
      </w:pPr>
      <w:r>
        <w:rPr>
          <w:b/>
          <w:color w:val="18A9C3"/>
        </w:rPr>
        <w:t xml:space="preserve">• </w:t>
      </w:r>
      <w:r>
        <w:t>retain original contemporaneous notes. Original notes must not be destroyed or altered; later additions must be clearly dated as additions.</w:t>
      </w:r>
    </w:p>
    <w:p>
      <w:pPr>
        <w:pStyle w:val="D4UH1"/>
        <w:pBdr>
          <w:bottom w:val="single" w:sz="8" w:space="1" w:color="18A9C3"/>
        </w:pBdr>
      </w:pPr>
      <w:r>
        <w:t>9. Child Reporting and Referral Procedure</w:t>
      </w:r>
    </w:p>
    <w:p>
      <w:r>
        <w:t>For anyone under 18, including 16- and 17-year-olds:</w:t>
      </w:r>
    </w:p>
    <w:p>
      <w:pPr>
        <w:spacing w:after="40"/>
        <w:ind w:left="403" w:hanging="317"/>
      </w:pPr>
      <w:r>
        <w:rPr>
          <w:b/>
          <w:color w:val="18A9C3"/>
        </w:rPr>
        <w:t xml:space="preserve">1. </w:t>
      </w:r>
      <w:r>
        <w:t>Make the child safe and obtain emergency help if required.</w:t>
      </w:r>
    </w:p>
    <w:p>
      <w:pPr>
        <w:spacing w:after="40"/>
        <w:ind w:left="403" w:hanging="317"/>
      </w:pPr>
      <w:r>
        <w:rPr>
          <w:b/>
          <w:color w:val="18A9C3"/>
        </w:rPr>
        <w:t xml:space="preserve">2. </w:t>
      </w:r>
      <w:r>
        <w:t>Report immediately to the Dance4U DSL / Director.</w:t>
      </w:r>
    </w:p>
    <w:p>
      <w:pPr>
        <w:spacing w:after="40"/>
        <w:ind w:left="403" w:hanging="317"/>
      </w:pPr>
      <w:r>
        <w:rPr>
          <w:b/>
          <w:color w:val="18A9C3"/>
        </w:rPr>
        <w:t xml:space="preserve">3. </w:t>
      </w:r>
      <w:r>
        <w:t>Record the concern, including the child’s exact words, age, communication needs and reasonable adjustments used.</w:t>
      </w:r>
    </w:p>
    <w:p>
      <w:pPr>
        <w:spacing w:after="40"/>
        <w:ind w:left="403" w:hanging="317"/>
      </w:pPr>
      <w:r>
        <w:rPr>
          <w:b/>
          <w:color w:val="18A9C3"/>
        </w:rPr>
        <w:t xml:space="preserve">4. </w:t>
      </w:r>
      <w:r>
        <w:t>The DSL / Director will assess risk and, for Birmingham-based concerns, contact CASS where referral or advice is required.</w:t>
      </w:r>
    </w:p>
    <w:p>
      <w:pPr>
        <w:spacing w:after="40"/>
        <w:ind w:left="403" w:hanging="317"/>
      </w:pPr>
      <w:r>
        <w:rPr>
          <w:b/>
          <w:color w:val="18A9C3"/>
        </w:rPr>
        <w:t xml:space="preserve">5. </w:t>
      </w:r>
      <w:r>
        <w:t>The DSL / Director will follow guidance provided by Children’s Social Care and use the Right Help Right Time framework where appropriate.</w:t>
      </w:r>
    </w:p>
    <w:p>
      <w:pPr>
        <w:spacing w:after="40"/>
        <w:ind w:left="403" w:hanging="317"/>
      </w:pPr>
      <w:r>
        <w:rPr>
          <w:b/>
          <w:color w:val="18A9C3"/>
        </w:rPr>
        <w:t xml:space="preserve">6. </w:t>
      </w:r>
      <w:r>
        <w:t>Parents/carers should normally be involved where appropriate, but must not be informed if doing so could increase risk, compromise an investigation or place anyone in danger.</w:t>
      </w:r>
    </w:p>
    <w:p>
      <w:pPr>
        <w:spacing w:after="40"/>
        <w:ind w:left="403" w:hanging="317"/>
      </w:pPr>
      <w:r>
        <w:rPr>
          <w:b/>
          <w:color w:val="18A9C3"/>
        </w:rPr>
        <w:t xml:space="preserve">7. </w:t>
      </w:r>
      <w:r>
        <w:t>Ensure all actions, advice, referrals and reference numbers are recorded.</w:t>
      </w:r>
    </w:p>
    <w:tbl>
      <w:tblPr>
        <w:tblW w:type="auto" w:w="0"/>
        <w:jc w:val="center"/>
        <w:tblLook w:firstColumn="1" w:firstRow="1" w:lastColumn="0" w:lastRow="0" w:noHBand="0" w:noVBand="1" w:val="04A0"/>
      </w:tblPr>
      <w:tblGrid>
        <w:gridCol w:w="10368"/>
      </w:tblGrid>
      <w:tr>
        <w:tc>
          <w:tcPr>
            <w:tcW w:type="dxa" w:w="10368"/>
            <w:shd w:fill="FFF3E5"/>
            <w:tcMar>
              <w:top w:w="100" w:type="dxa"/>
              <w:start w:w="120" w:type="dxa"/>
              <w:bottom w:w="100" w:type="dxa"/>
              <w:end w:w="120" w:type="dxa"/>
            </w:tcMar>
          </w:tcPr>
          <w:p>
            <w:pPr>
              <w:spacing w:after="0"/>
            </w:pPr>
            <w:r>
              <w:t>If the DSL / Director is unavailable and a child safeguarding concern cannot safely wait, staff must contact CASS directly, or 999 where there is immediate danger, and then record and report the action taken.</w:t>
            </w:r>
          </w:p>
        </w:tc>
      </w:tr>
    </w:tbl>
    <w:p>
      <w:pPr>
        <w:pStyle w:val="D4UH1"/>
        <w:pBdr>
          <w:bottom w:val="single" w:sz="8" w:space="1" w:color="18A9C3"/>
        </w:pBdr>
      </w:pPr>
      <w:r>
        <w:t>10. Early Help and Right Help Right Time</w:t>
      </w:r>
    </w:p>
    <w:p>
      <w:r>
        <w:t>Where appropriate and where safeguarding thresholds for statutory intervention are not met:</w:t>
      </w:r>
    </w:p>
    <w:p>
      <w:pPr>
        <w:spacing w:after="30"/>
        <w:ind w:left="288" w:hanging="216"/>
      </w:pPr>
      <w:r>
        <w:rPr>
          <w:b/>
          <w:color w:val="18A9C3"/>
        </w:rPr>
        <w:t xml:space="preserve">• </w:t>
      </w:r>
      <w:r>
        <w:t>an Early Help Assessment may be initiated;</w:t>
      </w:r>
    </w:p>
    <w:p>
      <w:pPr>
        <w:spacing w:after="30"/>
        <w:ind w:left="288" w:hanging="216"/>
      </w:pPr>
      <w:r>
        <w:rPr>
          <w:b/>
          <w:color w:val="18A9C3"/>
        </w:rPr>
        <w:t xml:space="preserve">• </w:t>
      </w:r>
      <w:r>
        <w:t>consent should be obtained from the family for Early Help support;</w:t>
      </w:r>
    </w:p>
    <w:p>
      <w:pPr>
        <w:spacing w:after="30"/>
        <w:ind w:left="288" w:hanging="216"/>
      </w:pPr>
      <w:r>
        <w:rPr>
          <w:b/>
          <w:color w:val="18A9C3"/>
        </w:rPr>
        <w:t xml:space="preserve">• </w:t>
      </w:r>
      <w:r>
        <w:t>a lead professional may be identified where multi-agency coordination is required;</w:t>
      </w:r>
    </w:p>
    <w:p>
      <w:pPr>
        <w:spacing w:after="30"/>
        <w:ind w:left="288" w:hanging="216"/>
      </w:pPr>
      <w:r>
        <w:rPr>
          <w:b/>
          <w:color w:val="18A9C3"/>
        </w:rPr>
        <w:t xml:space="preserve">• </w:t>
      </w:r>
      <w:r>
        <w:t>Right Help Right Time may be used to support the level-of-need decision in Birmingham;</w:t>
      </w:r>
    </w:p>
    <w:p>
      <w:pPr>
        <w:spacing w:after="30"/>
        <w:ind w:left="288" w:hanging="216"/>
      </w:pPr>
      <w:r>
        <w:rPr>
          <w:b/>
          <w:color w:val="18A9C3"/>
        </w:rPr>
        <w:t xml:space="preserve">• </w:t>
      </w:r>
      <w:r>
        <w:t>Early Help must not delay or replace an urgent safeguarding referral.</w:t>
      </w:r>
    </w:p>
    <w:p>
      <w:pPr>
        <w:pStyle w:val="D4UH1"/>
        <w:pBdr>
          <w:bottom w:val="single" w:sz="8" w:space="1" w:color="18A9C3"/>
        </w:pBdr>
      </w:pPr>
      <w:r>
        <w:t>11. Adult Safeguarding Reporting Procedure</w:t>
      </w:r>
    </w:p>
    <w:p>
      <w:pPr>
        <w:spacing w:after="40"/>
        <w:ind w:left="403" w:hanging="317"/>
      </w:pPr>
      <w:r>
        <w:rPr>
          <w:b/>
          <w:color w:val="18A9C3"/>
        </w:rPr>
        <w:t xml:space="preserve">1. </w:t>
      </w:r>
      <w:r>
        <w:t>Check immediate safety and obtain emergency assistance if required.</w:t>
      </w:r>
    </w:p>
    <w:p>
      <w:pPr>
        <w:spacing w:after="40"/>
        <w:ind w:left="403" w:hanging="317"/>
      </w:pPr>
      <w:r>
        <w:rPr>
          <w:b/>
          <w:color w:val="18A9C3"/>
        </w:rPr>
        <w:t xml:space="preserve">2. </w:t>
      </w:r>
      <w:r>
        <w:t>Report the concern immediately to the DSL / Director.</w:t>
      </w:r>
    </w:p>
    <w:p>
      <w:pPr>
        <w:spacing w:after="40"/>
        <w:ind w:left="403" w:hanging="317"/>
      </w:pPr>
      <w:r>
        <w:rPr>
          <w:b/>
          <w:color w:val="18A9C3"/>
        </w:rPr>
        <w:t xml:space="preserve">3. </w:t>
      </w:r>
      <w:r>
        <w:t>Record the adult’s wishes, consent to information sharing where relevant, communication needs and any concerns about coercion or mental capacity.</w:t>
      </w:r>
    </w:p>
    <w:p>
      <w:pPr>
        <w:spacing w:after="40"/>
        <w:ind w:left="403" w:hanging="317"/>
      </w:pPr>
      <w:r>
        <w:rPr>
          <w:b/>
          <w:color w:val="18A9C3"/>
        </w:rPr>
        <w:t xml:space="preserve">4. </w:t>
      </w:r>
      <w:r>
        <w:t>The DSL / Director will consider whether the adult has care and support needs, is experiencing or at risk of abuse or neglect, and because of those needs may be unable to protect themselves.</w:t>
      </w:r>
    </w:p>
    <w:p>
      <w:pPr>
        <w:spacing w:after="40"/>
        <w:ind w:left="403" w:hanging="317"/>
      </w:pPr>
      <w:r>
        <w:rPr>
          <w:b/>
          <w:color w:val="18A9C3"/>
        </w:rPr>
        <w:t xml:space="preserve">5. </w:t>
      </w:r>
      <w:r>
        <w:t>Where the adult safeguarding threshold is met, refer to the relevant Adult Social Care / safeguarding service. Other risks may require police, healthcare, domestic abuse, mental health or other specialist services.</w:t>
      </w:r>
    </w:p>
    <w:p>
      <w:pPr>
        <w:spacing w:after="40"/>
        <w:ind w:left="403" w:hanging="317"/>
      </w:pPr>
      <w:r>
        <w:rPr>
          <w:b/>
          <w:color w:val="18A9C3"/>
        </w:rPr>
        <w:t xml:space="preserve">6. </w:t>
      </w:r>
      <w:r>
        <w:t>Record the rationale for sharing or not sharing information and all follow-up actions.</w:t>
      </w:r>
    </w:p>
    <w:p>
      <w:pPr>
        <w:pStyle w:val="D4UH1"/>
        <w:pBdr>
          <w:bottom w:val="single" w:sz="8" w:space="1" w:color="18A9C3"/>
        </w:pBdr>
      </w:pPr>
      <w:r>
        <w:t>12. Procedure for the DSL / Director</w:t>
      </w:r>
    </w:p>
    <w:p>
      <w:r>
        <w:t>Upon receiving a concern, the DSL / Director must:</w:t>
      </w:r>
    </w:p>
    <w:p>
      <w:pPr>
        <w:spacing w:after="40"/>
        <w:ind w:left="403" w:hanging="317"/>
      </w:pPr>
      <w:r>
        <w:rPr>
          <w:b/>
          <w:color w:val="18A9C3"/>
        </w:rPr>
        <w:t xml:space="preserve">1. </w:t>
      </w:r>
      <w:r>
        <w:t>assess risk immediately;</w:t>
      </w:r>
    </w:p>
    <w:p>
      <w:pPr>
        <w:spacing w:after="40"/>
        <w:ind w:left="403" w:hanging="317"/>
      </w:pPr>
      <w:r>
        <w:rPr>
          <w:b/>
          <w:color w:val="18A9C3"/>
        </w:rPr>
        <w:t xml:space="preserve">2. </w:t>
      </w:r>
      <w:r>
        <w:t>ensure the child or adult’s immediate safety;</w:t>
      </w:r>
    </w:p>
    <w:p>
      <w:pPr>
        <w:spacing w:after="40"/>
        <w:ind w:left="403" w:hanging="317"/>
      </w:pPr>
      <w:r>
        <w:rPr>
          <w:b/>
          <w:color w:val="18A9C3"/>
        </w:rPr>
        <w:t xml:space="preserve">3. </w:t>
      </w:r>
      <w:r>
        <w:t>confirm age and apply the correct child or adult pathway;</w:t>
      </w:r>
    </w:p>
    <w:p>
      <w:pPr>
        <w:spacing w:after="40"/>
        <w:ind w:left="403" w:hanging="317"/>
      </w:pPr>
      <w:r>
        <w:rPr>
          <w:b/>
          <w:color w:val="18A9C3"/>
        </w:rPr>
        <w:t xml:space="preserve">4. </w:t>
      </w:r>
      <w:r>
        <w:t>contact Children’s Social Care / CASS, Adult Social Care, police, LADO or other relevant safeguarding professionals as required;</w:t>
      </w:r>
    </w:p>
    <w:p>
      <w:pPr>
        <w:spacing w:after="40"/>
        <w:ind w:left="403" w:hanging="317"/>
      </w:pPr>
      <w:r>
        <w:rPr>
          <w:b/>
          <w:color w:val="18A9C3"/>
        </w:rPr>
        <w:t xml:space="preserve">5. </w:t>
      </w:r>
      <w:r>
        <w:t>follow all advice given by safeguarding professionals;</w:t>
      </w:r>
    </w:p>
    <w:p>
      <w:pPr>
        <w:spacing w:after="40"/>
        <w:ind w:left="403" w:hanging="317"/>
      </w:pPr>
      <w:r>
        <w:rPr>
          <w:b/>
          <w:color w:val="18A9C3"/>
        </w:rPr>
        <w:t xml:space="preserve">6. </w:t>
      </w:r>
      <w:r>
        <w:t>ensure reasonable adjustments and accessible communication are considered;</w:t>
      </w:r>
    </w:p>
    <w:p>
      <w:pPr>
        <w:spacing w:after="40"/>
        <w:ind w:left="403" w:hanging="317"/>
      </w:pPr>
      <w:r>
        <w:rPr>
          <w:b/>
          <w:color w:val="18A9C3"/>
        </w:rPr>
        <w:t xml:space="preserve">7. </w:t>
      </w:r>
      <w:r>
        <w:t>maintain clear, confidential records of decisions, referrals and outcomes;</w:t>
      </w:r>
    </w:p>
    <w:p>
      <w:pPr>
        <w:spacing w:after="40"/>
        <w:ind w:left="403" w:hanging="317"/>
      </w:pPr>
      <w:r>
        <w:rPr>
          <w:b/>
          <w:color w:val="18A9C3"/>
        </w:rPr>
        <w:t xml:space="preserve">8. </w:t>
      </w:r>
      <w:r>
        <w:t>escalate where risk remains significant and a referral has not been accepted.</w:t>
      </w:r>
    </w:p>
    <w:p>
      <w:pPr>
        <w:pStyle w:val="D4UH1"/>
        <w:pBdr>
          <w:bottom w:val="single" w:sz="8" w:space="1" w:color="18A9C3"/>
        </w:pBdr>
      </w:pPr>
      <w:r>
        <w:t>13. Allegations Against Staff or Volunteers</w:t>
      </w:r>
    </w:p>
    <w:p>
      <w:pPr>
        <w:pStyle w:val="D4UH2"/>
      </w:pPr>
      <w:r>
        <w:t>13.1 Reporting an Allegation</w:t>
      </w:r>
    </w:p>
    <w:p>
      <w:pPr>
        <w:spacing w:after="30"/>
        <w:ind w:left="288" w:hanging="216"/>
      </w:pPr>
      <w:r>
        <w:rPr>
          <w:b/>
          <w:color w:val="18A9C3"/>
        </w:rPr>
        <w:t xml:space="preserve">• </w:t>
      </w:r>
      <w:r>
        <w:t>report immediately to the DSL / Director;</w:t>
      </w:r>
    </w:p>
    <w:p>
      <w:pPr>
        <w:spacing w:after="30"/>
        <w:ind w:left="288" w:hanging="216"/>
      </w:pPr>
      <w:r>
        <w:rPr>
          <w:b/>
          <w:color w:val="18A9C3"/>
        </w:rPr>
        <w:t xml:space="preserve">• </w:t>
      </w:r>
      <w:r>
        <w:t>if the allegation concerns the DSL, report to another director or appropriate senior person who is not implicated;</w:t>
      </w:r>
    </w:p>
    <w:p>
      <w:pPr>
        <w:spacing w:after="30"/>
        <w:ind w:left="288" w:hanging="216"/>
      </w:pPr>
      <w:r>
        <w:rPr>
          <w:b/>
          <w:color w:val="18A9C3"/>
        </w:rPr>
        <w:t xml:space="preserve">• </w:t>
      </w:r>
      <w:r>
        <w:t>do not confront the individual or conduct an internal investigation before safeguarding advice is obtained;</w:t>
      </w:r>
    </w:p>
    <w:p>
      <w:pPr>
        <w:spacing w:after="30"/>
        <w:ind w:left="288" w:hanging="216"/>
      </w:pPr>
      <w:r>
        <w:rPr>
          <w:b/>
          <w:color w:val="18A9C3"/>
        </w:rPr>
        <w:t xml:space="preserve">• </w:t>
      </w:r>
      <w:r>
        <w:t>maintain confidentiality on a need-to-know basis;</w:t>
      </w:r>
    </w:p>
    <w:p>
      <w:pPr>
        <w:spacing w:after="30"/>
        <w:ind w:left="288" w:hanging="216"/>
      </w:pPr>
      <w:r>
        <w:rPr>
          <w:b/>
          <w:color w:val="18A9C3"/>
        </w:rPr>
        <w:t xml:space="preserve">• </w:t>
      </w:r>
      <w:r>
        <w:t>take immediate proportionate action to manage risk where necessary.</w:t>
      </w:r>
    </w:p>
    <w:p>
      <w:pPr>
        <w:pStyle w:val="D4UH2"/>
      </w:pPr>
      <w:r>
        <w:t>13.2 Action by the DSL / Director</w:t>
      </w:r>
    </w:p>
    <w:p>
      <w:pPr>
        <w:spacing w:after="30"/>
        <w:ind w:left="288" w:hanging="216"/>
      </w:pPr>
      <w:r>
        <w:rPr>
          <w:b/>
          <w:color w:val="18A9C3"/>
        </w:rPr>
        <w:t xml:space="preserve">• </w:t>
      </w:r>
      <w:r>
        <w:t>for allegations concerning children, contact or consult the appropriate LADO route without delay and follow instructions;</w:t>
      </w:r>
    </w:p>
    <w:p>
      <w:pPr>
        <w:spacing w:after="30"/>
        <w:ind w:left="288" w:hanging="216"/>
      </w:pPr>
      <w:r>
        <w:rPr>
          <w:b/>
          <w:color w:val="18A9C3"/>
        </w:rPr>
        <w:t xml:space="preserve">• </w:t>
      </w:r>
      <w:r>
        <w:t>contact Children’s Social Care and/or police where required;</w:t>
      </w:r>
    </w:p>
    <w:p>
      <w:pPr>
        <w:spacing w:after="30"/>
        <w:ind w:left="288" w:hanging="216"/>
      </w:pPr>
      <w:r>
        <w:rPr>
          <w:b/>
          <w:color w:val="18A9C3"/>
        </w:rPr>
        <w:t xml:space="preserve">• </w:t>
      </w:r>
      <w:r>
        <w:t>for adults at risk, consider Adult Social Care, police, commissioner or other relevant referral;</w:t>
      </w:r>
    </w:p>
    <w:p>
      <w:pPr>
        <w:spacing w:after="30"/>
        <w:ind w:left="288" w:hanging="216"/>
      </w:pPr>
      <w:r>
        <w:rPr>
          <w:b/>
          <w:color w:val="18A9C3"/>
        </w:rPr>
        <w:t xml:space="preserve">• </w:t>
      </w:r>
      <w:r>
        <w:t>ensure no internal investigation takes place where this could compromise safeguarding advice or statutory processes;</w:t>
      </w:r>
    </w:p>
    <w:p>
      <w:pPr>
        <w:spacing w:after="30"/>
        <w:ind w:left="288" w:hanging="216"/>
      </w:pPr>
      <w:r>
        <w:rPr>
          <w:b/>
          <w:color w:val="18A9C3"/>
        </w:rPr>
        <w:t xml:space="preserve">• </w:t>
      </w:r>
      <w:r>
        <w:t>consider disciplinary, contractual and DBS referral requirements where legal criteria are met.</w:t>
      </w:r>
    </w:p>
    <w:p>
      <w:pPr>
        <w:pStyle w:val="D4UH1"/>
        <w:pBdr>
          <w:bottom w:val="single" w:sz="8" w:space="1" w:color="18A9C3"/>
        </w:pBdr>
      </w:pPr>
      <w:r>
        <w:t>14. Historical Allegations</w:t>
      </w:r>
    </w:p>
    <w:p>
      <w:pPr>
        <w:spacing w:after="30"/>
        <w:ind w:left="288" w:hanging="216"/>
      </w:pPr>
      <w:r>
        <w:rPr>
          <w:b/>
          <w:color w:val="18A9C3"/>
        </w:rPr>
        <w:t xml:space="preserve">• </w:t>
      </w:r>
      <w:r>
        <w:t>follow the same reporting and recording procedure as for current allegations;</w:t>
      </w:r>
    </w:p>
    <w:p>
      <w:pPr>
        <w:spacing w:after="30"/>
        <w:ind w:left="288" w:hanging="216"/>
      </w:pPr>
      <w:r>
        <w:rPr>
          <w:b/>
          <w:color w:val="18A9C3"/>
        </w:rPr>
        <w:t xml:space="preserve">• </w:t>
      </w:r>
      <w:r>
        <w:t>refer to Children’s Social Care, Adult Social Care, police or another appropriate agency according to the person affected and circumstances;</w:t>
      </w:r>
    </w:p>
    <w:p>
      <w:pPr>
        <w:spacing w:after="30"/>
        <w:ind w:left="288" w:hanging="216"/>
      </w:pPr>
      <w:r>
        <w:rPr>
          <w:b/>
          <w:color w:val="18A9C3"/>
        </w:rPr>
        <w:t xml:space="preserve">• </w:t>
      </w:r>
      <w:r>
        <w:t>establish, where relevant, whether the person alleged to have caused harm currently has access to children or adults at risk;</w:t>
      </w:r>
    </w:p>
    <w:p>
      <w:pPr>
        <w:spacing w:after="30"/>
        <w:ind w:left="288" w:hanging="216"/>
      </w:pPr>
      <w:r>
        <w:rPr>
          <w:b/>
          <w:color w:val="18A9C3"/>
        </w:rPr>
        <w:t xml:space="preserve">• </w:t>
      </w:r>
      <w:r>
        <w:t>do not dismiss an allegation because of the time that has passed.</w:t>
      </w:r>
    </w:p>
    <w:p>
      <w:pPr>
        <w:pStyle w:val="D4UH1"/>
        <w:pBdr>
          <w:bottom w:val="single" w:sz="8" w:space="1" w:color="18A9C3"/>
        </w:pBdr>
      </w:pPr>
      <w:r>
        <w:t>15. Child-on-Child Abuse</w:t>
      </w:r>
    </w:p>
    <w:p>
      <w:pPr>
        <w:spacing w:after="30"/>
        <w:ind w:left="288" w:hanging="216"/>
      </w:pPr>
      <w:r>
        <w:rPr>
          <w:b/>
          <w:color w:val="18A9C3"/>
        </w:rPr>
        <w:t xml:space="preserve">• </w:t>
      </w:r>
      <w:r>
        <w:t>treat the concern as a safeguarding issue;</w:t>
      </w:r>
    </w:p>
    <w:p>
      <w:pPr>
        <w:spacing w:after="30"/>
        <w:ind w:left="288" w:hanging="216"/>
      </w:pPr>
      <w:r>
        <w:rPr>
          <w:b/>
          <w:color w:val="18A9C3"/>
        </w:rPr>
        <w:t xml:space="preserve">• </w:t>
      </w:r>
      <w:r>
        <w:t>report immediately to the DSL;</w:t>
      </w:r>
    </w:p>
    <w:p>
      <w:pPr>
        <w:spacing w:after="30"/>
        <w:ind w:left="288" w:hanging="216"/>
      </w:pPr>
      <w:r>
        <w:rPr>
          <w:b/>
          <w:color w:val="18A9C3"/>
        </w:rPr>
        <w:t xml:space="preserve">• </w:t>
      </w:r>
      <w:r>
        <w:t>follow the same reporting and recording procedures;</w:t>
      </w:r>
    </w:p>
    <w:p>
      <w:pPr>
        <w:spacing w:after="30"/>
        <w:ind w:left="288" w:hanging="216"/>
      </w:pPr>
      <w:r>
        <w:rPr>
          <w:b/>
          <w:color w:val="18A9C3"/>
        </w:rPr>
        <w:t xml:space="preserve">• </w:t>
      </w:r>
      <w:r>
        <w:t>consider the safety and support needs of all children involved;</w:t>
      </w:r>
    </w:p>
    <w:p>
      <w:pPr>
        <w:spacing w:after="30"/>
        <w:ind w:left="288" w:hanging="216"/>
      </w:pPr>
      <w:r>
        <w:rPr>
          <w:b/>
          <w:color w:val="18A9C3"/>
        </w:rPr>
        <w:t xml:space="preserve">• </w:t>
      </w:r>
      <w:r>
        <w:t>do not dismiss harmful behaviour as banter, friendship conflict or normal behaviour where there may be abuse, exploitation or significant harm.</w:t>
      </w:r>
    </w:p>
    <w:p>
      <w:pPr>
        <w:pStyle w:val="D4UH1"/>
        <w:pBdr>
          <w:bottom w:val="single" w:sz="8" w:space="1" w:color="18A9C3"/>
        </w:pBdr>
      </w:pPr>
      <w:r>
        <w:t>16. Disability, Communication and Reasonable Adjustments</w:t>
      </w:r>
    </w:p>
    <w:p>
      <w:pPr>
        <w:spacing w:after="30"/>
        <w:ind w:left="288" w:hanging="216"/>
      </w:pPr>
      <w:r>
        <w:rPr>
          <w:b/>
          <w:color w:val="18A9C3"/>
        </w:rPr>
        <w:t xml:space="preserve">• </w:t>
      </w:r>
      <w:r>
        <w:t>ask how the person prefers to communicate;</w:t>
      </w:r>
    </w:p>
    <w:p>
      <w:pPr>
        <w:spacing w:after="30"/>
        <w:ind w:left="288" w:hanging="216"/>
      </w:pPr>
      <w:r>
        <w:rPr>
          <w:b/>
          <w:color w:val="18A9C3"/>
        </w:rPr>
        <w:t xml:space="preserve">• </w:t>
      </w:r>
      <w:r>
        <w:t>use plain English, Easy Read, visual/picture supports, AAC, signing, interpreters, advocates or other formats appropriate to individual learning needs;</w:t>
      </w:r>
    </w:p>
    <w:p>
      <w:pPr>
        <w:spacing w:after="30"/>
        <w:ind w:left="288" w:hanging="216"/>
      </w:pPr>
      <w:r>
        <w:rPr>
          <w:b/>
          <w:color w:val="18A9C3"/>
        </w:rPr>
        <w:t xml:space="preserve">• </w:t>
      </w:r>
      <w:r>
        <w:t>allow extra processing time and do not rush;</w:t>
      </w:r>
    </w:p>
    <w:p>
      <w:pPr>
        <w:spacing w:after="30"/>
        <w:ind w:left="288" w:hanging="216"/>
      </w:pPr>
      <w:r>
        <w:rPr>
          <w:b/>
          <w:color w:val="18A9C3"/>
        </w:rPr>
        <w:t xml:space="preserve">• </w:t>
      </w:r>
      <w:r>
        <w:t>seek the participant’s own views wherever possible and safe, even where a parent/carer/support worker assists;</w:t>
      </w:r>
    </w:p>
    <w:p>
      <w:pPr>
        <w:spacing w:after="30"/>
        <w:ind w:left="288" w:hanging="216"/>
      </w:pPr>
      <w:r>
        <w:rPr>
          <w:b/>
          <w:color w:val="18A9C3"/>
        </w:rPr>
        <w:t xml:space="preserve">• </w:t>
      </w:r>
      <w:r>
        <w:t>record communication needs, support used and whether communication barriers affected the safeguarding response.</w:t>
      </w:r>
    </w:p>
    <w:p>
      <w:pPr>
        <w:pStyle w:val="D4UH1"/>
        <w:pBdr>
          <w:bottom w:val="single" w:sz="8" w:space="1" w:color="18A9C3"/>
        </w:pBdr>
      </w:pPr>
      <w:r>
        <w:t>17. Physical Contact, Dance Correction and Personal Care</w:t>
      </w:r>
    </w:p>
    <w:p>
      <w:pPr>
        <w:spacing w:after="30"/>
        <w:ind w:left="288" w:hanging="216"/>
      </w:pPr>
      <w:r>
        <w:rPr>
          <w:b/>
          <w:color w:val="18A9C3"/>
        </w:rPr>
        <w:t xml:space="preserve">• </w:t>
      </w:r>
      <w:r>
        <w:t>explain the reason for physical contact wherever possible and seek consent in a way the participant can understand;</w:t>
      </w:r>
    </w:p>
    <w:p>
      <w:pPr>
        <w:spacing w:after="30"/>
        <w:ind w:left="288" w:hanging="216"/>
      </w:pPr>
      <w:r>
        <w:rPr>
          <w:b/>
          <w:color w:val="18A9C3"/>
        </w:rPr>
        <w:t xml:space="preserve">• </w:t>
      </w:r>
      <w:r>
        <w:t>use only necessary, appropriate and proportionate contact related to the activity;</w:t>
      </w:r>
    </w:p>
    <w:p>
      <w:pPr>
        <w:spacing w:after="30"/>
        <w:ind w:left="288" w:hanging="216"/>
      </w:pPr>
      <w:r>
        <w:rPr>
          <w:b/>
          <w:color w:val="18A9C3"/>
        </w:rPr>
        <w:t xml:space="preserve">• </w:t>
      </w:r>
      <w:r>
        <w:t>stop if the participant appears uncomfortable, withdraws consent or communicates distress;</w:t>
      </w:r>
    </w:p>
    <w:p>
      <w:pPr>
        <w:spacing w:after="30"/>
        <w:ind w:left="288" w:hanging="216"/>
      </w:pPr>
      <w:r>
        <w:rPr>
          <w:b/>
          <w:color w:val="18A9C3"/>
        </w:rPr>
        <w:t xml:space="preserve">• </w:t>
      </w:r>
      <w:r>
        <w:t>avoid unnecessary isolated one-to-one situations;</w:t>
      </w:r>
    </w:p>
    <w:p>
      <w:pPr>
        <w:spacing w:after="30"/>
        <w:ind w:left="288" w:hanging="216"/>
      </w:pPr>
      <w:r>
        <w:rPr>
          <w:b/>
          <w:color w:val="18A9C3"/>
        </w:rPr>
        <w:t xml:space="preserve">• </w:t>
      </w:r>
      <w:r>
        <w:t>do not assume responsibility for intimate/personal care unless expressly agreed, risk assessed and supported by suitable consent, staffing and training;</w:t>
      </w:r>
    </w:p>
    <w:p>
      <w:pPr>
        <w:spacing w:after="30"/>
        <w:ind w:left="288" w:hanging="216"/>
      </w:pPr>
      <w:r>
        <w:rPr>
          <w:b/>
          <w:color w:val="18A9C3"/>
        </w:rPr>
        <w:t xml:space="preserve">• </w:t>
      </w:r>
      <w:r>
        <w:t>report immediately any safeguarding concern arising during physical support or personal care.</w:t>
      </w:r>
    </w:p>
    <w:p>
      <w:pPr>
        <w:pStyle w:val="D4UH1"/>
        <w:pBdr>
          <w:bottom w:val="single" w:sz="8" w:space="1" w:color="18A9C3"/>
        </w:pBdr>
      </w:pPr>
      <w:r>
        <w:t>18. Online Safeguarding, Photography and Messaging</w:t>
      </w:r>
    </w:p>
    <w:p>
      <w:pPr>
        <w:spacing w:after="30"/>
        <w:ind w:left="288" w:hanging="216"/>
      </w:pPr>
      <w:r>
        <w:rPr>
          <w:b/>
          <w:color w:val="18A9C3"/>
        </w:rPr>
        <w:t xml:space="preserve">• </w:t>
      </w:r>
      <w:r>
        <w:t>use approved platforms and professional communication channels;</w:t>
      </w:r>
    </w:p>
    <w:p>
      <w:pPr>
        <w:spacing w:after="30"/>
        <w:ind w:left="288" w:hanging="216"/>
      </w:pPr>
      <w:r>
        <w:rPr>
          <w:b/>
          <w:color w:val="18A9C3"/>
        </w:rPr>
        <w:t xml:space="preserve">• </w:t>
      </w:r>
      <w:r>
        <w:t>do not use personal accounts, private messaging or disappearing-message functions in ways that blur professional boundaries;</w:t>
      </w:r>
    </w:p>
    <w:p>
      <w:pPr>
        <w:spacing w:after="30"/>
        <w:ind w:left="288" w:hanging="216"/>
      </w:pPr>
      <w:r>
        <w:rPr>
          <w:b/>
          <w:color w:val="18A9C3"/>
        </w:rPr>
        <w:t xml:space="preserve">• </w:t>
      </w:r>
      <w:r>
        <w:t>do not record online sessions unless authorised and consent requirements are met;</w:t>
      </w:r>
    </w:p>
    <w:p>
      <w:pPr>
        <w:spacing w:after="30"/>
        <w:ind w:left="288" w:hanging="216"/>
      </w:pPr>
      <w:r>
        <w:rPr>
          <w:b/>
          <w:color w:val="18A9C3"/>
        </w:rPr>
        <w:t xml:space="preserve">• </w:t>
      </w:r>
      <w:r>
        <w:t>follow consent procedures for photography and filming;</w:t>
      </w:r>
    </w:p>
    <w:p>
      <w:pPr>
        <w:spacing w:after="30"/>
        <w:ind w:left="288" w:hanging="216"/>
      </w:pPr>
      <w:r>
        <w:rPr>
          <w:b/>
          <w:color w:val="18A9C3"/>
        </w:rPr>
        <w:t xml:space="preserve">• </w:t>
      </w:r>
      <w:r>
        <w:t>respond to online safeguarding concerns using the same immediate reporting and recording procedure as face-to-face concerns.</w:t>
      </w:r>
    </w:p>
    <w:p>
      <w:pPr>
        <w:pStyle w:val="D4UH1"/>
        <w:pBdr>
          <w:bottom w:val="single" w:sz="8" w:space="1" w:color="18A9C3"/>
        </w:pBdr>
      </w:pPr>
      <w:r>
        <w:t>19. Confidentiality and Information Sharing</w:t>
      </w:r>
    </w:p>
    <w:p>
      <w:pPr>
        <w:spacing w:after="30"/>
        <w:ind w:left="288" w:hanging="216"/>
      </w:pPr>
      <w:r>
        <w:rPr>
          <w:b/>
          <w:color w:val="18A9C3"/>
        </w:rPr>
        <w:t xml:space="preserve">• </w:t>
      </w:r>
      <w:r>
        <w:t>share information only with relevant safeguarding professionals and others who need it to protect people or meet legal duties;</w:t>
      </w:r>
    </w:p>
    <w:p>
      <w:pPr>
        <w:spacing w:after="30"/>
        <w:ind w:left="288" w:hanging="216"/>
      </w:pPr>
      <w:r>
        <w:rPr>
          <w:b/>
          <w:color w:val="18A9C3"/>
        </w:rPr>
        <w:t xml:space="preserve">• </w:t>
      </w:r>
      <w:r>
        <w:t>do not discuss safeguarding concerns casually or outside safeguarding procedures;</w:t>
      </w:r>
    </w:p>
    <w:p>
      <w:pPr>
        <w:spacing w:after="30"/>
        <w:ind w:left="288" w:hanging="216"/>
      </w:pPr>
      <w:r>
        <w:rPr>
          <w:b/>
          <w:color w:val="18A9C3"/>
        </w:rPr>
        <w:t xml:space="preserve">• </w:t>
      </w:r>
      <w:r>
        <w:t>store information securely;</w:t>
      </w:r>
    </w:p>
    <w:p>
      <w:pPr>
        <w:spacing w:after="30"/>
        <w:ind w:left="288" w:hanging="216"/>
      </w:pPr>
      <w:r>
        <w:rPr>
          <w:b/>
          <w:color w:val="18A9C3"/>
        </w:rPr>
        <w:t xml:space="preserve">• </w:t>
      </w:r>
      <w:r>
        <w:t>do not promise absolute confidentiality;</w:t>
      </w:r>
    </w:p>
    <w:p>
      <w:pPr>
        <w:spacing w:after="30"/>
        <w:ind w:left="288" w:hanging="216"/>
      </w:pPr>
      <w:r>
        <w:rPr>
          <w:b/>
          <w:color w:val="18A9C3"/>
        </w:rPr>
        <w:t xml:space="preserve">• </w:t>
      </w:r>
      <w:r>
        <w:t>record significant decisions to share or not share information;</w:t>
      </w:r>
    </w:p>
    <w:p>
      <w:pPr>
        <w:spacing w:after="30"/>
        <w:ind w:left="288" w:hanging="216"/>
      </w:pPr>
      <w:r>
        <w:rPr>
          <w:b/>
          <w:color w:val="18A9C3"/>
        </w:rPr>
        <w:t xml:space="preserve">• </w:t>
      </w:r>
      <w:r>
        <w:t>do not use data protection as a reason to withhold necessary and lawful safeguarding information.</w:t>
      </w:r>
    </w:p>
    <w:p>
      <w:pPr>
        <w:pStyle w:val="D4UH1"/>
        <w:pBdr>
          <w:bottom w:val="single" w:sz="8" w:space="1" w:color="18A9C3"/>
        </w:pBdr>
      </w:pPr>
      <w:r>
        <w:t>20. Follow-up and Escalation</w:t>
      </w:r>
    </w:p>
    <w:p>
      <w:pPr>
        <w:spacing w:after="40"/>
        <w:ind w:left="403" w:hanging="317"/>
      </w:pPr>
      <w:r>
        <w:rPr>
          <w:b/>
          <w:color w:val="18A9C3"/>
        </w:rPr>
        <w:t xml:space="preserve">1. </w:t>
      </w:r>
      <w:r>
        <w:t>Confirm immediate safety actions are complete.</w:t>
      </w:r>
    </w:p>
    <w:p>
      <w:pPr>
        <w:spacing w:after="40"/>
        <w:ind w:left="403" w:hanging="317"/>
      </w:pPr>
      <w:r>
        <w:rPr>
          <w:b/>
          <w:color w:val="18A9C3"/>
        </w:rPr>
        <w:t xml:space="preserve">2. </w:t>
      </w:r>
      <w:r>
        <w:t>Record statutory agency advice, referrals and reference numbers.</w:t>
      </w:r>
    </w:p>
    <w:p>
      <w:pPr>
        <w:spacing w:after="40"/>
        <w:ind w:left="403" w:hanging="317"/>
      </w:pPr>
      <w:r>
        <w:rPr>
          <w:b/>
          <w:color w:val="18A9C3"/>
        </w:rPr>
        <w:t xml:space="preserve">3. </w:t>
      </w:r>
      <w:r>
        <w:t>Review whether reasonable adjustments, additional supervision, changed contact arrangements or another safety plan are needed.</w:t>
      </w:r>
    </w:p>
    <w:p>
      <w:pPr>
        <w:spacing w:after="40"/>
        <w:ind w:left="403" w:hanging="317"/>
      </w:pPr>
      <w:r>
        <w:rPr>
          <w:b/>
          <w:color w:val="18A9C3"/>
        </w:rPr>
        <w:t xml:space="preserve">4. </w:t>
      </w:r>
      <w:r>
        <w:t>Inform the person who raised the concern that it has been acted upon, subject to confidentiality.</w:t>
      </w:r>
    </w:p>
    <w:p>
      <w:pPr>
        <w:spacing w:after="40"/>
        <w:ind w:left="403" w:hanging="317"/>
      </w:pPr>
      <w:r>
        <w:rPr>
          <w:b/>
          <w:color w:val="18A9C3"/>
        </w:rPr>
        <w:t xml:space="preserve">5. </w:t>
      </w:r>
      <w:r>
        <w:t>Debrief staff where appropriate without disclosing unnecessary personal information.</w:t>
      </w:r>
    </w:p>
    <w:p>
      <w:pPr>
        <w:spacing w:after="40"/>
        <w:ind w:left="403" w:hanging="317"/>
      </w:pPr>
      <w:r>
        <w:rPr>
          <w:b/>
          <w:color w:val="18A9C3"/>
        </w:rPr>
        <w:t xml:space="preserve">6. </w:t>
      </w:r>
      <w:r>
        <w:t>Identify learning, near misses or changes needed to risk assessments, staffing, policy or training.</w:t>
      </w:r>
    </w:p>
    <w:p>
      <w:pPr>
        <w:spacing w:after="40"/>
        <w:ind w:left="403" w:hanging="317"/>
      </w:pPr>
      <w:r>
        <w:rPr>
          <w:b/>
          <w:color w:val="18A9C3"/>
        </w:rPr>
        <w:t xml:space="preserve">7. </w:t>
      </w:r>
      <w:r>
        <w:t>If a concern is ignored, minimised, concealed or not acted upon appropriately, raise it with another director or senior person who is not implicated and use whistleblowing/escalation routes where necessary.</w:t>
      </w:r>
    </w:p>
    <w:p>
      <w:pPr>
        <w:pStyle w:val="D4UH1"/>
        <w:pBdr>
          <w:bottom w:val="single" w:sz="8" w:space="1" w:color="18A9C3"/>
        </w:pBdr>
      </w:pPr>
      <w:r>
        <w:t>21. Training Requirements</w:t>
      </w:r>
    </w:p>
    <w:p>
      <w:pPr>
        <w:spacing w:after="30"/>
        <w:ind w:left="288" w:hanging="216"/>
      </w:pPr>
      <w:r>
        <w:rPr>
          <w:b/>
          <w:color w:val="18A9C3"/>
        </w:rPr>
        <w:t xml:space="preserve">• </w:t>
      </w:r>
      <w:r>
        <w:t>complete safeguarding training annually;</w:t>
      </w:r>
    </w:p>
    <w:p>
      <w:pPr>
        <w:spacing w:after="30"/>
        <w:ind w:left="288" w:hanging="216"/>
      </w:pPr>
      <w:r>
        <w:rPr>
          <w:b/>
          <w:color w:val="18A9C3"/>
        </w:rPr>
        <w:t xml:space="preserve">• </w:t>
      </w:r>
      <w:r>
        <w:t>undertake Right Help Right Time training where relevant;</w:t>
      </w:r>
    </w:p>
    <w:p>
      <w:pPr>
        <w:spacing w:after="30"/>
        <w:ind w:left="288" w:hanging="216"/>
      </w:pPr>
      <w:r>
        <w:rPr>
          <w:b/>
          <w:color w:val="18A9C3"/>
        </w:rPr>
        <w:t xml:space="preserve">• </w:t>
      </w:r>
      <w:r>
        <w:t>understand the 4 Rs, reporting routes, recording requirements and professional boundaries;</w:t>
      </w:r>
    </w:p>
    <w:p>
      <w:pPr>
        <w:spacing w:after="30"/>
        <w:ind w:left="288" w:hanging="216"/>
      </w:pPr>
      <w:r>
        <w:rPr>
          <w:b/>
          <w:color w:val="18A9C3"/>
        </w:rPr>
        <w:t xml:space="preserve">• </w:t>
      </w:r>
      <w:r>
        <w:t>understand the distinction between child and adult safeguarding;</w:t>
      </w:r>
    </w:p>
    <w:p>
      <w:pPr>
        <w:spacing w:after="30"/>
        <w:ind w:left="288" w:hanging="216"/>
      </w:pPr>
      <w:r>
        <w:rPr>
          <w:b/>
          <w:color w:val="18A9C3"/>
        </w:rPr>
        <w:t xml:space="preserve">• </w:t>
      </w:r>
      <w:r>
        <w:t>follow all updates to Dance4U and local safeguarding procedures.</w:t>
      </w:r>
    </w:p>
    <w:p>
      <w:pPr>
        <w:pStyle w:val="D4UH1"/>
        <w:pBdr>
          <w:bottom w:val="single" w:sz="8" w:space="1" w:color="18A9C3"/>
        </w:pBdr>
      </w:pPr>
      <w:r>
        <w:t>22. Key Contacts</w:t>
      </w:r>
    </w:p>
    <w:tbl>
      <w:tblPr>
        <w:tblW w:type="auto" w:w="0"/>
        <w:jc w:val="center"/>
        <w:tblLook w:firstColumn="1" w:firstRow="1" w:lastColumn="0" w:lastRow="0" w:noHBand="0" w:noVBand="1" w:val="04A0"/>
      </w:tblPr>
      <w:tblGrid>
        <w:gridCol w:w="5184"/>
        <w:gridCol w:w="5184"/>
      </w:tblGrid>
      <w:tr>
        <w:tc>
          <w:tcPr>
            <w:tcW w:type="dxa" w:w="5184"/>
            <w:shd w:fill="18A9C3"/>
          </w:tcPr>
          <w:p>
            <w:r>
              <w:rPr>
                <w:b/>
                <w:color w:val="FFFFFF"/>
              </w:rPr>
              <w:t>Contact</w:t>
            </w:r>
          </w:p>
        </w:tc>
        <w:tc>
          <w:tcPr>
            <w:tcW w:type="dxa" w:w="5184"/>
            <w:shd w:fill="18A9C3"/>
          </w:tcPr>
          <w:p>
            <w:r>
              <w:rPr>
                <w:b/>
                <w:color w:val="FFFFFF"/>
              </w:rPr>
              <w:t>Details</w:t>
            </w:r>
          </w:p>
        </w:tc>
      </w:tr>
      <w:tr>
        <w:tc>
          <w:tcPr>
            <w:tcW w:type="dxa" w:w="5184"/>
            <w:tcMar>
              <w:top w:w="80" w:type="dxa"/>
              <w:start w:w="90" w:type="dxa"/>
              <w:bottom w:w="80" w:type="dxa"/>
              <w:end w:w="90" w:type="dxa"/>
            </w:tcMar>
          </w:tcPr>
          <w:p>
            <w:r>
              <w:t>Designated Safeguarding Lead</w:t>
            </w:r>
          </w:p>
        </w:tc>
        <w:tc>
          <w:tcPr>
            <w:tcW w:type="dxa" w:w="5184"/>
            <w:tcMar>
              <w:top w:w="80" w:type="dxa"/>
              <w:start w:w="90" w:type="dxa"/>
              <w:bottom w:w="80" w:type="dxa"/>
              <w:end w:w="90" w:type="dxa"/>
            </w:tcMar>
          </w:tcPr>
          <w:p>
            <w:r>
              <w:t>Emily Bollard - Founder / Director</w:t>
            </w:r>
          </w:p>
        </w:tc>
      </w:tr>
      <w:tr>
        <w:tc>
          <w:tcPr>
            <w:tcW w:type="dxa" w:w="5184"/>
            <w:tcMar>
              <w:top w:w="80" w:type="dxa"/>
              <w:start w:w="90" w:type="dxa"/>
              <w:bottom w:w="80" w:type="dxa"/>
              <w:end w:w="90" w:type="dxa"/>
            </w:tcMar>
          </w:tcPr>
          <w:p>
            <w:r>
              <w:t>Email</w:t>
            </w:r>
          </w:p>
        </w:tc>
        <w:tc>
          <w:tcPr>
            <w:tcW w:type="dxa" w:w="5184"/>
            <w:tcMar>
              <w:top w:w="80" w:type="dxa"/>
              <w:start w:w="90" w:type="dxa"/>
              <w:bottom w:w="80" w:type="dxa"/>
              <w:end w:w="90" w:type="dxa"/>
            </w:tcMar>
          </w:tcPr>
          <w:p>
            <w:r>
              <w:t>emily@dance4u.info</w:t>
            </w:r>
          </w:p>
        </w:tc>
      </w:tr>
      <w:tr>
        <w:tc>
          <w:tcPr>
            <w:tcW w:type="dxa" w:w="5184"/>
            <w:tcMar>
              <w:top w:w="80" w:type="dxa"/>
              <w:start w:w="90" w:type="dxa"/>
              <w:bottom w:w="80" w:type="dxa"/>
              <w:end w:w="90" w:type="dxa"/>
            </w:tcMar>
          </w:tcPr>
          <w:p>
            <w:r>
              <w:t>Telephone</w:t>
            </w:r>
          </w:p>
        </w:tc>
        <w:tc>
          <w:tcPr>
            <w:tcW w:type="dxa" w:w="5184"/>
            <w:tcMar>
              <w:top w:w="80" w:type="dxa"/>
              <w:start w:w="90" w:type="dxa"/>
              <w:bottom w:w="80" w:type="dxa"/>
              <w:end w:w="90" w:type="dxa"/>
            </w:tcMar>
          </w:tcPr>
          <w:p>
            <w:r>
              <w:t>07395 831938</w:t>
            </w:r>
          </w:p>
        </w:tc>
      </w:tr>
      <w:tr>
        <w:tc>
          <w:tcPr>
            <w:tcW w:type="dxa" w:w="5184"/>
            <w:tcMar>
              <w:top w:w="80" w:type="dxa"/>
              <w:start w:w="90" w:type="dxa"/>
              <w:bottom w:w="80" w:type="dxa"/>
              <w:end w:w="90" w:type="dxa"/>
            </w:tcMar>
          </w:tcPr>
          <w:p>
            <w:r>
              <w:t>Birmingham CASS</w:t>
            </w:r>
          </w:p>
        </w:tc>
        <w:tc>
          <w:tcPr>
            <w:tcW w:type="dxa" w:w="5184"/>
            <w:tcMar>
              <w:top w:w="80" w:type="dxa"/>
              <w:start w:w="90" w:type="dxa"/>
              <w:bottom w:w="80" w:type="dxa"/>
              <w:end w:w="90" w:type="dxa"/>
            </w:tcMar>
          </w:tcPr>
          <w:p>
            <w:r>
              <w:t>0121 303 1888</w:t>
            </w:r>
          </w:p>
        </w:tc>
      </w:tr>
      <w:tr>
        <w:tc>
          <w:tcPr>
            <w:tcW w:type="dxa" w:w="5184"/>
            <w:tcMar>
              <w:top w:w="80" w:type="dxa"/>
              <w:start w:w="90" w:type="dxa"/>
              <w:bottom w:w="80" w:type="dxa"/>
              <w:end w:w="90" w:type="dxa"/>
            </w:tcMar>
          </w:tcPr>
          <w:p>
            <w:r>
              <w:t>Birmingham Children's Social Care out of hours</w:t>
            </w:r>
          </w:p>
        </w:tc>
        <w:tc>
          <w:tcPr>
            <w:tcW w:type="dxa" w:w="5184"/>
            <w:tcMar>
              <w:top w:w="80" w:type="dxa"/>
              <w:start w:w="90" w:type="dxa"/>
              <w:bottom w:w="80" w:type="dxa"/>
              <w:end w:w="90" w:type="dxa"/>
            </w:tcMar>
          </w:tcPr>
          <w:p>
            <w:r>
              <w:t>0121 675 4806</w:t>
            </w:r>
          </w:p>
        </w:tc>
      </w:tr>
      <w:tr>
        <w:tc>
          <w:tcPr>
            <w:tcW w:type="dxa" w:w="5184"/>
            <w:tcMar>
              <w:top w:w="80" w:type="dxa"/>
              <w:start w:w="90" w:type="dxa"/>
              <w:bottom w:w="80" w:type="dxa"/>
              <w:end w:w="90" w:type="dxa"/>
            </w:tcMar>
          </w:tcPr>
          <w:p>
            <w:r>
              <w:t>Birmingham Adult Social Care</w:t>
            </w:r>
          </w:p>
        </w:tc>
        <w:tc>
          <w:tcPr>
            <w:tcW w:type="dxa" w:w="5184"/>
            <w:tcMar>
              <w:top w:w="80" w:type="dxa"/>
              <w:start w:w="90" w:type="dxa"/>
              <w:bottom w:w="80" w:type="dxa"/>
              <w:end w:w="90" w:type="dxa"/>
            </w:tcMar>
          </w:tcPr>
          <w:p>
            <w:r>
              <w:t>0121 303 1234</w:t>
            </w:r>
          </w:p>
        </w:tc>
      </w:tr>
      <w:tr>
        <w:tc>
          <w:tcPr>
            <w:tcW w:type="dxa" w:w="5184"/>
            <w:tcMar>
              <w:top w:w="80" w:type="dxa"/>
              <w:start w:w="90" w:type="dxa"/>
              <w:bottom w:w="80" w:type="dxa"/>
              <w:end w:w="90" w:type="dxa"/>
            </w:tcMar>
          </w:tcPr>
          <w:p>
            <w:r>
              <w:t>Birmingham Adult Social Care out of hours</w:t>
            </w:r>
          </w:p>
        </w:tc>
        <w:tc>
          <w:tcPr>
            <w:tcW w:type="dxa" w:w="5184"/>
            <w:tcMar>
              <w:top w:w="80" w:type="dxa"/>
              <w:start w:w="90" w:type="dxa"/>
              <w:bottom w:w="80" w:type="dxa"/>
              <w:end w:w="90" w:type="dxa"/>
            </w:tcMar>
          </w:tcPr>
          <w:p>
            <w:r>
              <w:t>0121 675 4806</w:t>
            </w:r>
          </w:p>
        </w:tc>
      </w:tr>
      <w:tr>
        <w:tc>
          <w:tcPr>
            <w:tcW w:type="dxa" w:w="5184"/>
            <w:tcMar>
              <w:top w:w="80" w:type="dxa"/>
              <w:start w:w="90" w:type="dxa"/>
              <w:bottom w:w="80" w:type="dxa"/>
              <w:end w:w="90" w:type="dxa"/>
            </w:tcMar>
          </w:tcPr>
          <w:p>
            <w:r>
              <w:t>Emergency services</w:t>
            </w:r>
          </w:p>
        </w:tc>
        <w:tc>
          <w:tcPr>
            <w:tcW w:type="dxa" w:w="5184"/>
            <w:tcMar>
              <w:top w:w="80" w:type="dxa"/>
              <w:start w:w="90" w:type="dxa"/>
              <w:bottom w:w="80" w:type="dxa"/>
              <w:end w:w="90" w:type="dxa"/>
            </w:tcMar>
          </w:tcPr>
          <w:p>
            <w:r>
              <w:t>999</w:t>
            </w:r>
          </w:p>
        </w:tc>
      </w:tr>
      <w:tr>
        <w:tc>
          <w:tcPr>
            <w:tcW w:type="dxa" w:w="5184"/>
            <w:tcMar>
              <w:top w:w="80" w:type="dxa"/>
              <w:start w:w="90" w:type="dxa"/>
              <w:bottom w:w="80" w:type="dxa"/>
              <w:end w:w="90" w:type="dxa"/>
            </w:tcMar>
          </w:tcPr>
          <w:p>
            <w:r>
              <w:t>NSPCC Helpline</w:t>
            </w:r>
          </w:p>
        </w:tc>
        <w:tc>
          <w:tcPr>
            <w:tcW w:type="dxa" w:w="5184"/>
            <w:tcMar>
              <w:top w:w="80" w:type="dxa"/>
              <w:start w:w="90" w:type="dxa"/>
              <w:bottom w:w="80" w:type="dxa"/>
              <w:end w:w="90" w:type="dxa"/>
            </w:tcMar>
          </w:tcPr>
          <w:p>
            <w:r>
              <w:t>0808 800 5000</w:t>
            </w:r>
          </w:p>
        </w:tc>
      </w:tr>
    </w:tbl>
    <w:p>
      <w:pPr>
        <w:pStyle w:val="D4UH1"/>
        <w:pBdr>
          <w:bottom w:val="single" w:sz="8" w:space="1" w:color="18A9C3"/>
        </w:pBdr>
      </w:pPr>
      <w:r>
        <w:t>23. Compliance and Review</w:t>
      </w:r>
    </w:p>
    <w:p>
      <w:r>
        <w:t>All Dance4U staff and volunteers are required to follow these procedures at all times. Failure to comply may result in formal action.</w:t>
      </w:r>
    </w:p>
    <w:p>
      <w:r>
        <w:t>This procedure will be reviewed at least annually and sooner if the Safeguarding Policy, statutory guidance, local safeguarding procedures, programme delivery or organisational arrangements change. Safeguarding incidents and near misses will be used to improve practice.</w:t>
      </w:r>
    </w:p>
    <w:p>
      <w:pPr>
        <w:pStyle w:val="D4UH1"/>
        <w:pBdr>
          <w:bottom w:val="single" w:sz="8" w:space="1" w:color="18A9C3"/>
        </w:pBdr>
      </w:pPr>
      <w:r>
        <w:t>Appendix A - Quick Safeguarding Flow</w:t>
      </w:r>
    </w:p>
    <w:tbl>
      <w:tblPr>
        <w:tblW w:type="auto" w:w="0"/>
        <w:jc w:val="center"/>
        <w:tblLook w:firstColumn="1" w:firstRow="1" w:lastColumn="0" w:lastRow="0" w:noHBand="0" w:noVBand="1" w:val="04A0"/>
      </w:tblPr>
      <w:tblGrid>
        <w:gridCol w:w="5184"/>
        <w:gridCol w:w="5184"/>
      </w:tblGrid>
      <w:tr>
        <w:tc>
          <w:tcPr>
            <w:tcW w:type="dxa" w:w="5184"/>
            <w:shd w:fill="18A9C3"/>
          </w:tcPr>
          <w:p>
            <w:r>
              <w:rPr>
                <w:b/>
                <w:color w:val="FFFFFF"/>
              </w:rPr>
              <w:t>Stage</w:t>
            </w:r>
          </w:p>
        </w:tc>
        <w:tc>
          <w:tcPr>
            <w:tcW w:type="dxa" w:w="5184"/>
            <w:shd w:fill="18A9C3"/>
          </w:tcPr>
          <w:p>
            <w:r>
              <w:rPr>
                <w:b/>
                <w:color w:val="FFFFFF"/>
              </w:rPr>
              <w:t>Action</w:t>
            </w:r>
          </w:p>
        </w:tc>
      </w:tr>
      <w:tr>
        <w:tc>
          <w:tcPr>
            <w:tcW w:type="dxa" w:w="5184"/>
            <w:shd w:fill="FFF3E5"/>
            <w:tcMar>
              <w:top w:w="80" w:type="dxa"/>
              <w:start w:w="90" w:type="dxa"/>
              <w:bottom w:w="80" w:type="dxa"/>
              <w:end w:w="90" w:type="dxa"/>
            </w:tcMar>
          </w:tcPr>
          <w:p>
            <w:r>
              <w:rPr>
                <w:b/>
                <w:color w:val="EF9121"/>
              </w:rPr>
              <w:t>1. Immediate risk?</w:t>
            </w:r>
          </w:p>
        </w:tc>
        <w:tc>
          <w:tcPr>
            <w:tcW w:type="dxa" w:w="5184"/>
            <w:tcMar>
              <w:top w:w="80" w:type="dxa"/>
              <w:start w:w="90" w:type="dxa"/>
              <w:bottom w:w="80" w:type="dxa"/>
              <w:end w:w="90" w:type="dxa"/>
            </w:tcMar>
          </w:tcPr>
          <w:p>
            <w:r>
              <w:t>Call 999 / obtain urgent medical help and make the person safe.</w:t>
            </w:r>
          </w:p>
        </w:tc>
      </w:tr>
      <w:tr>
        <w:tc>
          <w:tcPr>
            <w:tcW w:type="dxa" w:w="5184"/>
            <w:shd w:fill="FFF3E5"/>
            <w:tcMar>
              <w:top w:w="80" w:type="dxa"/>
              <w:start w:w="90" w:type="dxa"/>
              <w:bottom w:w="80" w:type="dxa"/>
              <w:end w:w="90" w:type="dxa"/>
            </w:tcMar>
          </w:tcPr>
          <w:p>
            <w:r>
              <w:rPr>
                <w:b/>
                <w:color w:val="EF9121"/>
              </w:rPr>
              <w:t>2. Receive</w:t>
            </w:r>
          </w:p>
        </w:tc>
        <w:tc>
          <w:tcPr>
            <w:tcW w:type="dxa" w:w="5184"/>
            <w:tcMar>
              <w:top w:w="80" w:type="dxa"/>
              <w:start w:w="90" w:type="dxa"/>
              <w:bottom w:w="80" w:type="dxa"/>
              <w:end w:w="90" w:type="dxa"/>
            </w:tcMar>
          </w:tcPr>
          <w:p>
            <w:r>
              <w:t>Listen carefully, give time, take seriously.</w:t>
            </w:r>
          </w:p>
        </w:tc>
      </w:tr>
      <w:tr>
        <w:tc>
          <w:tcPr>
            <w:tcW w:type="dxa" w:w="5184"/>
            <w:shd w:fill="FFF3E5"/>
            <w:tcMar>
              <w:top w:w="80" w:type="dxa"/>
              <w:start w:w="90" w:type="dxa"/>
              <w:bottom w:w="80" w:type="dxa"/>
              <w:end w:w="90" w:type="dxa"/>
            </w:tcMar>
          </w:tcPr>
          <w:p>
            <w:r>
              <w:rPr>
                <w:b/>
                <w:color w:val="EF9121"/>
              </w:rPr>
              <w:t>3. Reassure</w:t>
            </w:r>
          </w:p>
        </w:tc>
        <w:tc>
          <w:tcPr>
            <w:tcW w:type="dxa" w:w="5184"/>
            <w:tcMar>
              <w:top w:w="80" w:type="dxa"/>
              <w:start w:w="90" w:type="dxa"/>
              <w:bottom w:w="80" w:type="dxa"/>
              <w:end w:w="90" w:type="dxa"/>
            </w:tcMar>
          </w:tcPr>
          <w:p>
            <w:r>
              <w:t>Do not blame and do not promise confidentiality.</w:t>
            </w:r>
          </w:p>
        </w:tc>
      </w:tr>
      <w:tr>
        <w:tc>
          <w:tcPr>
            <w:tcW w:type="dxa" w:w="5184"/>
            <w:shd w:fill="FFF3E5"/>
            <w:tcMar>
              <w:top w:w="80" w:type="dxa"/>
              <w:start w:w="90" w:type="dxa"/>
              <w:bottom w:w="80" w:type="dxa"/>
              <w:end w:w="90" w:type="dxa"/>
            </w:tcMar>
          </w:tcPr>
          <w:p>
            <w:r>
              <w:rPr>
                <w:b/>
                <w:color w:val="EF9121"/>
              </w:rPr>
              <w:t>4. React</w:t>
            </w:r>
          </w:p>
        </w:tc>
        <w:tc>
          <w:tcPr>
            <w:tcW w:type="dxa" w:w="5184"/>
            <w:tcMar>
              <w:top w:w="80" w:type="dxa"/>
              <w:start w:w="90" w:type="dxa"/>
              <w:bottom w:w="80" w:type="dxa"/>
              <w:end w:w="90" w:type="dxa"/>
            </w:tcMar>
          </w:tcPr>
          <w:p>
            <w:r>
              <w:t>Do not investigate, lead, interrogate or confront.</w:t>
            </w:r>
          </w:p>
        </w:tc>
      </w:tr>
      <w:tr>
        <w:tc>
          <w:tcPr>
            <w:tcW w:type="dxa" w:w="5184"/>
            <w:shd w:fill="FFF3E5"/>
            <w:tcMar>
              <w:top w:w="80" w:type="dxa"/>
              <w:start w:w="90" w:type="dxa"/>
              <w:bottom w:w="80" w:type="dxa"/>
              <w:end w:w="90" w:type="dxa"/>
            </w:tcMar>
          </w:tcPr>
          <w:p>
            <w:r>
              <w:rPr>
                <w:b/>
                <w:color w:val="EF9121"/>
              </w:rPr>
              <w:t>5. Report</w:t>
            </w:r>
          </w:p>
        </w:tc>
        <w:tc>
          <w:tcPr>
            <w:tcW w:type="dxa" w:w="5184"/>
            <w:tcMar>
              <w:top w:w="80" w:type="dxa"/>
              <w:start w:w="90" w:type="dxa"/>
              <w:bottom w:w="80" w:type="dxa"/>
              <w:end w:w="90" w:type="dxa"/>
            </w:tcMar>
          </w:tcPr>
          <w:p>
            <w:r>
              <w:t>Tell the DSL / Director immediately.</w:t>
            </w:r>
          </w:p>
        </w:tc>
      </w:tr>
      <w:tr>
        <w:tc>
          <w:tcPr>
            <w:tcW w:type="dxa" w:w="5184"/>
            <w:shd w:fill="FFF3E5"/>
            <w:tcMar>
              <w:top w:w="80" w:type="dxa"/>
              <w:start w:w="90" w:type="dxa"/>
              <w:bottom w:w="80" w:type="dxa"/>
              <w:end w:w="90" w:type="dxa"/>
            </w:tcMar>
          </w:tcPr>
          <w:p>
            <w:r>
              <w:rPr>
                <w:b/>
                <w:color w:val="EF9121"/>
              </w:rPr>
              <w:t>6. Record</w:t>
            </w:r>
          </w:p>
        </w:tc>
        <w:tc>
          <w:tcPr>
            <w:tcW w:type="dxa" w:w="5184"/>
            <w:tcMar>
              <w:top w:w="80" w:type="dxa"/>
              <w:start w:w="90" w:type="dxa"/>
              <w:bottom w:w="80" w:type="dxa"/>
              <w:end w:w="90" w:type="dxa"/>
            </w:tcMar>
          </w:tcPr>
          <w:p>
            <w:r>
              <w:t>Write a factual, signed/dated record using exact words where important.</w:t>
            </w:r>
          </w:p>
        </w:tc>
      </w:tr>
      <w:tr>
        <w:tc>
          <w:tcPr>
            <w:tcW w:type="dxa" w:w="5184"/>
            <w:shd w:fill="FFF3E5"/>
            <w:tcMar>
              <w:top w:w="80" w:type="dxa"/>
              <w:start w:w="90" w:type="dxa"/>
              <w:bottom w:w="80" w:type="dxa"/>
              <w:end w:w="90" w:type="dxa"/>
            </w:tcMar>
          </w:tcPr>
          <w:p>
            <w:r>
              <w:rPr>
                <w:b/>
                <w:color w:val="EF9121"/>
              </w:rPr>
              <w:t>7. Check age</w:t>
            </w:r>
          </w:p>
        </w:tc>
        <w:tc>
          <w:tcPr>
            <w:tcW w:type="dxa" w:w="5184"/>
            <w:tcMar>
              <w:top w:w="80" w:type="dxa"/>
              <w:start w:w="90" w:type="dxa"/>
              <w:bottom w:w="80" w:type="dxa"/>
              <w:end w:w="90" w:type="dxa"/>
            </w:tcMar>
          </w:tcPr>
          <w:p>
            <w:r>
              <w:t>Under 18 = child pathway. Age 18+ = adult pathway.</w:t>
            </w:r>
          </w:p>
        </w:tc>
      </w:tr>
      <w:tr>
        <w:tc>
          <w:tcPr>
            <w:tcW w:type="dxa" w:w="5184"/>
            <w:shd w:fill="FFF3E5"/>
            <w:tcMar>
              <w:top w:w="80" w:type="dxa"/>
              <w:start w:w="90" w:type="dxa"/>
              <w:bottom w:w="80" w:type="dxa"/>
              <w:end w:w="90" w:type="dxa"/>
            </w:tcMar>
          </w:tcPr>
          <w:p>
            <w:r>
              <w:rPr>
                <w:b/>
                <w:color w:val="EF9121"/>
              </w:rPr>
              <w:t>8. Refer</w:t>
            </w:r>
          </w:p>
        </w:tc>
        <w:tc>
          <w:tcPr>
            <w:tcW w:type="dxa" w:w="5184"/>
            <w:tcMar>
              <w:top w:w="80" w:type="dxa"/>
              <w:start w:w="90" w:type="dxa"/>
              <w:bottom w:w="80" w:type="dxa"/>
              <w:end w:w="90" w:type="dxa"/>
            </w:tcMar>
          </w:tcPr>
          <w:p>
            <w:r>
              <w:t>DSL uses CASS / LADO / police / Adult Social Care / other agency as appropriate.</w:t>
            </w:r>
          </w:p>
        </w:tc>
      </w:tr>
      <w:tr>
        <w:tc>
          <w:tcPr>
            <w:tcW w:type="dxa" w:w="5184"/>
            <w:shd w:fill="FFF3E5"/>
            <w:tcMar>
              <w:top w:w="80" w:type="dxa"/>
              <w:start w:w="90" w:type="dxa"/>
              <w:bottom w:w="80" w:type="dxa"/>
              <w:end w:w="90" w:type="dxa"/>
            </w:tcMar>
          </w:tcPr>
          <w:p>
            <w:r>
              <w:rPr>
                <w:b/>
                <w:color w:val="EF9121"/>
              </w:rPr>
              <w:t>9. Follow up</w:t>
            </w:r>
          </w:p>
        </w:tc>
        <w:tc>
          <w:tcPr>
            <w:tcW w:type="dxa" w:w="5184"/>
            <w:tcMar>
              <w:top w:w="80" w:type="dxa"/>
              <w:start w:w="90" w:type="dxa"/>
              <w:bottom w:w="80" w:type="dxa"/>
              <w:end w:w="90" w:type="dxa"/>
            </w:tcMar>
          </w:tcPr>
          <w:p>
            <w:r>
              <w:t>Record outcomes, review safety measures and identify learning.</w:t>
            </w:r>
          </w:p>
        </w:tc>
      </w:tr>
    </w:tbl>
    <w:p>
      <w:pPr>
        <w:pStyle w:val="D4UH1"/>
        <w:pBdr>
          <w:bottom w:val="single" w:sz="8" w:space="1" w:color="18A9C3"/>
        </w:pBdr>
      </w:pPr>
      <w:r>
        <w:t>Appendix B - Minimum Safeguarding Record Information</w:t>
      </w:r>
    </w:p>
    <w:p>
      <w:pPr>
        <w:spacing w:after="30"/>
        <w:ind w:left="288" w:hanging="216"/>
      </w:pPr>
      <w:r>
        <w:rPr>
          <w:b/>
          <w:color w:val="18A9C3"/>
        </w:rPr>
        <w:t xml:space="preserve">• </w:t>
      </w:r>
      <w:r>
        <w:t>name, age/date of birth and contact details of the person concerned;</w:t>
      </w:r>
    </w:p>
    <w:p>
      <w:pPr>
        <w:spacing w:after="30"/>
        <w:ind w:left="288" w:hanging="216"/>
      </w:pPr>
      <w:r>
        <w:rPr>
          <w:b/>
          <w:color w:val="18A9C3"/>
        </w:rPr>
        <w:t xml:space="preserve">• </w:t>
      </w:r>
      <w:r>
        <w:t>whether the person is under 18 or aged 18+;</w:t>
      </w:r>
    </w:p>
    <w:p>
      <w:pPr>
        <w:spacing w:after="30"/>
        <w:ind w:left="288" w:hanging="216"/>
      </w:pPr>
      <w:r>
        <w:rPr>
          <w:b/>
          <w:color w:val="18A9C3"/>
        </w:rPr>
        <w:t xml:space="preserve">• </w:t>
      </w:r>
      <w:r>
        <w:t>date, time and location of the incident, disclosure or concern;</w:t>
      </w:r>
    </w:p>
    <w:p>
      <w:pPr>
        <w:spacing w:after="30"/>
        <w:ind w:left="288" w:hanging="216"/>
      </w:pPr>
      <w:r>
        <w:rPr>
          <w:b/>
          <w:color w:val="18A9C3"/>
        </w:rPr>
        <w:t xml:space="preserve">• </w:t>
      </w:r>
      <w:r>
        <w:t>what was seen, heard or reported, using exact words where important;</w:t>
      </w:r>
    </w:p>
    <w:p>
      <w:pPr>
        <w:spacing w:after="30"/>
        <w:ind w:left="288" w:hanging="216"/>
      </w:pPr>
      <w:r>
        <w:rPr>
          <w:b/>
          <w:color w:val="18A9C3"/>
        </w:rPr>
        <w:t xml:space="preserve">• </w:t>
      </w:r>
      <w:r>
        <w:t>communication needs, disability-related support needs and reasonable adjustments used;</w:t>
      </w:r>
    </w:p>
    <w:p>
      <w:pPr>
        <w:spacing w:after="30"/>
        <w:ind w:left="288" w:hanging="216"/>
      </w:pPr>
      <w:r>
        <w:rPr>
          <w:b/>
          <w:color w:val="18A9C3"/>
        </w:rPr>
        <w:t xml:space="preserve">• </w:t>
      </w:r>
      <w:r>
        <w:t>details of any person alleged to have caused harm;</w:t>
      </w:r>
    </w:p>
    <w:p>
      <w:pPr>
        <w:spacing w:after="30"/>
        <w:ind w:left="288" w:hanging="216"/>
      </w:pPr>
      <w:r>
        <w:rPr>
          <w:b/>
          <w:color w:val="18A9C3"/>
        </w:rPr>
        <w:t xml:space="preserve">• </w:t>
      </w:r>
      <w:r>
        <w:t>other people present or potential witnesses;</w:t>
      </w:r>
    </w:p>
    <w:p>
      <w:pPr>
        <w:spacing w:after="30"/>
        <w:ind w:left="288" w:hanging="216"/>
      </w:pPr>
      <w:r>
        <w:rPr>
          <w:b/>
          <w:color w:val="18A9C3"/>
        </w:rPr>
        <w:t xml:space="preserve">• </w:t>
      </w:r>
      <w:r>
        <w:t>immediate injuries, medical needs or safety risks;</w:t>
      </w:r>
    </w:p>
    <w:p>
      <w:pPr>
        <w:spacing w:after="30"/>
        <w:ind w:left="288" w:hanging="216"/>
      </w:pPr>
      <w:r>
        <w:rPr>
          <w:b/>
          <w:color w:val="18A9C3"/>
        </w:rPr>
        <w:t xml:space="preserve">• </w:t>
      </w:r>
      <w:r>
        <w:t>for adults, wishes and consent to information sharing where relevant;</w:t>
      </w:r>
    </w:p>
    <w:p>
      <w:pPr>
        <w:spacing w:after="30"/>
        <w:ind w:left="288" w:hanging="216"/>
      </w:pPr>
      <w:r>
        <w:rPr>
          <w:b/>
          <w:color w:val="18A9C3"/>
        </w:rPr>
        <w:t xml:space="preserve">• </w:t>
      </w:r>
      <w:r>
        <w:t>concerns about mental capacity, coercion or risk to others;</w:t>
      </w:r>
    </w:p>
    <w:p>
      <w:pPr>
        <w:spacing w:after="30"/>
        <w:ind w:left="288" w:hanging="216"/>
      </w:pPr>
      <w:r>
        <w:rPr>
          <w:b/>
          <w:color w:val="18A9C3"/>
        </w:rPr>
        <w:t xml:space="preserve">• </w:t>
      </w:r>
      <w:r>
        <w:t>immediate actions taken;</w:t>
      </w:r>
    </w:p>
    <w:p>
      <w:pPr>
        <w:spacing w:after="30"/>
        <w:ind w:left="288" w:hanging="216"/>
      </w:pPr>
      <w:r>
        <w:rPr>
          <w:b/>
          <w:color w:val="18A9C3"/>
        </w:rPr>
        <w:t xml:space="preserve">• </w:t>
      </w:r>
      <w:r>
        <w:t>who the concern was reported to and when;</w:t>
      </w:r>
    </w:p>
    <w:p>
      <w:pPr>
        <w:spacing w:after="30"/>
        <w:ind w:left="288" w:hanging="216"/>
      </w:pPr>
      <w:r>
        <w:rPr>
          <w:b/>
          <w:color w:val="18A9C3"/>
        </w:rPr>
        <w:t xml:space="preserve">• </w:t>
      </w:r>
      <w:r>
        <w:t>external referrals and reference numbers;</w:t>
      </w:r>
    </w:p>
    <w:p>
      <w:pPr>
        <w:spacing w:after="30"/>
        <w:ind w:left="288" w:hanging="216"/>
      </w:pPr>
      <w:r>
        <w:rPr>
          <w:b/>
          <w:color w:val="18A9C3"/>
        </w:rPr>
        <w:t xml:space="preserve">• </w:t>
      </w:r>
      <w:r>
        <w:t>name, role, signature/identifier and date of the person completing the record.</w:t>
      </w:r>
    </w:p>
    <w:tbl>
      <w:tblPr>
        <w:tblW w:type="auto" w:w="0"/>
        <w:jc w:val="center"/>
        <w:tblLook w:firstColumn="1" w:firstRow="1" w:lastColumn="0" w:lastRow="0" w:noHBand="0" w:noVBand="1" w:val="04A0"/>
      </w:tblPr>
      <w:tblGrid>
        <w:gridCol w:w="10368"/>
      </w:tblGrid>
      <w:tr>
        <w:tc>
          <w:tcPr>
            <w:tcW w:type="dxa" w:w="10368"/>
            <w:shd w:fill="F3F4F6"/>
            <w:tcMar>
              <w:top w:w="100" w:type="dxa"/>
              <w:start w:w="120" w:type="dxa"/>
              <w:bottom w:w="100" w:type="dxa"/>
              <w:end w:w="120" w:type="dxa"/>
            </w:tcMar>
          </w:tcPr>
          <w:p>
            <w:pPr>
              <w:spacing w:after="0"/>
            </w:pPr>
            <w:r>
              <w:t>Records must not contain speculation presented as fact. Original contemporaneous notes must not be destroyed or altered.</w:t>
            </w:r>
          </w:p>
        </w:tc>
      </w:tr>
    </w:tbl>
    <w:sectPr w:rsidR="00FC693F" w:rsidRPr="0006063C" w:rsidSect="00034616">
      <w:headerReference w:type="default" r:id="rId9"/>
      <w:footerReference w:type="default" r:id="rId10"/>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F5F5F"/>
        <w:sz w:val="16"/>
      </w:rPr>
      <w:t>Safeguarding Procedure  |  Version 1.1  |  September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b/>
        <w:color w:val="18A9C3"/>
        <w:sz w:val="17"/>
      </w:rPr>
      <w:t>DANCE4U INCLUSIVE ARTS CIC</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4UTitle">
    <w:name w:val="D4U Title"/>
    <w:pPr>
      <w:spacing w:before="0" w:after="80"/>
    </w:pPr>
    <w:rPr>
      <w:rFonts w:ascii="Aptos" w:hAnsi="Aptos"/>
      <w:b/>
      <w:color w:val="18A9C3"/>
      <w:sz w:val="48"/>
    </w:rPr>
  </w:style>
  <w:style w:type="paragraph" w:customStyle="1" w:styleId="D4USubtitle">
    <w:name w:val="D4U Subtitle"/>
    <w:pPr>
      <w:spacing w:before="0" w:after="160"/>
    </w:pPr>
    <w:rPr>
      <w:rFonts w:ascii="Aptos" w:hAnsi="Aptos"/>
      <w:b/>
      <w:color w:val="2A2A2A"/>
      <w:sz w:val="30"/>
    </w:rPr>
  </w:style>
  <w:style w:type="paragraph" w:customStyle="1" w:styleId="D4UH1">
    <w:name w:val="D4U H1"/>
    <w:pPr>
      <w:spacing w:before="200" w:after="60"/>
    </w:pPr>
    <w:rPr>
      <w:rFonts w:ascii="Aptos" w:hAnsi="Aptos"/>
      <w:b/>
      <w:color w:val="EF9121"/>
      <w:sz w:val="30"/>
    </w:rPr>
  </w:style>
  <w:style w:type="paragraph" w:customStyle="1" w:styleId="D4UH2">
    <w:name w:val="D4U H2"/>
    <w:pPr>
      <w:spacing w:before="140" w:after="40"/>
    </w:pPr>
    <w:rPr>
      <w:rFonts w:ascii="Aptos" w:hAnsi="Aptos"/>
      <w:b/>
      <w:color w:val="18A9C3"/>
      <w:sz w:val="24"/>
    </w:rPr>
  </w:style>
  <w:style w:type="paragraph" w:customStyle="1" w:styleId="D4USmall">
    <w:name w:val="D4U Small"/>
    <w:pPr>
      <w:spacing w:before="0" w:after="0"/>
    </w:pPr>
    <w:rPr>
      <w:rFonts w:ascii="Aptos" w:hAnsi="Aptos"/>
      <w:b w:val="0"/>
      <w:color w:val="5F5F5F"/>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