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First Aid, Medical Needs &amp; Medication Policy</w:t>
      </w:r>
    </w:p>
    <w:p>
      <w:r>
        <w:rPr>
          <w:b/>
        </w:rPr>
        <w:t>Bridgepoint Learning CIC - Alternative Provision</w:t>
      </w:r>
      <w:r>
        <w:br/>
        <w:t>Safe, individualised support for learners with health and medical needs.</w:t>
      </w:r>
    </w:p>
    <w:tbl>
      <w:tblPr>
        <w:tblStyle w:val="TableGrid"/>
        <w:tblW w:type="auto" w:w="0"/>
        <w:jc w:val="left"/>
        <w:tblLook w:firstColumn="1" w:firstRow="1" w:lastColumn="0" w:lastRow="0" w:noHBand="0" w:noVBand="1" w:val="04A0"/>
      </w:tblPr>
      <w:tblGrid>
        <w:gridCol w:w="5083"/>
        <w:gridCol w:w="5083"/>
      </w:tblGrid>
      <w:tr>
        <w:tc>
          <w:tcPr>
            <w:tcW w:type="dxa" w:w="5083"/>
            <w:shd w:fill="EDEDED"/>
          </w:tcPr>
          <w:p>
            <w:r>
              <w:rPr>
                <w:b/>
              </w:rPr>
              <w:t>Policy lead</w:t>
            </w:r>
          </w:p>
        </w:tc>
        <w:tc>
          <w:tcPr>
            <w:tcW w:type="dxa" w:w="5083"/>
          </w:tcPr>
          <w:p>
            <w:r>
              <w:t>Charlotte Ujvari - Founder, Director &amp; Provision Lead</w:t>
            </w:r>
          </w:p>
        </w:tc>
      </w:tr>
      <w:tr>
        <w:tc>
          <w:tcPr>
            <w:tcW w:type="dxa" w:w="5083"/>
            <w:shd w:fill="EDEDED"/>
          </w:tcPr>
          <w:p>
            <w:r>
              <w:rPr>
                <w:b/>
              </w:rPr>
              <w:t>Deputy lead</w:t>
            </w:r>
          </w:p>
        </w:tc>
        <w:tc>
          <w:tcPr>
            <w:tcW w:type="dxa" w:w="5083"/>
          </w:tcPr>
          <w:p>
            <w:r>
              <w:t>Daniel Shave - Deputy Provision Manager</w:t>
            </w:r>
          </w:p>
        </w:tc>
      </w:tr>
      <w:tr>
        <w:tc>
          <w:tcPr>
            <w:tcW w:type="dxa" w:w="5083"/>
            <w:shd w:fill="EDEDED"/>
          </w:tcPr>
          <w:p>
            <w:r>
              <w:rPr>
                <w:b/>
              </w:rPr>
              <w:t>Applies to</w:t>
            </w:r>
          </w:p>
        </w:tc>
        <w:tc>
          <w:tcPr>
            <w:tcW w:type="dxa" w:w="5083"/>
          </w:tcPr>
          <w:p>
            <w:r>
              <w:t>All Bridgepoint learners, staff and activities, including commissioned Alternative Provision</w:t>
            </w:r>
          </w:p>
        </w:tc>
      </w:tr>
      <w:tr>
        <w:tc>
          <w:tcPr>
            <w:tcW w:type="dxa" w:w="5083"/>
            <w:shd w:fill="EDEDED"/>
          </w:tcPr>
          <w:p>
            <w:r>
              <w:rPr>
                <w:b/>
              </w:rPr>
              <w:t>Review cycle</w:t>
            </w:r>
          </w:p>
        </w:tc>
        <w:tc>
          <w:tcPr>
            <w:tcW w:type="dxa" w:w="5083"/>
          </w:tcPr>
          <w:p>
            <w:r>
              <w:t>At least annually and sooner following significant medical incident, guidance change or change in provision</w:t>
            </w:r>
          </w:p>
        </w:tc>
      </w:tr>
    </w:tbl>
    <w:p>
      <w:pPr>
        <w:pStyle w:val="Heading1"/>
      </w:pPr>
      <w:r>
        <w:t>1. Purpose</w:t>
      </w:r>
    </w:p>
    <w:p>
      <w:r>
        <w:t>Bridgepoint Learning CIC is committed to supporting children and young people with medical needs to access its provision safely and with dignity. This policy sets out arrangements for first aid, medical emergencies, medication, individual healthcare planning, allergies and communication with families and commissioners.</w:t>
      </w:r>
    </w:p>
    <w:p>
      <w:r>
        <w:t>Medical needs will be considered individually. Bridgepoint will not ask staff to undertake a medical task for which they do not have the information, training, competence or appropriate arrangements required to do so safely.</w:t>
      </w:r>
    </w:p>
    <w:p>
      <w:pPr>
        <w:pStyle w:val="Heading1"/>
      </w:pPr>
      <w:r>
        <w:t>2. Principles</w:t>
      </w:r>
    </w:p>
    <w:p>
      <w:pPr>
        <w:pStyle w:val="ListBullet"/>
      </w:pPr>
      <w:r>
        <w:t>Immediate safety and access to appropriate medical care take priority.</w:t>
      </w:r>
    </w:p>
    <w:p>
      <w:pPr>
        <w:pStyle w:val="ListBullet"/>
      </w:pPr>
      <w:r>
        <w:t>Known medical needs must be shared during referral and updated when circumstances change.</w:t>
      </w:r>
    </w:p>
    <w:p>
      <w:pPr>
        <w:pStyle w:val="ListBullet"/>
      </w:pPr>
      <w:r>
        <w:t>Children should not be unnecessarily excluded from education because of a medical condition where safe and reasonable arrangements can be made.</w:t>
      </w:r>
    </w:p>
    <w:p>
      <w:pPr>
        <w:pStyle w:val="ListBullet"/>
      </w:pPr>
      <w:r>
        <w:t>Medication will be managed safely, accurately and only under agreed arrangements.</w:t>
      </w:r>
    </w:p>
    <w:p>
      <w:pPr>
        <w:pStyle w:val="ListBullet"/>
      </w:pPr>
      <w:r>
        <w:t>Emergency medication must be accessible to appropriately authorised staff when required.</w:t>
      </w:r>
    </w:p>
    <w:p>
      <w:pPr>
        <w:pStyle w:val="ListBullet"/>
      </w:pPr>
      <w:r>
        <w:t>Health information will be handled confidentially but shared with those who need it to keep the learner safe.</w:t>
      </w:r>
    </w:p>
    <w:p>
      <w:pPr>
        <w:pStyle w:val="ListBullet"/>
      </w:pPr>
      <w:r>
        <w:t>Individual dignity, communication needs, SEND and reasonable adjustments will be considered throughout.</w:t>
      </w:r>
    </w:p>
    <w:p>
      <w:pPr>
        <w:pStyle w:val="Heading1"/>
      </w:pPr>
      <w:r>
        <w:t>3. First Aid Arrangements</w:t>
      </w:r>
    </w:p>
    <w:p>
      <w:r>
        <w:t>Bridgepoint will undertake a first-aid needs assessment appropriate to its premises, staffing, activities and learner cohort and will ensure suitable first-aid provision is available.</w:t>
      </w:r>
    </w:p>
    <w:p>
      <w:r>
        <w:t>First-aid equipment will be appropriately located, checked and replenished. Staff will know how to obtain first-aid assistance and how to summon emergency services.</w:t>
      </w:r>
    </w:p>
    <w:p>
      <w:r>
        <w:t>Bridgepoint will maintain an appropriate number and type of trained first aiders according to its needs assessment and current legal requirements.</w:t>
      </w:r>
    </w:p>
    <w:p>
      <w:pPr>
        <w:pStyle w:val="Heading1"/>
      </w:pPr>
      <w:r>
        <w:t>4. Responding to Injury or Illness</w:t>
      </w:r>
    </w:p>
    <w:p>
      <w:r>
        <w:t>When a learner becomes ill or is injured, staff will assess the immediate situation within their competence, provide appropriate first aid, seek additional assistance where needed and ensure the learner is supervised.</w:t>
      </w:r>
    </w:p>
    <w:p>
      <w:r>
        <w:t>Parents/carers will be informed where appropriate. Significant incidents may also be communicated to the commissioning school, local authority or other responsible organisation in accordance with the placement agreement.</w:t>
      </w:r>
    </w:p>
    <w:p>
      <w:r>
        <w:t>All significant first-aid treatment, accidents and medical incidents will be recorded.</w:t>
      </w:r>
    </w:p>
    <w:p>
      <w:pPr>
        <w:pStyle w:val="Heading1"/>
      </w:pPr>
      <w:r>
        <w:t>5. Medical Emergencies</w:t>
      </w:r>
    </w:p>
    <w:p>
      <w:r>
        <w:t>Emergency services will be contacted where a learner or adult appears seriously unwell or injured, where an emergency healthcare plan requires it, or where staff are sufficiently concerned that urgent professional assessment is needed.</w:t>
      </w:r>
    </w:p>
    <w:p>
      <w:r>
        <w:t>Staff must not delay necessary emergency treatment while attempting to obtain routine parental permission.</w:t>
      </w:r>
    </w:p>
    <w:p>
      <w:r>
        <w:t>A parent/carer or emergency contact will be informed as soon as reasonably practicable. Where relevant, the commissioner will also be notified.</w:t>
      </w:r>
    </w:p>
    <w:p>
      <w:pPr>
        <w:pStyle w:val="Heading1"/>
      </w:pPr>
      <w:r>
        <w:t>6. Medical Information at Referral</w:t>
      </w:r>
    </w:p>
    <w:p>
      <w:r>
        <w:t>Referrers and parents/carers must provide relevant medical information necessary for safe participation. This may include diagnoses, allergies, medication, emergency medication, seizure plans, asthma arrangements, diabetes care, mobility needs, feeding or eating requirements and emergency healthcare instructions.</w:t>
      </w:r>
    </w:p>
    <w:p>
      <w:r>
        <w:t>Where essential information is missing, Bridgepoint may delay the start of a placement or particular activity until it can be delivered safely.</w:t>
      </w:r>
    </w:p>
    <w:p>
      <w:pPr>
        <w:pStyle w:val="Heading1"/>
      </w:pPr>
      <w:r>
        <w:t>7. Individual Healthcare Plans</w:t>
      </w:r>
    </w:p>
    <w:p>
      <w:r>
        <w:t>An Individual Healthcare Plan or equivalent medical plan will be obtained, developed or agreed where a learner's medical needs require specific arrangements during Bridgepoint sessions.</w:t>
      </w:r>
    </w:p>
    <w:p>
      <w:r>
        <w:t>Plans may include:</w:t>
      </w:r>
    </w:p>
    <w:p>
      <w:pPr>
        <w:pStyle w:val="ListBullet"/>
      </w:pPr>
      <w:r>
        <w:t>the condition and its signs or symptoms;</w:t>
      </w:r>
    </w:p>
    <w:p>
      <w:pPr>
        <w:pStyle w:val="ListBullet"/>
      </w:pPr>
      <w:r>
        <w:t>routine and emergency medication;</w:t>
      </w:r>
    </w:p>
    <w:p>
      <w:pPr>
        <w:pStyle w:val="ListBullet"/>
      </w:pPr>
      <w:r>
        <w:t>triggers and preventative measures;</w:t>
      </w:r>
    </w:p>
    <w:p>
      <w:pPr>
        <w:pStyle w:val="ListBullet"/>
      </w:pPr>
      <w:r>
        <w:t>what staff should do in an emergency;</w:t>
      </w:r>
    </w:p>
    <w:p>
      <w:pPr>
        <w:pStyle w:val="ListBullet"/>
      </w:pPr>
      <w:r>
        <w:t>staff training or competence required;</w:t>
      </w:r>
    </w:p>
    <w:p>
      <w:pPr>
        <w:pStyle w:val="ListBullet"/>
      </w:pPr>
      <w:r>
        <w:t>storage and access arrangements;</w:t>
      </w:r>
    </w:p>
    <w:p>
      <w:pPr>
        <w:pStyle w:val="ListBullet"/>
      </w:pPr>
      <w:r>
        <w:t>adjustments to activities or environment;</w:t>
      </w:r>
    </w:p>
    <w:p>
      <w:pPr>
        <w:pStyle w:val="ListBullet"/>
      </w:pPr>
      <w:r>
        <w:t>communication with parents/carers and health professionals;</w:t>
      </w:r>
    </w:p>
    <w:p>
      <w:pPr>
        <w:pStyle w:val="ListBullet"/>
      </w:pPr>
      <w:r>
        <w:t>arrangements for off-site activity;</w:t>
      </w:r>
    </w:p>
    <w:p>
      <w:pPr>
        <w:pStyle w:val="ListBullet"/>
      </w:pPr>
      <w:r>
        <w:t>review dates and circumstances requiring earlier review.</w:t>
      </w:r>
    </w:p>
    <w:p>
      <w:r>
        <w:t>Bridgepoint will work with the parent/carer, commissioner and relevant health professionals as appropriate. Bridgepoint will not independently alter prescribed medical instructions.</w:t>
      </w:r>
    </w:p>
    <w:p>
      <w:pPr>
        <w:pStyle w:val="Heading1"/>
      </w:pPr>
      <w:r>
        <w:t>8. Medication - General Requirements</w:t>
      </w:r>
    </w:p>
    <w:p>
      <w:r>
        <w:t>Medication will normally only be accepted where its administration during Bridgepoint attendance is necessary and appropriate and sufficient written information has been provided.</w:t>
      </w:r>
    </w:p>
    <w:p>
      <w:r>
        <w:t>Medication should normally be supplied in its original pharmacy-dispensed packaging, clearly labelled for the individual learner with the medication name, dose and instructions, unless a different lawful arrangement has been specifically agreed.</w:t>
      </w:r>
    </w:p>
    <w:p>
      <w:r>
        <w:t>Bridgepoint will not administer medication that is out of date, unidentifiable or supplied without sufficient instructions.</w:t>
      </w:r>
    </w:p>
    <w:p>
      <w:pPr>
        <w:pStyle w:val="Heading1"/>
      </w:pPr>
      <w:r>
        <w:t>9. Consent and Authorisation</w:t>
      </w:r>
    </w:p>
    <w:p>
      <w:r>
        <w:t>Appropriate written parental/carer authorisation and medication information will be obtained before routine medication is administered by Bridgepoint staff, except where emergency action is lawfully required.</w:t>
      </w:r>
    </w:p>
    <w:p>
      <w:r>
        <w:t>Consent arrangements will identify the medication, dose, route, timing or circumstances for administration and any relevant precautions.</w:t>
      </w:r>
    </w:p>
    <w:p>
      <w:pPr>
        <w:pStyle w:val="Heading1"/>
      </w:pPr>
      <w:r>
        <w:t>10. Administration of Medication</w:t>
      </w:r>
    </w:p>
    <w:p>
      <w:r>
        <w:t>Only staff authorised by Bridgepoint and appropriately trained or competent for the medication or procedure will administer medication.</w:t>
      </w:r>
    </w:p>
    <w:p>
      <w:r>
        <w:t>The medication record should document the learner, medication, dose, date, time, person administering and any relevant outcome or reason a scheduled dose was not given.</w:t>
      </w:r>
    </w:p>
    <w:p>
      <w:r>
        <w:t>Where an administration error occurs or is suspected, staff will prioritise the learner's safety, seek appropriate medical or pharmaceutical advice, inform the parent/carer and record and review the incident.</w:t>
      </w:r>
    </w:p>
    <w:p>
      <w:pPr>
        <w:pStyle w:val="Heading1"/>
      </w:pPr>
      <w:r>
        <w:t>11. Storage of Medication</w:t>
      </w:r>
    </w:p>
    <w:p>
      <w:r>
        <w:t>Medication will be stored securely while remaining accessible when clinically required. Storage will follow manufacturer or pharmacy instructions, including refrigeration where necessary.</w:t>
      </w:r>
    </w:p>
    <w:p>
      <w:r>
        <w:t>Emergency medication such as adrenaline auto-injectors, inhalers or seizure rescue medication must not be stored in a way that creates unsafe delay in an emergency.</w:t>
      </w:r>
    </w:p>
    <w:p>
      <w:r>
        <w:t>Controlled drugs, where accepted, will be subject to additional secure storage and recording arrangements appropriate to applicable requirements.</w:t>
      </w:r>
    </w:p>
    <w:p>
      <w:pPr>
        <w:pStyle w:val="Heading1"/>
      </w:pPr>
      <w:r>
        <w:t>12. Self-Administration</w:t>
      </w:r>
    </w:p>
    <w:p>
      <w:r>
        <w:t>Where a learner is competent and it is safe and appropriate, Bridgepoint may support them to carry and/or self-administer medication under an agreed plan.</w:t>
      </w:r>
    </w:p>
    <w:p>
      <w:r>
        <w:t>The decision will consider age, understanding, medical advice, parental/carer information, risk and the nature of the medication. Support should promote independence without compromising safety.</w:t>
      </w:r>
    </w:p>
    <w:p>
      <w:pPr>
        <w:pStyle w:val="Heading1"/>
      </w:pPr>
      <w:r>
        <w:t>13. Emergency Medication</w:t>
      </w:r>
    </w:p>
    <w:p>
      <w:r>
        <w:t>Learners who require emergency medication must have clear instructions available to relevant staff. Staff expected to administer specialist emergency medication must receive appropriate training and understand when to call emergency services.</w:t>
      </w:r>
    </w:p>
    <w:p>
      <w:r>
        <w:t>Bridgepoint will consider access to emergency medication during community activities, off-site learning and evacuation.</w:t>
      </w:r>
    </w:p>
    <w:p>
      <w:pPr>
        <w:pStyle w:val="Heading1"/>
      </w:pPr>
      <w:r>
        <w:t>14. Allergies and Anaphylaxis</w:t>
      </w:r>
    </w:p>
    <w:p>
      <w:r>
        <w:t>Known allergies must be disclosed before placement or activity. Bridgepoint will assess required controls, including food and environmental exposure, cross-contamination, emergency medication and staff awareness.</w:t>
      </w:r>
    </w:p>
    <w:p>
      <w:r>
        <w:t>Where a learner is at risk of anaphylaxis, an appropriate allergy or healthcare plan and prescribed emergency medication should be available. Staff will follow the learner's plan and emergency guidance.</w:t>
      </w:r>
    </w:p>
    <w:p>
      <w:r>
        <w:t>Bridgepoint cannot guarantee an entirely allergen-free environment but will take reasonable and proportionate steps to reduce identified risk.</w:t>
      </w:r>
    </w:p>
    <w:p>
      <w:pPr>
        <w:pStyle w:val="Heading1"/>
      </w:pPr>
      <w:r>
        <w:t>15. Asthma</w:t>
      </w:r>
    </w:p>
    <w:p>
      <w:r>
        <w:t>Learners with asthma should have access to their prescribed reliever medication in accordance with their healthcare arrangements. Staff will respond to symptoms according to the learner's plan and seek emergency assistance where symptoms are severe, worsening or not responding as expected.</w:t>
      </w:r>
    </w:p>
    <w:p>
      <w:pPr>
        <w:pStyle w:val="Heading1"/>
      </w:pPr>
      <w:r>
        <w:t>16. Seizures and Other Specialist Medical Needs</w:t>
      </w:r>
    </w:p>
    <w:p>
      <w:r>
        <w:t>Where a learner has epilepsy, diabetes or another condition requiring specialist monitoring, treatment or emergency response, Bridgepoint will determine before placement whether it has the information, trained staff, equipment and arrangements needed to support the learner safely.</w:t>
      </w:r>
    </w:p>
    <w:p>
      <w:r>
        <w:t>Specialist procedures will only be undertaken by staff who have received appropriate training and have been assessed as competent where required.</w:t>
      </w:r>
    </w:p>
    <w:p>
      <w:pPr>
        <w:pStyle w:val="Heading1"/>
      </w:pPr>
      <w:r>
        <w:t>17. Intimate and Personal Care</w:t>
      </w:r>
    </w:p>
    <w:p>
      <w:r>
        <w:t>Where a learner requires personal or intimate care related to a medical or disability need, arrangements will protect dignity, privacy, safeguarding and safety.</w:t>
      </w:r>
    </w:p>
    <w:p>
      <w:r>
        <w:t>A separate individual care plan and risk assessment may be required. Staff will only provide care within the scope of their role, training and agreed procedures.</w:t>
      </w:r>
    </w:p>
    <w:p>
      <w:pPr>
        <w:pStyle w:val="Heading1"/>
      </w:pPr>
      <w:r>
        <w:t>18. Infection and Communicable Illness</w:t>
      </w:r>
    </w:p>
    <w:p>
      <w:r>
        <w:t>Bridgepoint will take reasonable steps to reduce the spread of infection, including appropriate hygiene, cleaning and management of bodily fluids.</w:t>
      </w:r>
    </w:p>
    <w:p>
      <w:r>
        <w:t>Decisions about attendance during infectious illness will be based on current public-health or medical guidance and the circumstances of the learner, rather than arbitrary exclusion periods.</w:t>
      </w:r>
    </w:p>
    <w:p>
      <w:pPr>
        <w:pStyle w:val="Heading1"/>
      </w:pPr>
      <w:r>
        <w:t>19. Off-Site Activities and Community Learning</w:t>
      </w:r>
    </w:p>
    <w:p>
      <w:r>
        <w:t>Medical needs will be considered when planning off-site activities. Required medication, emergency plans, trained staff, communication arrangements and access to emergency assistance must be considered before departure.</w:t>
      </w:r>
    </w:p>
    <w:p>
      <w:r>
        <w:t>A learner should not be excluded from an activity solely because of a medical condition where reasonable arrangements can enable safe participation.</w:t>
      </w:r>
    </w:p>
    <w:p>
      <w:pPr>
        <w:pStyle w:val="Heading1"/>
      </w:pPr>
      <w:r>
        <w:t>20. Record Keeping</w:t>
      </w:r>
    </w:p>
    <w:p>
      <w:r>
        <w:t>Bridgepoint will keep appropriate records of medication administration, significant medical incidents, first-aid treatment and relevant staff training.</w:t>
      </w:r>
    </w:p>
    <w:p>
      <w:r>
        <w:t>Records will be factual, stored securely and retained in accordance with Bridgepoint's data-protection and retention arrangements.</w:t>
      </w:r>
    </w:p>
    <w:p>
      <w:pPr>
        <w:pStyle w:val="Heading1"/>
      </w:pPr>
      <w:r>
        <w:t>21. Confidentiality and Information Sharing</w:t>
      </w:r>
    </w:p>
    <w:p>
      <w:r>
        <w:t>Medical information is sensitive personal data. It will be shared only where there is a lawful reason or where sharing is necessary to protect the learner or another person.</w:t>
      </w:r>
    </w:p>
    <w:p>
      <w:r>
        <w:t>Staff directly responsible for a learner must have sufficient information to respond safely. Confidentiality will not be used to prevent necessary safeguarding or emergency information sharing.</w:t>
      </w:r>
    </w:p>
    <w:p>
      <w:pPr>
        <w:pStyle w:val="Heading1"/>
      </w:pPr>
      <w:r>
        <w:t>22. Staff Medication and Health</w:t>
      </w:r>
    </w:p>
    <w:p>
      <w:r>
        <w:t>Staff are responsible for managing their own medication safely and ensuring it is inaccessible to learners. Staff should inform an appropriate manager where a health condition or medication may materially affect their ability to carry out safety-critical duties.</w:t>
      </w:r>
    </w:p>
    <w:p>
      <w:r>
        <w:t>Bridgepoint will handle staff health information confidentially and consider reasonable adjustments where applicable.</w:t>
      </w:r>
    </w:p>
    <w:p>
      <w:pPr>
        <w:pStyle w:val="Heading1"/>
      </w:pPr>
      <w:r>
        <w:t>23. Accident Reporting and RIDDOR</w:t>
      </w:r>
    </w:p>
    <w:p>
      <w:r>
        <w:t>Accidents and specified work-related incidents will be reviewed to determine whether reporting to the Health and Safety Executive is required under the Reporting of Injuries, Diseases and Dangerous Occurrences Regulations (RIDDOR).</w:t>
      </w:r>
    </w:p>
    <w:p>
      <w:r>
        <w:t>Not every injury or medical event is reportable. Bridgepoint will assess the circumstances against the current reporting requirements.</w:t>
      </w:r>
    </w:p>
    <w:p>
      <w:pPr>
        <w:pStyle w:val="Heading1"/>
      </w:pPr>
      <w:r>
        <w:t>24. Training and Competence</w:t>
      </w:r>
    </w:p>
    <w:p>
      <w:r>
        <w:t>Training will reflect the needs of learners and staff roles. This may include first aid, paediatric first aid where required by the setting or activity, anaphylaxis, asthma, epilepsy rescue medication, diabetes support or other specialist procedures.</w:t>
      </w:r>
    </w:p>
    <w:p>
      <w:r>
        <w:t>Training records will be maintained. Staff must tell a manager if they do not feel competent to perform an assigned medical task.</w:t>
      </w:r>
    </w:p>
    <w:p>
      <w:pPr>
        <w:pStyle w:val="Heading1"/>
      </w:pPr>
      <w:r>
        <w:t>25. Review</w:t>
      </w:r>
    </w:p>
    <w:p>
      <w:r>
        <w:t>This policy will be reviewed at least annually and sooner following a significant medical incident, changes to learner needs, changes to legislation or guidance, or changes to Bridgepoint's operating model.</w:t>
      </w:r>
    </w:p>
    <w:p>
      <w:pPr>
        <w:pStyle w:val="Heading1"/>
      </w:pPr>
      <w:r>
        <w:t>Appendix A - Medication Administration Record</w:t>
      </w:r>
    </w:p>
    <w:tbl>
      <w:tblPr>
        <w:tblStyle w:val="TableGrid"/>
        <w:tblW w:type="auto" w:w="0"/>
        <w:jc w:val="center"/>
        <w:tblLook w:firstColumn="1" w:firstRow="1" w:lastColumn="0" w:lastRow="0" w:noHBand="0" w:noVBand="1" w:val="04A0"/>
      </w:tblPr>
      <w:tblGrid>
        <w:gridCol w:w="1452"/>
        <w:gridCol w:w="1452"/>
        <w:gridCol w:w="1452"/>
        <w:gridCol w:w="1452"/>
        <w:gridCol w:w="1452"/>
        <w:gridCol w:w="1452"/>
        <w:gridCol w:w="1452"/>
      </w:tblGrid>
      <w:tr>
        <w:tc>
          <w:tcPr>
            <w:tcW w:type="dxa" w:w="1452"/>
            <w:shd w:fill="EDEDED"/>
          </w:tcPr>
          <w:p>
            <w:r>
              <w:rPr>
                <w:b/>
              </w:rPr>
              <w:t>Learner</w:t>
            </w:r>
          </w:p>
        </w:tc>
        <w:tc>
          <w:tcPr>
            <w:tcW w:type="dxa" w:w="1452"/>
            <w:shd w:fill="EDEDED"/>
          </w:tcPr>
          <w:p>
            <w:r>
              <w:rPr>
                <w:b/>
              </w:rPr>
              <w:t>Medication</w:t>
            </w:r>
          </w:p>
        </w:tc>
        <w:tc>
          <w:tcPr>
            <w:tcW w:type="dxa" w:w="1452"/>
            <w:shd w:fill="EDEDED"/>
          </w:tcPr>
          <w:p>
            <w:r>
              <w:rPr>
                <w:b/>
              </w:rPr>
              <w:t>Dose</w:t>
            </w:r>
          </w:p>
        </w:tc>
        <w:tc>
          <w:tcPr>
            <w:tcW w:type="dxa" w:w="1452"/>
            <w:shd w:fill="EDEDED"/>
          </w:tcPr>
          <w:p>
            <w:r>
              <w:rPr>
                <w:b/>
              </w:rPr>
              <w:t>Date</w:t>
            </w:r>
          </w:p>
        </w:tc>
        <w:tc>
          <w:tcPr>
            <w:tcW w:type="dxa" w:w="1452"/>
            <w:shd w:fill="EDEDED"/>
          </w:tcPr>
          <w:p>
            <w:r>
              <w:rPr>
                <w:b/>
              </w:rPr>
              <w:t>Time</w:t>
            </w:r>
          </w:p>
        </w:tc>
        <w:tc>
          <w:tcPr>
            <w:tcW w:type="dxa" w:w="1452"/>
            <w:shd w:fill="EDEDED"/>
          </w:tcPr>
          <w:p>
            <w:r>
              <w:rPr>
                <w:b/>
              </w:rPr>
              <w:t>Administered by</w:t>
            </w:r>
          </w:p>
        </w:tc>
        <w:tc>
          <w:tcPr>
            <w:tcW w:type="dxa" w:w="1452"/>
            <w:shd w:fill="EDEDED"/>
          </w:tcPr>
          <w:p>
            <w:r>
              <w:rPr>
                <w:b/>
              </w:rPr>
              <w:t>Notes</w:t>
            </w:r>
          </w:p>
        </w:tc>
      </w:tr>
      <w:tr>
        <w:tc>
          <w:tcPr>
            <w:tcW w:type="dxa" w:w="1452"/>
          </w:tcPr>
          <w:p>
            <w:r>
              <w:br/>
            </w:r>
          </w:p>
        </w:tc>
        <w:tc>
          <w:tcPr>
            <w:tcW w:type="dxa" w:w="1452"/>
          </w:tcPr>
          <w:p>
            <w:r>
              <w:br/>
            </w:r>
          </w:p>
        </w:tc>
        <w:tc>
          <w:tcPr>
            <w:tcW w:type="dxa" w:w="1452"/>
          </w:tcPr>
          <w:p>
            <w:r>
              <w:br/>
            </w:r>
          </w:p>
        </w:tc>
        <w:tc>
          <w:tcPr>
            <w:tcW w:type="dxa" w:w="1452"/>
          </w:tcPr>
          <w:p>
            <w:r>
              <w:br/>
            </w:r>
          </w:p>
        </w:tc>
        <w:tc>
          <w:tcPr>
            <w:tcW w:type="dxa" w:w="1452"/>
          </w:tcPr>
          <w:p>
            <w:r>
              <w:br/>
            </w:r>
          </w:p>
        </w:tc>
        <w:tc>
          <w:tcPr>
            <w:tcW w:type="dxa" w:w="1452"/>
          </w:tcPr>
          <w:p>
            <w:r>
              <w:br/>
            </w:r>
          </w:p>
        </w:tc>
        <w:tc>
          <w:tcPr>
            <w:tcW w:type="dxa" w:w="1452"/>
          </w:tcPr>
          <w:p>
            <w:r>
              <w:br/>
            </w:r>
          </w:p>
        </w:tc>
      </w:tr>
      <w:tr>
        <w:tc>
          <w:tcPr>
            <w:tcW w:type="dxa" w:w="1452"/>
          </w:tcPr>
          <w:p>
            <w:r>
              <w:br/>
            </w:r>
          </w:p>
        </w:tc>
        <w:tc>
          <w:tcPr>
            <w:tcW w:type="dxa" w:w="1452"/>
          </w:tcPr>
          <w:p>
            <w:r>
              <w:br/>
            </w:r>
          </w:p>
        </w:tc>
        <w:tc>
          <w:tcPr>
            <w:tcW w:type="dxa" w:w="1452"/>
          </w:tcPr>
          <w:p>
            <w:r>
              <w:br/>
            </w:r>
          </w:p>
        </w:tc>
        <w:tc>
          <w:tcPr>
            <w:tcW w:type="dxa" w:w="1452"/>
          </w:tcPr>
          <w:p>
            <w:r>
              <w:br/>
            </w:r>
          </w:p>
        </w:tc>
        <w:tc>
          <w:tcPr>
            <w:tcW w:type="dxa" w:w="1452"/>
          </w:tcPr>
          <w:p>
            <w:r>
              <w:br/>
            </w:r>
          </w:p>
        </w:tc>
        <w:tc>
          <w:tcPr>
            <w:tcW w:type="dxa" w:w="1452"/>
          </w:tcPr>
          <w:p>
            <w:r>
              <w:br/>
            </w:r>
          </w:p>
        </w:tc>
        <w:tc>
          <w:tcPr>
            <w:tcW w:type="dxa" w:w="1452"/>
          </w:tcPr>
          <w:p>
            <w:r>
              <w:br/>
            </w:r>
          </w:p>
        </w:tc>
      </w:tr>
      <w:tr>
        <w:tc>
          <w:tcPr>
            <w:tcW w:type="dxa" w:w="1452"/>
          </w:tcPr>
          <w:p>
            <w:r>
              <w:br/>
            </w:r>
          </w:p>
        </w:tc>
        <w:tc>
          <w:tcPr>
            <w:tcW w:type="dxa" w:w="1452"/>
          </w:tcPr>
          <w:p>
            <w:r>
              <w:br/>
            </w:r>
          </w:p>
        </w:tc>
        <w:tc>
          <w:tcPr>
            <w:tcW w:type="dxa" w:w="1452"/>
          </w:tcPr>
          <w:p>
            <w:r>
              <w:br/>
            </w:r>
          </w:p>
        </w:tc>
        <w:tc>
          <w:tcPr>
            <w:tcW w:type="dxa" w:w="1452"/>
          </w:tcPr>
          <w:p>
            <w:r>
              <w:br/>
            </w:r>
          </w:p>
        </w:tc>
        <w:tc>
          <w:tcPr>
            <w:tcW w:type="dxa" w:w="1452"/>
          </w:tcPr>
          <w:p>
            <w:r>
              <w:br/>
            </w:r>
          </w:p>
        </w:tc>
        <w:tc>
          <w:tcPr>
            <w:tcW w:type="dxa" w:w="1452"/>
          </w:tcPr>
          <w:p>
            <w:r>
              <w:br/>
            </w:r>
          </w:p>
        </w:tc>
        <w:tc>
          <w:tcPr>
            <w:tcW w:type="dxa" w:w="1452"/>
          </w:tcPr>
          <w:p>
            <w:r>
              <w:br/>
            </w:r>
          </w:p>
        </w:tc>
      </w:tr>
      <w:tr>
        <w:tc>
          <w:tcPr>
            <w:tcW w:type="dxa" w:w="1452"/>
          </w:tcPr>
          <w:p>
            <w:r>
              <w:br/>
            </w:r>
          </w:p>
        </w:tc>
        <w:tc>
          <w:tcPr>
            <w:tcW w:type="dxa" w:w="1452"/>
          </w:tcPr>
          <w:p>
            <w:r>
              <w:br/>
            </w:r>
          </w:p>
        </w:tc>
        <w:tc>
          <w:tcPr>
            <w:tcW w:type="dxa" w:w="1452"/>
          </w:tcPr>
          <w:p>
            <w:r>
              <w:br/>
            </w:r>
          </w:p>
        </w:tc>
        <w:tc>
          <w:tcPr>
            <w:tcW w:type="dxa" w:w="1452"/>
          </w:tcPr>
          <w:p>
            <w:r>
              <w:br/>
            </w:r>
          </w:p>
        </w:tc>
        <w:tc>
          <w:tcPr>
            <w:tcW w:type="dxa" w:w="1452"/>
          </w:tcPr>
          <w:p>
            <w:r>
              <w:br/>
            </w:r>
          </w:p>
        </w:tc>
        <w:tc>
          <w:tcPr>
            <w:tcW w:type="dxa" w:w="1452"/>
          </w:tcPr>
          <w:p>
            <w:r>
              <w:br/>
            </w:r>
          </w:p>
        </w:tc>
        <w:tc>
          <w:tcPr>
            <w:tcW w:type="dxa" w:w="1452"/>
          </w:tcPr>
          <w:p>
            <w:r>
              <w:br/>
            </w:r>
          </w:p>
        </w:tc>
      </w:tr>
      <w:tr>
        <w:tc>
          <w:tcPr>
            <w:tcW w:type="dxa" w:w="1452"/>
          </w:tcPr>
          <w:p>
            <w:r>
              <w:br/>
            </w:r>
          </w:p>
        </w:tc>
        <w:tc>
          <w:tcPr>
            <w:tcW w:type="dxa" w:w="1452"/>
          </w:tcPr>
          <w:p>
            <w:r>
              <w:br/>
            </w:r>
          </w:p>
        </w:tc>
        <w:tc>
          <w:tcPr>
            <w:tcW w:type="dxa" w:w="1452"/>
          </w:tcPr>
          <w:p>
            <w:r>
              <w:br/>
            </w:r>
          </w:p>
        </w:tc>
        <w:tc>
          <w:tcPr>
            <w:tcW w:type="dxa" w:w="1452"/>
          </w:tcPr>
          <w:p>
            <w:r>
              <w:br/>
            </w:r>
          </w:p>
        </w:tc>
        <w:tc>
          <w:tcPr>
            <w:tcW w:type="dxa" w:w="1452"/>
          </w:tcPr>
          <w:p>
            <w:r>
              <w:br/>
            </w:r>
          </w:p>
        </w:tc>
        <w:tc>
          <w:tcPr>
            <w:tcW w:type="dxa" w:w="1452"/>
          </w:tcPr>
          <w:p>
            <w:r>
              <w:br/>
            </w:r>
          </w:p>
        </w:tc>
        <w:tc>
          <w:tcPr>
            <w:tcW w:type="dxa" w:w="1452"/>
          </w:tcPr>
          <w:p>
            <w:r>
              <w:br/>
            </w:r>
          </w:p>
        </w:tc>
      </w:tr>
    </w:tbl>
    <w:p>
      <w:pPr>
        <w:pStyle w:val="Heading1"/>
      </w:pPr>
      <w:r>
        <w:t>Appendix B - Parent/Carer Medication Authorisation</w:t>
      </w:r>
    </w:p>
    <w:tbl>
      <w:tblPr>
        <w:tblStyle w:val="TableGrid"/>
        <w:tblW w:type="auto" w:w="0"/>
        <w:tblLook w:firstColumn="1" w:firstRow="1" w:lastColumn="0" w:lastRow="0" w:noHBand="0" w:noVBand="1" w:val="04A0"/>
      </w:tblPr>
      <w:tblGrid>
        <w:gridCol w:w="5083"/>
        <w:gridCol w:w="5083"/>
      </w:tblGrid>
      <w:tr>
        <w:tc>
          <w:tcPr>
            <w:tcW w:type="dxa" w:w="5083"/>
            <w:shd w:fill="EDEDED"/>
          </w:tcPr>
          <w:p>
            <w:r>
              <w:rPr>
                <w:b/>
              </w:rPr>
              <w:t>Learner name</w:t>
            </w:r>
          </w:p>
        </w:tc>
        <w:tc>
          <w:tcPr>
            <w:tcW w:type="dxa" w:w="5083"/>
          </w:tcPr>
          <w:p>
            <w:r/>
          </w:p>
        </w:tc>
      </w:tr>
      <w:tr>
        <w:tc>
          <w:tcPr>
            <w:tcW w:type="dxa" w:w="5083"/>
            <w:shd w:fill="EDEDED"/>
          </w:tcPr>
          <w:p>
            <w:r>
              <w:rPr>
                <w:b/>
              </w:rPr>
              <w:t>Date of birth</w:t>
            </w:r>
          </w:p>
        </w:tc>
        <w:tc>
          <w:tcPr>
            <w:tcW w:type="dxa" w:w="5083"/>
          </w:tcPr>
          <w:p>
            <w:r/>
          </w:p>
        </w:tc>
      </w:tr>
      <w:tr>
        <w:tc>
          <w:tcPr>
            <w:tcW w:type="dxa" w:w="5083"/>
            <w:shd w:fill="EDEDED"/>
          </w:tcPr>
          <w:p>
            <w:r>
              <w:rPr>
                <w:b/>
              </w:rPr>
              <w:t>Medication name</w:t>
            </w:r>
          </w:p>
        </w:tc>
        <w:tc>
          <w:tcPr>
            <w:tcW w:type="dxa" w:w="5083"/>
          </w:tcPr>
          <w:p>
            <w:r/>
          </w:p>
        </w:tc>
      </w:tr>
      <w:tr>
        <w:tc>
          <w:tcPr>
            <w:tcW w:type="dxa" w:w="5083"/>
            <w:shd w:fill="EDEDED"/>
          </w:tcPr>
          <w:p>
            <w:r>
              <w:rPr>
                <w:b/>
              </w:rPr>
              <w:t>Dose / route</w:t>
            </w:r>
          </w:p>
        </w:tc>
        <w:tc>
          <w:tcPr>
            <w:tcW w:type="dxa" w:w="5083"/>
          </w:tcPr>
          <w:p>
            <w:r/>
          </w:p>
        </w:tc>
      </w:tr>
      <w:tr>
        <w:tc>
          <w:tcPr>
            <w:tcW w:type="dxa" w:w="5083"/>
            <w:shd w:fill="EDEDED"/>
          </w:tcPr>
          <w:p>
            <w:r>
              <w:rPr>
                <w:b/>
              </w:rPr>
              <w:t>When / circumstances to administer</w:t>
            </w:r>
          </w:p>
        </w:tc>
        <w:tc>
          <w:tcPr>
            <w:tcW w:type="dxa" w:w="5083"/>
          </w:tcPr>
          <w:p>
            <w:r/>
          </w:p>
        </w:tc>
      </w:tr>
      <w:tr>
        <w:tc>
          <w:tcPr>
            <w:tcW w:type="dxa" w:w="5083"/>
            <w:shd w:fill="EDEDED"/>
          </w:tcPr>
          <w:p>
            <w:r>
              <w:rPr>
                <w:b/>
              </w:rPr>
              <w:t>Known side effects / precautions</w:t>
            </w:r>
          </w:p>
        </w:tc>
        <w:tc>
          <w:tcPr>
            <w:tcW w:type="dxa" w:w="5083"/>
          </w:tcPr>
          <w:p>
            <w:r/>
          </w:p>
        </w:tc>
      </w:tr>
      <w:tr>
        <w:tc>
          <w:tcPr>
            <w:tcW w:type="dxa" w:w="5083"/>
            <w:shd w:fill="EDEDED"/>
          </w:tcPr>
          <w:p>
            <w:r>
              <w:rPr>
                <w:b/>
              </w:rPr>
              <w:t>Storage instructions</w:t>
            </w:r>
          </w:p>
        </w:tc>
        <w:tc>
          <w:tcPr>
            <w:tcW w:type="dxa" w:w="5083"/>
          </w:tcPr>
          <w:p>
            <w:r/>
          </w:p>
        </w:tc>
      </w:tr>
      <w:tr>
        <w:tc>
          <w:tcPr>
            <w:tcW w:type="dxa" w:w="5083"/>
            <w:shd w:fill="EDEDED"/>
          </w:tcPr>
          <w:p>
            <w:r>
              <w:rPr>
                <w:b/>
              </w:rPr>
              <w:t>Prescribing clinician / service if relevant</w:t>
            </w:r>
          </w:p>
        </w:tc>
        <w:tc>
          <w:tcPr>
            <w:tcW w:type="dxa" w:w="5083"/>
          </w:tcPr>
          <w:p>
            <w:r/>
          </w:p>
        </w:tc>
      </w:tr>
      <w:tr>
        <w:tc>
          <w:tcPr>
            <w:tcW w:type="dxa" w:w="5083"/>
            <w:shd w:fill="EDEDED"/>
          </w:tcPr>
          <w:p>
            <w:r>
              <w:rPr>
                <w:b/>
              </w:rPr>
              <w:t>Parent/carer name</w:t>
            </w:r>
          </w:p>
        </w:tc>
        <w:tc>
          <w:tcPr>
            <w:tcW w:type="dxa" w:w="5083"/>
          </w:tcPr>
          <w:p>
            <w:r/>
          </w:p>
        </w:tc>
      </w:tr>
      <w:tr>
        <w:tc>
          <w:tcPr>
            <w:tcW w:type="dxa" w:w="5083"/>
            <w:shd w:fill="EDEDED"/>
          </w:tcPr>
          <w:p>
            <w:r>
              <w:rPr>
                <w:b/>
              </w:rPr>
              <w:t>Emergency contact</w:t>
            </w:r>
          </w:p>
        </w:tc>
        <w:tc>
          <w:tcPr>
            <w:tcW w:type="dxa" w:w="5083"/>
          </w:tcPr>
          <w:p>
            <w:r/>
          </w:p>
        </w:tc>
      </w:tr>
      <w:tr>
        <w:tc>
          <w:tcPr>
            <w:tcW w:type="dxa" w:w="5083"/>
            <w:shd w:fill="EDEDED"/>
          </w:tcPr>
          <w:p>
            <w:r>
              <w:rPr>
                <w:b/>
              </w:rPr>
              <w:t>Signature</w:t>
            </w:r>
          </w:p>
        </w:tc>
        <w:tc>
          <w:tcPr>
            <w:tcW w:type="dxa" w:w="5083"/>
          </w:tcPr>
          <w:p>
            <w:r/>
          </w:p>
        </w:tc>
      </w:tr>
      <w:tr>
        <w:tc>
          <w:tcPr>
            <w:tcW w:type="dxa" w:w="5083"/>
            <w:shd w:fill="EDEDED"/>
          </w:tcPr>
          <w:p>
            <w:r>
              <w:rPr>
                <w:b/>
              </w:rPr>
              <w:t>Date</w:t>
            </w:r>
          </w:p>
        </w:tc>
        <w:tc>
          <w:tcPr>
            <w:tcW w:type="dxa" w:w="5083"/>
          </w:tcPr>
          <w:p>
            <w:r/>
          </w:p>
        </w:tc>
      </w:tr>
    </w:tbl>
    <w:p>
      <w:pPr>
        <w:pStyle w:val="Heading1"/>
      </w:pPr>
      <w:r>
        <w:t>Appendix C - Medical Incident / First Aid Record</w:t>
      </w:r>
    </w:p>
    <w:tbl>
      <w:tblPr>
        <w:tblStyle w:val="TableGrid"/>
        <w:tblW w:type="auto" w:w="0"/>
        <w:tblLook w:firstColumn="1" w:firstRow="1" w:lastColumn="0" w:lastRow="0" w:noHBand="0" w:noVBand="1" w:val="04A0"/>
      </w:tblPr>
      <w:tblGrid>
        <w:gridCol w:w="5083"/>
        <w:gridCol w:w="5083"/>
      </w:tblGrid>
      <w:tr>
        <w:tc>
          <w:tcPr>
            <w:tcW w:type="dxa" w:w="5083"/>
            <w:shd w:fill="EDEDED"/>
          </w:tcPr>
          <w:p>
            <w:r>
              <w:rPr>
                <w:b/>
              </w:rPr>
              <w:t>Learner / person</w:t>
            </w:r>
          </w:p>
        </w:tc>
        <w:tc>
          <w:tcPr>
            <w:tcW w:type="dxa" w:w="5083"/>
          </w:tcPr>
          <w:p>
            <w:r/>
          </w:p>
        </w:tc>
      </w:tr>
      <w:tr>
        <w:tc>
          <w:tcPr>
            <w:tcW w:type="dxa" w:w="5083"/>
            <w:shd w:fill="EDEDED"/>
          </w:tcPr>
          <w:p>
            <w:r>
              <w:rPr>
                <w:b/>
              </w:rPr>
              <w:t>Date and time</w:t>
            </w:r>
          </w:p>
        </w:tc>
        <w:tc>
          <w:tcPr>
            <w:tcW w:type="dxa" w:w="5083"/>
          </w:tcPr>
          <w:p>
            <w:r/>
          </w:p>
        </w:tc>
      </w:tr>
      <w:tr>
        <w:tc>
          <w:tcPr>
            <w:tcW w:type="dxa" w:w="5083"/>
            <w:shd w:fill="EDEDED"/>
          </w:tcPr>
          <w:p>
            <w:r>
              <w:rPr>
                <w:b/>
              </w:rPr>
              <w:t>Location</w:t>
            </w:r>
          </w:p>
        </w:tc>
        <w:tc>
          <w:tcPr>
            <w:tcW w:type="dxa" w:w="5083"/>
          </w:tcPr>
          <w:p>
            <w:r/>
          </w:p>
        </w:tc>
      </w:tr>
      <w:tr>
        <w:tc>
          <w:tcPr>
            <w:tcW w:type="dxa" w:w="5083"/>
            <w:shd w:fill="EDEDED"/>
          </w:tcPr>
          <w:p>
            <w:r>
              <w:rPr>
                <w:b/>
              </w:rPr>
              <w:t>What happened / symptoms</w:t>
            </w:r>
          </w:p>
        </w:tc>
        <w:tc>
          <w:tcPr>
            <w:tcW w:type="dxa" w:w="5083"/>
          </w:tcPr>
          <w:p>
            <w:r/>
          </w:p>
        </w:tc>
      </w:tr>
      <w:tr>
        <w:tc>
          <w:tcPr>
            <w:tcW w:type="dxa" w:w="5083"/>
            <w:shd w:fill="EDEDED"/>
          </w:tcPr>
          <w:p>
            <w:r>
              <w:rPr>
                <w:b/>
              </w:rPr>
              <w:t>First aid / action taken</w:t>
            </w:r>
          </w:p>
        </w:tc>
        <w:tc>
          <w:tcPr>
            <w:tcW w:type="dxa" w:w="5083"/>
          </w:tcPr>
          <w:p>
            <w:r/>
          </w:p>
        </w:tc>
      </w:tr>
      <w:tr>
        <w:tc>
          <w:tcPr>
            <w:tcW w:type="dxa" w:w="5083"/>
            <w:shd w:fill="EDEDED"/>
          </w:tcPr>
          <w:p>
            <w:r>
              <w:rPr>
                <w:b/>
              </w:rPr>
              <w:t>Medication administered</w:t>
            </w:r>
          </w:p>
        </w:tc>
        <w:tc>
          <w:tcPr>
            <w:tcW w:type="dxa" w:w="5083"/>
          </w:tcPr>
          <w:p>
            <w:r/>
          </w:p>
        </w:tc>
      </w:tr>
      <w:tr>
        <w:tc>
          <w:tcPr>
            <w:tcW w:type="dxa" w:w="5083"/>
            <w:shd w:fill="EDEDED"/>
          </w:tcPr>
          <w:p>
            <w:r>
              <w:rPr>
                <w:b/>
              </w:rPr>
              <w:t>Emergency services contacted</w:t>
            </w:r>
          </w:p>
        </w:tc>
        <w:tc>
          <w:tcPr>
            <w:tcW w:type="dxa" w:w="5083"/>
          </w:tcPr>
          <w:p>
            <w:r/>
          </w:p>
        </w:tc>
      </w:tr>
      <w:tr>
        <w:tc>
          <w:tcPr>
            <w:tcW w:type="dxa" w:w="5083"/>
            <w:shd w:fill="EDEDED"/>
          </w:tcPr>
          <w:p>
            <w:r>
              <w:rPr>
                <w:b/>
              </w:rPr>
              <w:t>Parent/carer contacted - time/by whom</w:t>
            </w:r>
          </w:p>
        </w:tc>
        <w:tc>
          <w:tcPr>
            <w:tcW w:type="dxa" w:w="5083"/>
          </w:tcPr>
          <w:p>
            <w:r/>
          </w:p>
        </w:tc>
      </w:tr>
      <w:tr>
        <w:tc>
          <w:tcPr>
            <w:tcW w:type="dxa" w:w="5083"/>
            <w:shd w:fill="EDEDED"/>
          </w:tcPr>
          <w:p>
            <w:r>
              <w:rPr>
                <w:b/>
              </w:rPr>
              <w:t>Commissioner informed if required</w:t>
            </w:r>
          </w:p>
        </w:tc>
        <w:tc>
          <w:tcPr>
            <w:tcW w:type="dxa" w:w="5083"/>
          </w:tcPr>
          <w:p>
            <w:r/>
          </w:p>
        </w:tc>
      </w:tr>
      <w:tr>
        <w:tc>
          <w:tcPr>
            <w:tcW w:type="dxa" w:w="5083"/>
            <w:shd w:fill="EDEDED"/>
          </w:tcPr>
          <w:p>
            <w:r>
              <w:rPr>
                <w:b/>
              </w:rPr>
              <w:t>Follow-up / review required</w:t>
            </w:r>
          </w:p>
        </w:tc>
        <w:tc>
          <w:tcPr>
            <w:tcW w:type="dxa" w:w="5083"/>
          </w:tcPr>
          <w:p>
            <w:r/>
          </w:p>
        </w:tc>
      </w:tr>
      <w:tr>
        <w:tc>
          <w:tcPr>
            <w:tcW w:type="dxa" w:w="5083"/>
            <w:shd w:fill="EDEDED"/>
          </w:tcPr>
          <w:p>
            <w:r>
              <w:rPr>
                <w:b/>
              </w:rPr>
              <w:t>Recorded by</w:t>
            </w:r>
          </w:p>
        </w:tc>
        <w:tc>
          <w:tcPr>
            <w:tcW w:type="dxa" w:w="5083"/>
          </w:tcPr>
          <w:p>
            <w:r/>
          </w:p>
        </w:tc>
      </w:tr>
    </w:tbl>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Bridgepoint Learning CIC | First Aid, Medical Needs &amp; Medication Policy</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16"/>
      </w:rPr>
      <w:t>BRIDGEPOINT LEARNING CIC | HEALTH, SAFETY &amp; MEDICAL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