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Curriculum &amp; Learning Framework</w:t>
      </w:r>
    </w:p>
    <w:p>
      <w:r>
        <w:rPr>
          <w:b/>
        </w:rPr>
        <w:t>Bridgepoint Learning CIC - Alternative Provision</w:t>
      </w:r>
      <w:r>
        <w:br/>
        <w:t>Small. Safe. Individualised. Creative. SEND-informed.</w:t>
      </w:r>
    </w:p>
    <w:tbl>
      <w:tblPr>
        <w:tblStyle w:val="TableGrid"/>
        <w:tblW w:type="auto" w:w="0"/>
        <w:jc w:val="left"/>
        <w:tblLook w:firstColumn="1" w:firstRow="1" w:lastColumn="0" w:lastRow="0" w:noHBand="0" w:noVBand="1" w:val="04A0"/>
      </w:tblPr>
      <w:tblGrid>
        <w:gridCol w:w="5083"/>
        <w:gridCol w:w="5083"/>
      </w:tblGrid>
      <w:tr>
        <w:tc>
          <w:tcPr>
            <w:tcW w:type="dxa" w:w="5083"/>
            <w:shd w:fill="EDEDED"/>
          </w:tcPr>
          <w:p>
            <w:r>
              <w:rPr>
                <w:b/>
              </w:rPr>
              <w:t>Framework owner</w:t>
            </w:r>
          </w:p>
        </w:tc>
        <w:tc>
          <w:tcPr>
            <w:tcW w:type="dxa" w:w="5083"/>
          </w:tcPr>
          <w:p>
            <w:r>
              <w:t>Charlotte Ujvari - Founder, Director &amp; Provision Lead</w:t>
            </w:r>
          </w:p>
        </w:tc>
      </w:tr>
      <w:tr>
        <w:tc>
          <w:tcPr>
            <w:tcW w:type="dxa" w:w="5083"/>
            <w:shd w:fill="EDEDED"/>
          </w:tcPr>
          <w:p>
            <w:r>
              <w:rPr>
                <w:b/>
              </w:rPr>
              <w:t>Age range</w:t>
            </w:r>
          </w:p>
        </w:tc>
        <w:tc>
          <w:tcPr>
            <w:tcW w:type="dxa" w:w="5083"/>
          </w:tcPr>
          <w:p>
            <w:r>
              <w:t>Compulsory school age, typically 5-16 years</w:t>
            </w:r>
          </w:p>
        </w:tc>
      </w:tr>
      <w:tr>
        <w:tc>
          <w:tcPr>
            <w:tcW w:type="dxa" w:w="5083"/>
            <w:shd w:fill="EDEDED"/>
          </w:tcPr>
          <w:p>
            <w:r>
              <w:rPr>
                <w:b/>
              </w:rPr>
              <w:t>Applies to</w:t>
            </w:r>
          </w:p>
        </w:tc>
        <w:tc>
          <w:tcPr>
            <w:tcW w:type="dxa" w:w="5083"/>
          </w:tcPr>
          <w:p>
            <w:r>
              <w:t>Bridgepoint Learning CIC Alternative Provision</w:t>
            </w:r>
          </w:p>
        </w:tc>
      </w:tr>
      <w:tr>
        <w:tc>
          <w:tcPr>
            <w:tcW w:type="dxa" w:w="5083"/>
            <w:shd w:fill="EDEDED"/>
          </w:tcPr>
          <w:p>
            <w:r>
              <w:rPr>
                <w:b/>
              </w:rPr>
              <w:t>Review cycle</w:t>
            </w:r>
          </w:p>
        </w:tc>
        <w:tc>
          <w:tcPr>
            <w:tcW w:type="dxa" w:w="5083"/>
          </w:tcPr>
          <w:p>
            <w:r>
              <w:t>At least annually and sooner following significant curriculum, guidance or operational change</w:t>
            </w:r>
          </w:p>
        </w:tc>
      </w:tr>
    </w:tbl>
    <w:p>
      <w:pPr>
        <w:pStyle w:val="Heading1"/>
      </w:pPr>
      <w:r>
        <w:t>1. Purpose and Curriculum Intent</w:t>
      </w:r>
    </w:p>
    <w:p>
      <w:r>
        <w:t>Bridgepoint provides SEND-focused Alternative Provision for children and young people who need a different or more individualised route into education. Our curriculum is designed to rebuild access to learning while developing knowledge, skills, confidence, regulation, communication and independence.</w:t>
      </w:r>
    </w:p>
    <w:p>
      <w:r>
        <w:t>The curriculum is not a single fixed timetable delivered identically to every learner. Each programme is planned around the learner's age, developmental profile, starting point, strengths, interests, SEND, communication needs, reason for referral, agreed placement outcomes and, where applicable, relevant EHCP outcomes and provision.</w:t>
      </w:r>
    </w:p>
    <w:p>
      <w:r>
        <w:t>Bridgepoint aims to provide meaningful education rather than simply occupying a learner's time. Activities are selected because they contribute to identified learning, developmental or transition outcomes.</w:t>
      </w:r>
    </w:p>
    <w:p>
      <w:pPr>
        <w:pStyle w:val="Heading1"/>
      </w:pPr>
      <w:r>
        <w:t>2. Curriculum Principles</w:t>
      </w:r>
    </w:p>
    <w:p>
      <w:pPr>
        <w:pStyle w:val="ListBullet"/>
      </w:pPr>
      <w:r>
        <w:t>Safety and belonging come before meaningful engagement can develop.</w:t>
      </w:r>
    </w:p>
    <w:p>
      <w:pPr>
        <w:pStyle w:val="ListBullet"/>
      </w:pPr>
      <w:r>
        <w:t>Every learner is viewed through their strengths as well as their needs.</w:t>
      </w:r>
    </w:p>
    <w:p>
      <w:pPr>
        <w:pStyle w:val="ListBullet"/>
      </w:pPr>
      <w:r>
        <w:t>Behaviour is understood in context and may communicate unmet need, distress or difficulty.</w:t>
      </w:r>
    </w:p>
    <w:p>
      <w:pPr>
        <w:pStyle w:val="ListBullet"/>
      </w:pPr>
      <w:r>
        <w:t>Learning should be accessible, purposeful and appropriately challenging.</w:t>
      </w:r>
    </w:p>
    <w:p>
      <w:pPr>
        <w:pStyle w:val="ListBullet"/>
      </w:pPr>
      <w:r>
        <w:t>Reasonable adjustments and SEND-informed practice are embedded into delivery.</w:t>
      </w:r>
    </w:p>
    <w:p>
      <w:pPr>
        <w:pStyle w:val="ListBullet"/>
      </w:pPr>
      <w:r>
        <w:t>Creative and practical learning can provide legitimate routes into academic, functional and personal development.</w:t>
      </w:r>
    </w:p>
    <w:p>
      <w:pPr>
        <w:pStyle w:val="ListBullet"/>
      </w:pPr>
      <w:r>
        <w:t>Progress is individual and may include re-engagement, communication, regulation and independence alongside academic attainment.</w:t>
      </w:r>
    </w:p>
    <w:p>
      <w:pPr>
        <w:pStyle w:val="ListBullet"/>
      </w:pPr>
      <w:r>
        <w:t>Children and young people should have an active voice in their programme wherever possible.</w:t>
      </w:r>
    </w:p>
    <w:p>
      <w:pPr>
        <w:pStyle w:val="ListBullet"/>
      </w:pPr>
      <w:r>
        <w:t>Alternative Provision should support a next step, including reintegration, transition, further education, training or increased independence.</w:t>
      </w:r>
    </w:p>
    <w:p>
      <w:pPr>
        <w:pStyle w:val="Heading1"/>
      </w:pPr>
      <w:r>
        <w:t>3. The Four Curriculum Strands</w:t>
      </w:r>
    </w:p>
    <w:p>
      <w:r>
        <w:t>Individual programmes may draw from all four strands, with the balance determined by the learner's needs and commissioned outcomes.</w:t>
      </w:r>
    </w:p>
    <w:tbl>
      <w:tblPr>
        <w:tblStyle w:val="TableGrid"/>
        <w:tblW w:type="auto" w:w="0"/>
        <w:jc w:val="center"/>
        <w:tblLook w:firstColumn="1" w:firstRow="1" w:lastColumn="0" w:lastRow="0" w:noHBand="0" w:noVBand="1" w:val="04A0"/>
      </w:tblPr>
      <w:tblGrid>
        <w:gridCol w:w="3389"/>
        <w:gridCol w:w="3389"/>
        <w:gridCol w:w="3389"/>
      </w:tblGrid>
      <w:tr>
        <w:tc>
          <w:tcPr>
            <w:tcW w:type="dxa" w:w="3389"/>
            <w:shd w:fill="EDEDED"/>
          </w:tcPr>
          <w:p>
            <w:r>
              <w:rPr>
                <w:b/>
              </w:rPr>
              <w:t>Strand</w:t>
            </w:r>
          </w:p>
        </w:tc>
        <w:tc>
          <w:tcPr>
            <w:tcW w:type="dxa" w:w="3389"/>
            <w:shd w:fill="EDEDED"/>
          </w:tcPr>
          <w:p>
            <w:r>
              <w:rPr>
                <w:b/>
              </w:rPr>
              <w:t>Purpose</w:t>
            </w:r>
          </w:p>
        </w:tc>
        <w:tc>
          <w:tcPr>
            <w:tcW w:type="dxa" w:w="3389"/>
            <w:shd w:fill="EDEDED"/>
          </w:tcPr>
          <w:p>
            <w:r>
              <w:rPr>
                <w:b/>
              </w:rPr>
              <w:t>Examples</w:t>
            </w:r>
          </w:p>
        </w:tc>
      </w:tr>
      <w:tr>
        <w:tc>
          <w:tcPr>
            <w:tcW w:type="dxa" w:w="3389"/>
          </w:tcPr>
          <w:p>
            <w:r>
              <w:rPr>
                <w:b/>
              </w:rPr>
              <w:t>Core Learning</w:t>
            </w:r>
          </w:p>
        </w:tc>
        <w:tc>
          <w:tcPr>
            <w:tcW w:type="dxa" w:w="3389"/>
          </w:tcPr>
          <w:p>
            <w:r>
              <w:t>Maintain, rebuild or develop essential academic and functional learning.</w:t>
            </w:r>
          </w:p>
        </w:tc>
        <w:tc>
          <w:tcPr>
            <w:tcW w:type="dxa" w:w="3389"/>
          </w:tcPr>
          <w:p>
            <w:r>
              <w:t>English and literacy; reading; writing; maths and numeracy; communication; digital skills; functional application of English and maths.</w:t>
            </w:r>
          </w:p>
        </w:tc>
      </w:tr>
      <w:tr>
        <w:tc>
          <w:tcPr>
            <w:tcW w:type="dxa" w:w="3389"/>
          </w:tcPr>
          <w:p>
            <w:r>
              <w:rPr>
                <w:b/>
              </w:rPr>
              <w:t>Creative &amp; Practical Learning</w:t>
            </w:r>
          </w:p>
        </w:tc>
        <w:tc>
          <w:tcPr>
            <w:tcW w:type="dxa" w:w="3389"/>
          </w:tcPr>
          <w:p>
            <w:r>
              <w:t>Use making, creativity and practical projects to develop skills, knowledge, engagement and confidence.</w:t>
            </w:r>
          </w:p>
        </w:tc>
        <w:tc>
          <w:tcPr>
            <w:tcW w:type="dxa" w:w="3389"/>
          </w:tcPr>
          <w:p>
            <w:r>
              <w:t>Art; design; upcycling; making; digital design; project work; practical problem-solving; planning and evaluating finished work.</w:t>
            </w:r>
          </w:p>
        </w:tc>
      </w:tr>
      <w:tr>
        <w:tc>
          <w:tcPr>
            <w:tcW w:type="dxa" w:w="3389"/>
          </w:tcPr>
          <w:p>
            <w:r>
              <w:rPr>
                <w:b/>
              </w:rPr>
              <w:t>SEND, Regulation &amp; Engagement</w:t>
            </w:r>
          </w:p>
        </w:tc>
        <w:tc>
          <w:tcPr>
            <w:tcW w:type="dxa" w:w="3389"/>
          </w:tcPr>
          <w:p>
            <w:r>
              <w:t>Develop the foundations that enable a learner to access education and understand their own needs.</w:t>
            </w:r>
          </w:p>
        </w:tc>
        <w:tc>
          <w:tcPr>
            <w:tcW w:type="dxa" w:w="3389"/>
          </w:tcPr>
          <w:p>
            <w:r>
              <w:t>Communication; emotional literacy; sensory regulation; executive functioning; self-advocacy; recognising needs; social understanding; rebuilding engagement with learning.</w:t>
            </w:r>
          </w:p>
        </w:tc>
      </w:tr>
      <w:tr>
        <w:tc>
          <w:tcPr>
            <w:tcW w:type="dxa" w:w="3389"/>
          </w:tcPr>
          <w:p>
            <w:r>
              <w:rPr>
                <w:b/>
              </w:rPr>
              <w:t>Life Skills &amp; Preparation for Adulthood</w:t>
            </w:r>
          </w:p>
        </w:tc>
        <w:tc>
          <w:tcPr>
            <w:tcW w:type="dxa" w:w="3389"/>
          </w:tcPr>
          <w:p>
            <w:r>
              <w:t>Develop practical independence and skills for life beyond the immediate placement.</w:t>
            </w:r>
          </w:p>
        </w:tc>
        <w:tc>
          <w:tcPr>
            <w:tcW w:type="dxa" w:w="3389"/>
          </w:tcPr>
          <w:p>
            <w:r>
              <w:t>Cooking; budgeting and money; shopping; personal organisation; community access; travel skills where appropriate; relationships and health education; employability and preparation for adulthood.</w:t>
            </w:r>
          </w:p>
        </w:tc>
      </w:tr>
    </w:tbl>
    <w:p>
      <w:pPr>
        <w:pStyle w:val="Heading1"/>
      </w:pPr>
      <w:r>
        <w:t>4. Age and Developmentally Appropriate Learning</w:t>
      </w:r>
    </w:p>
    <w:p>
      <w:r>
        <w:t>Bridgepoint supports compulsory-school-age learners, typically aged 5-16. The same curriculum strands will therefore look very different for different learners.</w:t>
      </w:r>
    </w:p>
    <w:p>
      <w:r>
        <w:t>For a younger learner, literacy or numeracy may be embedded into play, stories, art, sensory exploration or a practical activity. An older learner may apply the same core skills through budgeting, project planning, cooking, design, community activity or preparation for further education and adulthood.</w:t>
      </w:r>
    </w:p>
    <w:p>
      <w:r>
        <w:t>Chronological age is considered alongside developmental level, communication, prior educational experience and the need to preserve dignity and age-appropriate presentation.</w:t>
      </w:r>
    </w:p>
    <w:p>
      <w:pPr>
        <w:pStyle w:val="Heading1"/>
      </w:pPr>
      <w:r>
        <w:t>5. Baseline Assessment and Starting Points</w:t>
      </w:r>
    </w:p>
    <w:p>
      <w:r>
        <w:t>At the beginning of a placement, Bridgepoint will establish an appropriate baseline. This is proportionate to the purpose and length of the placement and avoids unnecessary assessment where reliable recent information already exists.</w:t>
      </w:r>
    </w:p>
    <w:p>
      <w:pPr>
        <w:pStyle w:val="ListBullet"/>
      </w:pPr>
      <w:r>
        <w:t>information supplied by the commissioner, school and family;</w:t>
      </w:r>
    </w:p>
    <w:p>
      <w:pPr>
        <w:pStyle w:val="ListBullet"/>
      </w:pPr>
      <w:r>
        <w:t>EHCPs and professional reports where applicable;</w:t>
      </w:r>
    </w:p>
    <w:p>
      <w:pPr>
        <w:pStyle w:val="ListBullet"/>
      </w:pPr>
      <w:r>
        <w:t>previous attainment or curriculum information;</w:t>
      </w:r>
    </w:p>
    <w:p>
      <w:pPr>
        <w:pStyle w:val="ListBullet"/>
      </w:pPr>
      <w:r>
        <w:t>attendance and engagement information;</w:t>
      </w:r>
    </w:p>
    <w:p>
      <w:pPr>
        <w:pStyle w:val="ListBullet"/>
      </w:pPr>
      <w:r>
        <w:t>learner voice and interests;</w:t>
      </w:r>
    </w:p>
    <w:p>
      <w:pPr>
        <w:pStyle w:val="ListBullet"/>
      </w:pPr>
      <w:r>
        <w:t>observation of communication, regulation and engagement;</w:t>
      </w:r>
    </w:p>
    <w:p>
      <w:pPr>
        <w:pStyle w:val="ListBullet"/>
      </w:pPr>
      <w:r>
        <w:t>relevant literacy, numeracy or functional skill assessment where appropriate.</w:t>
      </w:r>
    </w:p>
    <w:p>
      <w:r>
        <w:t>Baseline information is used to identify realistic priorities and provide a reference point for measuring progress.</w:t>
      </w:r>
    </w:p>
    <w:p>
      <w:pPr>
        <w:pStyle w:val="Heading1"/>
      </w:pPr>
      <w:r>
        <w:t>6. Individual Learning and Placement Planning</w:t>
      </w:r>
    </w:p>
    <w:p>
      <w:r>
        <w:t>Each commissioned learner will have an individual programme linked to the reason for referral and agreed outcomes. Plans may identify curriculum priorities, SEND adjustments, communication approaches, regulation support, staffing arrangements, risk controls, learner interests and review measures.</w:t>
      </w:r>
    </w:p>
    <w:p>
      <w:r>
        <w:t>Where a learner has an EHCP, Bridgepoint will consider the outcomes and provision relevant to its commissioned role. The commissioning body retains its own statutory responsibilities; Bridgepoint's role and responsibilities will be defined within the placement agreement.</w:t>
      </w:r>
    </w:p>
    <w:p>
      <w:pPr>
        <w:pStyle w:val="Heading1"/>
      </w:pPr>
      <w:r>
        <w:t>7. Teaching and Learning Approach</w:t>
      </w:r>
    </w:p>
    <w:p>
      <w:r>
        <w:t>Teaching at Bridgepoint is relational, flexible and SEND-informed while remaining purposeful and outcome-focused.</w:t>
      </w:r>
    </w:p>
    <w:p>
      <w:pPr>
        <w:pStyle w:val="ListBullet"/>
      </w:pPr>
      <w:r>
        <w:t>small-group and individual teaching according to assessed need;</w:t>
      </w:r>
    </w:p>
    <w:p>
      <w:pPr>
        <w:pStyle w:val="ListBullet"/>
      </w:pPr>
      <w:r>
        <w:t>clear routines and predictable communication where helpful;</w:t>
      </w:r>
    </w:p>
    <w:p>
      <w:pPr>
        <w:pStyle w:val="ListBullet"/>
      </w:pPr>
      <w:r>
        <w:t>visual, practical and multi-sensory approaches;</w:t>
      </w:r>
    </w:p>
    <w:p>
      <w:pPr>
        <w:pStyle w:val="ListBullet"/>
      </w:pPr>
      <w:r>
        <w:t>tasks broken into manageable stages;</w:t>
      </w:r>
    </w:p>
    <w:p>
      <w:pPr>
        <w:pStyle w:val="ListBullet"/>
      </w:pPr>
      <w:r>
        <w:t>movement, sensory or regulation opportunities where required;</w:t>
      </w:r>
    </w:p>
    <w:p>
      <w:pPr>
        <w:pStyle w:val="ListBullet"/>
      </w:pPr>
      <w:r>
        <w:t>use of learner interests to create routes into wider learning;</w:t>
      </w:r>
    </w:p>
    <w:p>
      <w:pPr>
        <w:pStyle w:val="ListBullet"/>
      </w:pPr>
      <w:r>
        <w:t>explicit teaching of skills rather than assuming prior understanding;</w:t>
      </w:r>
    </w:p>
    <w:p>
      <w:pPr>
        <w:pStyle w:val="ListBullet"/>
      </w:pPr>
      <w:r>
        <w:t>appropriate repetition, retrieval and consolidation;</w:t>
      </w:r>
    </w:p>
    <w:p>
      <w:pPr>
        <w:pStyle w:val="ListBullet"/>
      </w:pPr>
      <w:r>
        <w:t>reasonable adjustments to communication, environment, pace and recording;</w:t>
      </w:r>
    </w:p>
    <w:p>
      <w:pPr>
        <w:pStyle w:val="ListBullet"/>
      </w:pPr>
      <w:r>
        <w:t>opportunities to apply learning in practical and real-world contexts.</w:t>
      </w:r>
    </w:p>
    <w:p>
      <w:r>
        <w:t>Flexibility does not mean an absence of expectations. Expectations are made accessible and proportionate to the learner's needs, current capacity and agreed outcomes.</w:t>
      </w:r>
    </w:p>
    <w:p>
      <w:pPr>
        <w:pStyle w:val="Heading1"/>
      </w:pPr>
      <w:r>
        <w:t>8. English, Literacy and Communication</w:t>
      </w:r>
    </w:p>
    <w:p>
      <w:r>
        <w:t>English and communication are developed across the curriculum rather than being confined to a single lesson. Depending on starting point, this may include reading, comprehension, writing, vocabulary, functional literacy, speaking and listening, communication systems, following instructions and expressing choices, needs and opinions.</w:t>
      </w:r>
    </w:p>
    <w:p>
      <w:r>
        <w:t>Communication approaches will be adjusted to the learner. Where a learner uses AAC or another established communication system, Bridgepoint will seek the information and competence needed to support its use appropriately.</w:t>
      </w:r>
    </w:p>
    <w:p>
      <w:pPr>
        <w:pStyle w:val="Heading1"/>
      </w:pPr>
      <w:r>
        <w:t>9. Mathematics and Numeracy</w:t>
      </w:r>
    </w:p>
    <w:p>
      <w:r>
        <w:t>Mathematics may be taught directly and through practical application. Learning may include number, calculation, measures, time, money, shape, data and functional numeracy, according to age and starting point.</w:t>
      </w:r>
    </w:p>
    <w:p>
      <w:r>
        <w:t>Practical contexts such as cooking, budgeting, shopping, design and project work may be used to demonstrate why mathematical skills matter and to support generalisation.</w:t>
      </w:r>
    </w:p>
    <w:p>
      <w:pPr>
        <w:pStyle w:val="Heading1"/>
      </w:pPr>
      <w:r>
        <w:t>10. Creative and Practical Curriculum</w:t>
      </w:r>
    </w:p>
    <w:p>
      <w:r>
        <w:t>Creative and practical learning is a core feature of Bridgepoint rather than a reward for completing academic work. Art, design, making and upcycling can develop planning, sequencing, fine-motor skills, problem-solving, communication, perseverance, literacy, numeracy, confidence and self-expression.</w:t>
      </w:r>
    </w:p>
    <w:p>
      <w:r>
        <w:t>Projects should have identifiable learning intentions and, where appropriate, evidence of process, skill development and reflection.</w:t>
      </w:r>
    </w:p>
    <w:p>
      <w:pPr>
        <w:pStyle w:val="Heading1"/>
      </w:pPr>
      <w:r>
        <w:t>11. SEND, Regulation and Readiness to Learn</w:t>
      </w:r>
    </w:p>
    <w:p>
      <w:r>
        <w:t>Some learners referred to Alternative Provision are not yet able to consistently access conventional classroom learning. Bridgepoint recognises that regulation, communication, trust and felt safety can be prerequisites for engagement.</w:t>
      </w:r>
    </w:p>
    <w:p>
      <w:r>
        <w:t>Support may therefore explicitly target sensory regulation, emotional literacy, communication, executive functioning, self-advocacy, recognising stress, requesting help, transitions and rebuilding tolerance of learning.</w:t>
      </w:r>
    </w:p>
    <w:p>
      <w:r>
        <w:t>These areas are treated as meaningful educational and developmental work while remaining connected to the longer-term goal of increasing access to learning and participation.</w:t>
      </w:r>
    </w:p>
    <w:p>
      <w:pPr>
        <w:pStyle w:val="Heading1"/>
      </w:pPr>
      <w:r>
        <w:t>12. Life Skills and Preparation for Adulthood</w:t>
      </w:r>
    </w:p>
    <w:p>
      <w:r>
        <w:t>For learners where it is age and developmentally appropriate, programmes may include practical independence and preparation-for-adulthood learning.</w:t>
      </w:r>
    </w:p>
    <w:p>
      <w:pPr>
        <w:pStyle w:val="ListBullet"/>
      </w:pPr>
      <w:r>
        <w:t>food preparation and cooking;</w:t>
      </w:r>
    </w:p>
    <w:p>
      <w:pPr>
        <w:pStyle w:val="ListBullet"/>
      </w:pPr>
      <w:r>
        <w:t>money, budgeting and purchasing;</w:t>
      </w:r>
    </w:p>
    <w:p>
      <w:pPr>
        <w:pStyle w:val="ListBullet"/>
      </w:pPr>
      <w:r>
        <w:t>personal organisation and routines;</w:t>
      </w:r>
    </w:p>
    <w:p>
      <w:pPr>
        <w:pStyle w:val="ListBullet"/>
      </w:pPr>
      <w:r>
        <w:t>community access and safe participation;</w:t>
      </w:r>
    </w:p>
    <w:p>
      <w:pPr>
        <w:pStyle w:val="ListBullet"/>
      </w:pPr>
      <w:r>
        <w:t>travel awareness or skills where appropriate and safely planned;</w:t>
      </w:r>
    </w:p>
    <w:p>
      <w:pPr>
        <w:pStyle w:val="ListBullet"/>
      </w:pPr>
      <w:r>
        <w:t>communication and self-advocacy;</w:t>
      </w:r>
    </w:p>
    <w:p>
      <w:pPr>
        <w:pStyle w:val="ListBullet"/>
      </w:pPr>
      <w:r>
        <w:t>healthy relationships and personal wellbeing;</w:t>
      </w:r>
    </w:p>
    <w:p>
      <w:pPr>
        <w:pStyle w:val="ListBullet"/>
      </w:pPr>
      <w:r>
        <w:t>careers awareness, employability and preparation for further education or training.</w:t>
      </w:r>
    </w:p>
    <w:p>
      <w:pPr>
        <w:pStyle w:val="Heading1"/>
      </w:pPr>
      <w:r>
        <w:t>13. Personal, Social and Health Learning</w:t>
      </w:r>
    </w:p>
    <w:p>
      <w:r>
        <w:t>Personal and social learning will be appropriate to age, developmental level, SEND and the purpose of the placement. Bridgepoint will support learners to develop understanding of themselves, relationships, safety, wellbeing and participation in the wider community.</w:t>
      </w:r>
    </w:p>
    <w:p>
      <w:r>
        <w:t>Where specific statutory curriculum responsibilities remain with the learner's registered school or commissioner, Bridgepoint will work within the agreed placement plan and communicate relevant learning or support needs.</w:t>
      </w:r>
    </w:p>
    <w:p>
      <w:pPr>
        <w:pStyle w:val="Heading1"/>
      </w:pPr>
      <w:r>
        <w:t>14. Accreditation and Recognition of Learning</w:t>
      </w:r>
    </w:p>
    <w:p>
      <w:r>
        <w:t>Bridgepoint may use suitable external accreditation or recognition schemes as the provision develops, where these add value for individual learners. This may include unit-based awards such as AQA Unit Award Scheme where appropriate.</w:t>
      </w:r>
    </w:p>
    <w:p>
      <w:r>
        <w:t>No qualification or accreditation will be advertised as available until the necessary arrangements are formally in place.</w:t>
      </w:r>
    </w:p>
    <w:p>
      <w:pPr>
        <w:pStyle w:val="Heading1"/>
      </w:pPr>
      <w:r>
        <w:t>15. Recording and Evidencing Progress</w:t>
      </w:r>
    </w:p>
    <w:p>
      <w:r>
        <w:t>Progress will be evidenced proportionately. The method will depend on the learner, placement duration and commissioned outcomes.</w:t>
      </w:r>
    </w:p>
    <w:p>
      <w:pPr>
        <w:pStyle w:val="ListBullet"/>
      </w:pPr>
      <w:r>
        <w:t>work samples and project evidence;</w:t>
      </w:r>
    </w:p>
    <w:p>
      <w:pPr>
        <w:pStyle w:val="ListBullet"/>
      </w:pPr>
      <w:r>
        <w:t>teacher or mentor observations;</w:t>
      </w:r>
    </w:p>
    <w:p>
      <w:pPr>
        <w:pStyle w:val="ListBullet"/>
      </w:pPr>
      <w:r>
        <w:t>baseline and review measures;</w:t>
      </w:r>
    </w:p>
    <w:p>
      <w:pPr>
        <w:pStyle w:val="ListBullet"/>
      </w:pPr>
      <w:r>
        <w:t>literacy, numeracy or functional skill progress;</w:t>
      </w:r>
    </w:p>
    <w:p>
      <w:pPr>
        <w:pStyle w:val="ListBullet"/>
      </w:pPr>
      <w:r>
        <w:t>attendance and engagement data;</w:t>
      </w:r>
    </w:p>
    <w:p>
      <w:pPr>
        <w:pStyle w:val="ListBullet"/>
      </w:pPr>
      <w:r>
        <w:t>learner reflection and voice;</w:t>
      </w:r>
    </w:p>
    <w:p>
      <w:pPr>
        <w:pStyle w:val="ListBullet"/>
      </w:pPr>
      <w:r>
        <w:t>progress toward agreed placement or EHCP-related outcomes;</w:t>
      </w:r>
    </w:p>
    <w:p>
      <w:pPr>
        <w:pStyle w:val="ListBullet"/>
      </w:pPr>
      <w:r>
        <w:t>development in communication, regulation, confidence or independence.</w:t>
      </w:r>
    </w:p>
    <w:p>
      <w:r>
        <w:t>Progress will not be reduced to a single numerical measure where this would fail to represent the learner's development.</w:t>
      </w:r>
    </w:p>
    <w:p>
      <w:pPr>
        <w:pStyle w:val="Heading1"/>
      </w:pPr>
      <w:r>
        <w:t>16. Reporting to Commissioners and Families</w:t>
      </w:r>
    </w:p>
    <w:p>
      <w:r>
        <w:t>Bridgepoint will provide progress information at agreed intervals and for formal placement reviews. Reporting may include attendance, engagement, curriculum activity, progress toward outcomes, emerging needs or risks, learner voice and recommendations for the next stage.</w:t>
      </w:r>
    </w:p>
    <w:p>
      <w:r>
        <w:t>Significant safeguarding, attendance or placement concerns will be communicated in accordance with the relevant procedure and will not wait for a routine progress report.</w:t>
      </w:r>
    </w:p>
    <w:p>
      <w:pPr>
        <w:pStyle w:val="Heading1"/>
      </w:pPr>
      <w:r>
        <w:t>17. Review and Adaptation</w:t>
      </w:r>
    </w:p>
    <w:p>
      <w:r>
        <w:t>Programmes are reviewed and adjusted when evidence shows that needs, risks, engagement or outcomes have changed. Reviews should ask whether the programme remains suitable, whether the learner is progressing, what barriers remain and what the next educational step should be.</w:t>
      </w:r>
    </w:p>
    <w:p>
      <w:pPr>
        <w:pStyle w:val="Heading1"/>
      </w:pPr>
      <w:r>
        <w:t>18. Transition, Reintegration and Next Steps</w:t>
      </w:r>
    </w:p>
    <w:p>
      <w:r>
        <w:t>Alternative Provision should have purpose and direction. Where appropriate, Bridgepoint will work with the commissioner, learner, family and other professionals toward a planned next step.</w:t>
      </w:r>
    </w:p>
    <w:p>
      <w:pPr>
        <w:pStyle w:val="ListBullet"/>
      </w:pPr>
      <w:r>
        <w:t>reintegration or increased participation in the learner's school;</w:t>
      </w:r>
    </w:p>
    <w:p>
      <w:pPr>
        <w:pStyle w:val="ListBullet"/>
      </w:pPr>
      <w:r>
        <w:t>transition to another education setting or specialist provision;</w:t>
      </w:r>
    </w:p>
    <w:p>
      <w:pPr>
        <w:pStyle w:val="ListBullet"/>
      </w:pPr>
      <w:r>
        <w:t>movement into further education or training;</w:t>
      </w:r>
    </w:p>
    <w:p>
      <w:pPr>
        <w:pStyle w:val="ListBullet"/>
      </w:pPr>
      <w:r>
        <w:t>an adjusted education package; or</w:t>
      </w:r>
    </w:p>
    <w:p>
      <w:pPr>
        <w:pStyle w:val="ListBullet"/>
      </w:pPr>
      <w:r>
        <w:t>greater independence and preparation for adulthood.</w:t>
      </w:r>
    </w:p>
    <w:p>
      <w:r>
        <w:t>Transition planning will be individualised and, where possible, gradual and informed by the learner's voice.</w:t>
      </w:r>
    </w:p>
    <w:p>
      <w:pPr>
        <w:pStyle w:val="Heading1"/>
      </w:pPr>
      <w:r>
        <w:t>19. Safeguarding and Curriculum</w:t>
      </w:r>
    </w:p>
    <w:p>
      <w:r>
        <w:t>Safeguarding is embedded across curriculum delivery. Activities, community access, online learning, practical work and off-site experiences will be appropriately risk assessed and supervised.</w:t>
      </w:r>
    </w:p>
    <w:p>
      <w:r>
        <w:t>Curriculum content or learner disclosures that raise safeguarding concerns will be managed in accordance with Bridgepoint's Safeguarding and Child Protection Policy.</w:t>
      </w:r>
    </w:p>
    <w:p>
      <w:pPr>
        <w:pStyle w:val="Heading1"/>
      </w:pPr>
      <w:r>
        <w:t>20. Quality Assurance and Framework Review</w:t>
      </w:r>
    </w:p>
    <w:p>
      <w:r>
        <w:t>Bridgepoint will review curriculum delivery through learner progress, placement reviews, staff reflection and supervision, commissioner and family feedback, safeguarding information and evaluation of whether programmes are achieving their intended outcomes.</w:t>
      </w:r>
    </w:p>
    <w:p>
      <w:r>
        <w:t>This framework will be reviewed at least annually and sooner where significant changes to Bridgepoint's provision, commissioning requirements, legislation or relevant guidance require it.</w:t>
      </w:r>
    </w:p>
    <w:sectPr w:rsidR="00FC693F" w:rsidRPr="0006063C" w:rsidSect="00034616">
      <w:headerReference w:type="default" r:id="rId9"/>
      <w:footerReference w:type="default" r:id="rId10"/>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Bridgepoint Learning CIC | Curriculum &amp; Learning Framework | Alternative Provision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sz w:val="16"/>
      </w:rPr>
      <w:t>BRIDGEPOINT LEARNING CIC | ALTERNATIVE PROVISION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