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5F"/>
          <w:sz w:val="50"/>
        </w:rPr>
        <w:t>BRIDGEPOINT LEARNING CIC</w:t>
      </w:r>
    </w:p>
    <w:p>
      <w:pPr>
        <w:jc w:val="center"/>
      </w:pPr>
      <w:r>
        <w:rPr>
          <w:b/>
          <w:sz w:val="40"/>
        </w:rPr>
        <w:t>Safeguarding &amp; Child Protection Policy</w:t>
      </w:r>
    </w:p>
    <w:p>
      <w:pPr>
        <w:jc w:val="center"/>
      </w:pPr>
      <w:r>
        <w:rPr>
          <w:i/>
          <w:sz w:val="22"/>
        </w:rPr>
        <w:t>Alternative Provision • Commissioner / School / Local Authority Version</w:t>
      </w:r>
    </w:p>
    <w:tbl>
      <w:tblPr>
        <w:tblStyle w:val="TableGrid"/>
        <w:tblW w:type="auto" w:w="0"/>
        <w:jc w:val="center"/>
        <w:tblLook w:firstColumn="1" w:firstRow="1" w:lastColumn="0" w:lastRow="0" w:noHBand="0" w:noVBand="1" w:val="04A0"/>
      </w:tblPr>
      <w:tblGrid>
        <w:gridCol w:w="4997"/>
        <w:gridCol w:w="4997"/>
      </w:tblGrid>
      <w:tr>
        <w:tc>
          <w:tcPr>
            <w:tcW w:type="dxa" w:w="4997"/>
          </w:tcPr>
          <w:p>
            <w:r>
              <w:rPr>
                <w:b/>
              </w:rPr>
              <w:t>Organisation</w:t>
            </w:r>
          </w:p>
        </w:tc>
        <w:tc>
          <w:tcPr>
            <w:tcW w:type="dxa" w:w="4997"/>
          </w:tcPr>
          <w:p>
            <w:r>
              <w:t>Bridgepoint Learning CIC</w:t>
            </w:r>
          </w:p>
        </w:tc>
      </w:tr>
      <w:tr>
        <w:tc>
          <w:tcPr>
            <w:tcW w:type="dxa" w:w="4997"/>
          </w:tcPr>
          <w:p>
            <w:r>
              <w:rPr>
                <w:b/>
              </w:rPr>
              <w:t>Provision</w:t>
            </w:r>
          </w:p>
        </w:tc>
        <w:tc>
          <w:tcPr>
            <w:tcW w:type="dxa" w:w="4997"/>
          </w:tcPr>
          <w:p>
            <w:r>
              <w:t>SEND-focused non-school Alternative Provision</w:t>
            </w:r>
          </w:p>
        </w:tc>
      </w:tr>
      <w:tr>
        <w:tc>
          <w:tcPr>
            <w:tcW w:type="dxa" w:w="4997"/>
          </w:tcPr>
          <w:p>
            <w:r>
              <w:rPr>
                <w:b/>
              </w:rPr>
              <w:t>Location</w:t>
            </w:r>
          </w:p>
        </w:tc>
        <w:tc>
          <w:tcPr>
            <w:tcW w:type="dxa" w:w="4997"/>
          </w:tcPr>
          <w:p>
            <w:r>
              <w:t>Poole, Dorset</w:t>
            </w:r>
          </w:p>
        </w:tc>
      </w:tr>
      <w:tr>
        <w:tc>
          <w:tcPr>
            <w:tcW w:type="dxa" w:w="4997"/>
          </w:tcPr>
          <w:p>
            <w:r>
              <w:rPr>
                <w:b/>
              </w:rPr>
              <w:t>Designated Safeguarding Lead (DSL)</w:t>
            </w:r>
          </w:p>
        </w:tc>
        <w:tc>
          <w:tcPr>
            <w:tcW w:type="dxa" w:w="4997"/>
          </w:tcPr>
          <w:p>
            <w:r>
              <w:t>TO BE CONFIRMED BEFORE COMMISSIONED PLACEMENTS BEGIN</w:t>
            </w:r>
          </w:p>
        </w:tc>
      </w:tr>
      <w:tr>
        <w:tc>
          <w:tcPr>
            <w:tcW w:type="dxa" w:w="4997"/>
          </w:tcPr>
          <w:p>
            <w:r>
              <w:rPr>
                <w:b/>
              </w:rPr>
              <w:t>Deputy DSL</w:t>
            </w:r>
          </w:p>
        </w:tc>
        <w:tc>
          <w:tcPr>
            <w:tcW w:type="dxa" w:w="4997"/>
          </w:tcPr>
          <w:p>
            <w:r>
              <w:t>TO BE CONFIRMED BEFORE COMMISSIONED PLACEMENTS BEGIN</w:t>
            </w:r>
          </w:p>
        </w:tc>
      </w:tr>
      <w:tr>
        <w:tc>
          <w:tcPr>
            <w:tcW w:type="dxa" w:w="4997"/>
          </w:tcPr>
          <w:p>
            <w:r>
              <w:rPr>
                <w:b/>
              </w:rPr>
              <w:t>Policy owner</w:t>
            </w:r>
          </w:p>
        </w:tc>
        <w:tc>
          <w:tcPr>
            <w:tcW w:type="dxa" w:w="4997"/>
          </w:tcPr>
          <w:p>
            <w:r>
              <w:t>Bridgepoint Learning CIC Directors / Provision Lead</w:t>
            </w:r>
          </w:p>
        </w:tc>
      </w:tr>
      <w:tr>
        <w:tc>
          <w:tcPr>
            <w:tcW w:type="dxa" w:w="4997"/>
          </w:tcPr>
          <w:p>
            <w:r>
              <w:rPr>
                <w:b/>
              </w:rPr>
              <w:t>Review cycle</w:t>
            </w:r>
          </w:p>
        </w:tc>
        <w:tc>
          <w:tcPr>
            <w:tcW w:type="dxa" w:w="4997"/>
          </w:tcPr>
          <w:p>
            <w:r>
              <w:t>At least annually and sooner following statutory guidance, legislation, local safeguarding arrangements or significant safeguarding learning</w:t>
            </w:r>
          </w:p>
        </w:tc>
      </w:tr>
    </w:tbl>
    <w:p>
      <w:r>
        <w:rPr>
          <w:b/>
          <w:color w:val="A02828"/>
        </w:rPr>
        <w:t xml:space="preserve">IMPORTANT PRE-OPENING CONTROL: </w:t>
      </w:r>
      <w:r>
        <w:t>Bridgepoint will not commence commissioned AP placements until a suitably trained DSL and deputy arrangements are formally appointed, safeguarding contact routes are published, and the operational procedures described in this policy are in place.</w:t>
      </w:r>
    </w:p>
    <w:p>
      <w:pPr>
        <w:pStyle w:val="Heading1"/>
      </w:pPr>
      <w:r>
        <w:t>1. Safeguarding Commitment</w:t>
      </w:r>
    </w:p>
    <w:p>
      <w:r>
        <w:t>Bridgepoint Learning CIC is committed to safeguarding and promoting the welfare of every child and young person using its services. The welfare of the child is paramount. Safeguarding is everyone's responsibility and all staff, directors, contractors, volunteers and visiting professionals are expected to act immediately where they have a concern about a child's safety or welfare.</w:t>
      </w:r>
    </w:p>
    <w:p>
      <w:r>
        <w:t>Bridgepoint recognises that children attending Alternative Provision may have additional vulnerabilities, including SEND, communication differences, disrupted education, anxiety, previous trauma, exploitation risks or difficulty communicating concerns. Safeguarding practice will therefore be accessible, child-centred, professionally curious and responsive to each learner's communication and support needs.</w:t>
      </w:r>
    </w:p>
    <w:p>
      <w:pPr>
        <w:pStyle w:val="Heading1"/>
      </w:pPr>
      <w:r>
        <w:t>2. Status and Reference Framework</w:t>
      </w:r>
    </w:p>
    <w:p>
      <w:r>
        <w:t>Bridgepoint is developing as a non-school Alternative Provision provider in England. Its safeguarding arrangements are designed with regard to the Department for Education's Non-school Alternative Provision Voluntary National Standards (2025), Working Together to Safeguard Children 2026, relevant local multi-agency safeguarding arrangements, current information-sharing duties and guidance, and the principles and good practice contained in Keeping Children Safe in Education 2026.</w:t>
      </w:r>
    </w:p>
    <w:p>
      <w:r>
        <w:t>Keeping Children Safe in Education applies directly to schools and colleges. Bridgepoint will use it as an important safeguarding benchmark where relevant to a non-school AP provider, without representing that every school-specific duty automatically applies to Bridgepoint.</w:t>
      </w:r>
    </w:p>
    <w:p>
      <w:pPr>
        <w:pStyle w:val="Heading1"/>
      </w:pPr>
      <w:r>
        <w:t>3. Scope</w:t>
      </w:r>
    </w:p>
    <w:p>
      <w:r>
        <w:t>This policy applies to all Bridgepoint directors, employees, sessional staff, agency staff, self-employed practitioners, contractors, volunteers, students and visiting professionals where their role brings them into contact with children or safeguarding information.</w:t>
      </w:r>
    </w:p>
    <w:p>
      <w:r>
        <w:t>A child is anyone under the age of 18.</w:t>
      </w:r>
    </w:p>
    <w:p>
      <w:pPr>
        <w:pStyle w:val="Heading1"/>
      </w:pPr>
      <w:r>
        <w:t>4. Safeguarding Leadership and Accountability</w:t>
      </w:r>
    </w:p>
    <w:p>
      <w:r>
        <w:t>Bridgepoint will appoint a Designated Safeguarding Lead (DSL) with sufficient authority, training, time and access to organisational leadership to carry out the role effectively. Appropriate deputy DSL cover will be maintained so that safeguarding advice and action are available whenever children are attending.</w:t>
      </w:r>
    </w:p>
    <w:p>
      <w:pPr>
        <w:pStyle w:val="ListBullet"/>
      </w:pPr>
      <w:r>
        <w:t>All staff will know the identity and contact arrangements of the DSL and deputy DSL.</w:t>
      </w:r>
    </w:p>
    <w:p>
      <w:pPr>
        <w:pStyle w:val="ListBullet"/>
      </w:pPr>
      <w:r>
        <w:t>The DSL will lead safeguarding practice, referrals, liaison with statutory agencies, safeguarding records, training oversight and quality assurance.</w:t>
      </w:r>
    </w:p>
    <w:p>
      <w:pPr>
        <w:pStyle w:val="ListBullet"/>
      </w:pPr>
      <w:r>
        <w:t>Safeguarding remains everyone's responsibility; staff must not delay action because the DSL is unavailable.</w:t>
      </w:r>
    </w:p>
    <w:p>
      <w:pPr>
        <w:pStyle w:val="ListBullet"/>
      </w:pPr>
      <w:r>
        <w:t>Directors will maintain oversight of safeguarding effectiveness, safer recruitment, allegations management, training and policy review.</w:t>
      </w:r>
    </w:p>
    <w:p>
      <w:pPr>
        <w:pStyle w:val="ListBullet"/>
      </w:pPr>
      <w:r>
        <w:t>Where an immediate risk of serious harm exists, emergency services and/or children's social care will be contacted without delay.</w:t>
      </w:r>
    </w:p>
    <w:p>
      <w:pPr>
        <w:pStyle w:val="Heading1"/>
      </w:pPr>
      <w:r>
        <w:t>5. Responding to a Concern About a Child</w:t>
      </w:r>
    </w:p>
    <w:p>
      <w:r>
        <w:t>Any concern, disclosure, allegation, change in presentation, unexplained injury, concerning behaviour, attendance pattern or information suggesting that a child may be at risk must be taken seriously.</w:t>
      </w:r>
    </w:p>
    <w:p>
      <w:pPr>
        <w:pStyle w:val="ListBullet"/>
      </w:pPr>
      <w:r>
        <w:t>Listen carefully and calmly; do not promise confidentiality.</w:t>
      </w:r>
    </w:p>
    <w:p>
      <w:pPr>
        <w:pStyle w:val="ListBullet"/>
      </w:pPr>
      <w:r>
        <w:t>Use the child's preferred and accessible communication method and avoid leading questions.</w:t>
      </w:r>
    </w:p>
    <w:p>
      <w:pPr>
        <w:pStyle w:val="ListBullet"/>
      </w:pPr>
      <w:r>
        <w:t>Record the concern factually, including the child's own words where possible, date, time, context and actions taken.</w:t>
      </w:r>
    </w:p>
    <w:p>
      <w:pPr>
        <w:pStyle w:val="ListBullet"/>
      </w:pPr>
      <w:r>
        <w:t>Report the concern to the DSL or deputy DSL immediately in accordance with Bridgepoint procedures.</w:t>
      </w:r>
    </w:p>
    <w:p>
      <w:pPr>
        <w:pStyle w:val="ListBullet"/>
      </w:pPr>
      <w:r>
        <w:t>Where necessary, the DSL will consult or refer to children's social care, police, health services, the child's commissioner or other safeguarding partners.</w:t>
      </w:r>
    </w:p>
    <w:p>
      <w:pPr>
        <w:pStyle w:val="ListBullet"/>
      </w:pPr>
      <w:r>
        <w:t>If a child is in immediate danger, staff will act immediately and will not wait for internal approval.</w:t>
      </w:r>
    </w:p>
    <w:p>
      <w:pPr>
        <w:pStyle w:val="ListBullet"/>
      </w:pPr>
      <w:r>
        <w:t>Staff may make a direct referral to statutory services where necessary and should never assume that somebody else has acted.</w:t>
      </w:r>
    </w:p>
    <w:p>
      <w:pPr>
        <w:pStyle w:val="Heading1"/>
      </w:pPr>
      <w:r>
        <w:t>6. SEND, Communication and Additional Vulnerability</w:t>
      </w:r>
    </w:p>
    <w:p>
      <w:r>
        <w:t>Bridgepoint recognises that SEND can increase safeguarding vulnerability and can also make signs of abuse, neglect or exploitation harder to identify. Behaviour, dysregulation or communication differences must not automatically be attributed to a child's diagnosis.</w:t>
      </w:r>
    </w:p>
    <w:p>
      <w:pPr>
        <w:pStyle w:val="ListBullet"/>
      </w:pPr>
      <w:r>
        <w:t>Communication aids, visuals, processing time and other reasonable adjustments will be used where required.</w:t>
      </w:r>
    </w:p>
    <w:p>
      <w:pPr>
        <w:pStyle w:val="ListBullet"/>
      </w:pPr>
      <w:r>
        <w:t>Staff will consider changes from a learner's individual baseline.</w:t>
      </w:r>
    </w:p>
    <w:p>
      <w:pPr>
        <w:pStyle w:val="ListBullet"/>
      </w:pPr>
      <w:r>
        <w:t>Children will be taught, in an accessible way, how to identify trusted adults, seek help and understand personal safety and boundaries.</w:t>
      </w:r>
    </w:p>
    <w:p>
      <w:pPr>
        <w:pStyle w:val="ListBullet"/>
      </w:pPr>
      <w:r>
        <w:t>Bridgepoint will seek relevant safeguarding and support information from commissioners before a placement begins and throughout the placement.</w:t>
      </w:r>
    </w:p>
    <w:p>
      <w:pPr>
        <w:pStyle w:val="Heading1"/>
      </w:pPr>
      <w:r>
        <w:t>7. Types of Harm and Safeguarding Concerns</w:t>
      </w:r>
    </w:p>
    <w:p>
      <w:r>
        <w:t>Staff will receive training appropriate to their role and remain alert to abuse, neglect and exploitation, including physical abuse, emotional abuse, sexual abuse, neglect, child-on-child abuse, domestic abuse, criminal and sexual exploitation, online harm, radicalisation, trafficking and modern slavery, honour-based abuse, forced marriage, female genital mutilation, serious violence, missing episodes and other locally identified safeguarding risks.</w:t>
      </w:r>
    </w:p>
    <w:p>
      <w:r>
        <w:t>Concerns will be considered in context. Safeguarding may involve risks within the family, peer group, community, education setting or online environment.</w:t>
      </w:r>
    </w:p>
    <w:p>
      <w:pPr>
        <w:pStyle w:val="Heading1"/>
      </w:pPr>
      <w:r>
        <w:t>8. Child-on-Child Abuse</w:t>
      </w:r>
    </w:p>
    <w:p>
      <w:r>
        <w:t>Bridgepoint has a zero-tolerance approach to harmful or abusive behaviour between children. It will not be dismissed as banter, part of growing up or an inevitable consequence of SEND.</w:t>
      </w:r>
    </w:p>
    <w:p>
      <w:pPr>
        <w:pStyle w:val="ListBullet"/>
      </w:pPr>
      <w:r>
        <w:t>Reports will be taken seriously and responded to promptly.</w:t>
      </w:r>
    </w:p>
    <w:p>
      <w:pPr>
        <w:pStyle w:val="ListBullet"/>
      </w:pPr>
      <w:r>
        <w:t>Risk assessments and support plans will be reviewed for all affected children.</w:t>
      </w:r>
    </w:p>
    <w:p>
      <w:pPr>
        <w:pStyle w:val="ListBullet"/>
      </w:pPr>
      <w:r>
        <w:t>Victims will be supported and alleged perpetrators will receive appropriate safeguarding and behaviour support without prejudging investigations.</w:t>
      </w:r>
    </w:p>
    <w:p>
      <w:pPr>
        <w:pStyle w:val="ListBullet"/>
      </w:pPr>
      <w:r>
        <w:t>Commissioners, parents/carers and statutory agencies will be involved where appropriate.</w:t>
      </w:r>
    </w:p>
    <w:p>
      <w:pPr>
        <w:pStyle w:val="ListBullet"/>
      </w:pPr>
      <w:r>
        <w:t>Sexual harassment, sexual violence and harmful sexual behaviour will be managed as safeguarding concerns.</w:t>
      </w:r>
    </w:p>
    <w:p>
      <w:pPr>
        <w:pStyle w:val="Heading1"/>
      </w:pPr>
      <w:r>
        <w:t>9. Attendance, Absence and Missing Children</w:t>
      </w:r>
    </w:p>
    <w:p>
      <w:r>
        <w:t>Attendance is a safeguarding matter. Bridgepoint will record attendance for every commissioned session and have clear arrangements with the commissioner for reporting absence, late arrival and unexplained non-attendance.</w:t>
      </w:r>
    </w:p>
    <w:p>
      <w:pPr>
        <w:pStyle w:val="ListBullet"/>
      </w:pPr>
      <w:r>
        <w:t>Unexpected absence will be followed up promptly using agreed contact routes.</w:t>
      </w:r>
    </w:p>
    <w:p>
      <w:pPr>
        <w:pStyle w:val="ListBullet"/>
      </w:pPr>
      <w:r>
        <w:t>Patterns of absence will be reviewed for safeguarding significance.</w:t>
      </w:r>
    </w:p>
    <w:p>
      <w:pPr>
        <w:pStyle w:val="ListBullet"/>
      </w:pPr>
      <w:r>
        <w:t>Bridgepoint will immediately follow its missing-child procedure if a learner leaves or cannot be located during a session.</w:t>
      </w:r>
    </w:p>
    <w:p>
      <w:pPr>
        <w:pStyle w:val="ListBullet"/>
      </w:pPr>
      <w:r>
        <w:t>Where risk warrants it, police, parents/carers, the commissioner and children's social care will be contacted.</w:t>
      </w:r>
    </w:p>
    <w:p>
      <w:pPr>
        <w:pStyle w:val="ListBullet"/>
      </w:pPr>
      <w:r>
        <w:t>Attendance and safeguarding information will be shared with commissioners as agreed and required.</w:t>
      </w:r>
    </w:p>
    <w:p>
      <w:pPr>
        <w:pStyle w:val="Heading1"/>
      </w:pPr>
      <w:r>
        <w:t>10. Safer Recruitment and Suitability</w:t>
      </w:r>
    </w:p>
    <w:p>
      <w:r>
        <w:t>Bridgepoint will use safer recruitment procedures proportionate to the role and legal requirements. No person will begin unsupervised work with children until required checks and risk decisions have been completed.</w:t>
      </w:r>
    </w:p>
    <w:p>
      <w:pPr>
        <w:pStyle w:val="ListBullet"/>
      </w:pPr>
      <w:r>
        <w:t>Identity and right-to-work checks where applicable</w:t>
      </w:r>
    </w:p>
    <w:p>
      <w:pPr>
        <w:pStyle w:val="ListBullet"/>
      </w:pPr>
      <w:r>
        <w:t>Enhanced DBS and barred-list checks where legally eligible/required for the role</w:t>
      </w:r>
    </w:p>
    <w:p>
      <w:pPr>
        <w:pStyle w:val="ListBullet"/>
      </w:pPr>
      <w:r>
        <w:t>Employment history and appropriate references</w:t>
      </w:r>
    </w:p>
    <w:p>
      <w:pPr>
        <w:pStyle w:val="ListBullet"/>
      </w:pPr>
      <w:r>
        <w:t>Verification of relevant qualifications and professional registration</w:t>
      </w:r>
    </w:p>
    <w:p>
      <w:pPr>
        <w:pStyle w:val="ListBullet"/>
      </w:pPr>
      <w:r>
        <w:t>Assessment of suitability to work with children</w:t>
      </w:r>
    </w:p>
    <w:p>
      <w:pPr>
        <w:pStyle w:val="ListBullet"/>
      </w:pPr>
      <w:r>
        <w:t>Recording and monitoring of required checks</w:t>
      </w:r>
    </w:p>
    <w:p>
      <w:pPr>
        <w:pStyle w:val="ListBullet"/>
      </w:pPr>
      <w:r>
        <w:t>Clear arrangements for contractors, agency staff, volunteers and visiting professionals</w:t>
      </w:r>
    </w:p>
    <w:p>
      <w:r>
        <w:t>Bridgepoint will maintain an auditable central record of recruitment and vetting checks appropriate to its workforce and commissioning requirements.</w:t>
      </w:r>
    </w:p>
    <w:p>
      <w:pPr>
        <w:pStyle w:val="Heading1"/>
      </w:pPr>
      <w:r>
        <w:t>11. Staff Conduct, Allegations and Low-Level Concerns</w:t>
      </w:r>
    </w:p>
    <w:p>
      <w:r>
        <w:t>All adults working at Bridgepoint will follow a staff code of conduct setting clear professional boundaries and expected behaviour.</w:t>
      </w:r>
    </w:p>
    <w:p>
      <w:r>
        <w:t>Any allegation or concern that an adult working with children has harmed a child, may have harmed a child, committed a criminal offence involving a child, behaved in a way indicating they may pose a risk to children, or may be unsuitable to work with children will be reported immediately through the designated allegations procedure. Bridgepoint will seek advice from the relevant Local Authority Designated Officer (LADO) or other statutory route as appropriate.</w:t>
      </w:r>
    </w:p>
    <w:p>
      <w:r>
        <w:t>Low-level concerns about adult conduct will be recorded, reviewed and addressed to identify patterns and maintain a culture in which inappropriate behaviour is challenged early.</w:t>
      </w:r>
    </w:p>
    <w:p>
      <w:pPr>
        <w:pStyle w:val="Heading1"/>
      </w:pPr>
      <w:r>
        <w:t>12. Whistleblowing</w:t>
      </w:r>
    </w:p>
    <w:p>
      <w:r>
        <w:t>Staff and volunteers must be able to raise concerns about unsafe practice, organisational culture or the conduct of colleagues without fear of retaliation. Bridgepoint will maintain a whistleblowing procedure and will make staff aware of external routes for raising safeguarding concerns where internal action is inappropriate or ineffective.</w:t>
      </w:r>
    </w:p>
    <w:p>
      <w:pPr>
        <w:pStyle w:val="Heading1"/>
      </w:pPr>
      <w:r>
        <w:t>13. Information Sharing, Confidentiality and Records</w:t>
      </w:r>
    </w:p>
    <w:p>
      <w:r>
        <w:t>Safeguarding information will be handled lawfully, securely and on a need-to-know basis. The safety and welfare of the child will guide information-sharing decisions.</w:t>
      </w:r>
    </w:p>
    <w:p>
      <w:pPr>
        <w:pStyle w:val="ListBullet"/>
      </w:pPr>
      <w:r>
        <w:t>Safeguarding records will be kept separately or securely restricted from general educational records.</w:t>
      </w:r>
    </w:p>
    <w:p>
      <w:pPr>
        <w:pStyle w:val="ListBullet"/>
      </w:pPr>
      <w:r>
        <w:t>Records will be factual, timely, dated and attributable.</w:t>
      </w:r>
    </w:p>
    <w:p>
      <w:pPr>
        <w:pStyle w:val="ListBullet"/>
      </w:pPr>
      <w:r>
        <w:t>Relevant information will be shared with commissioners and safeguarding partners where lawful and necessary.</w:t>
      </w:r>
    </w:p>
    <w:p>
      <w:pPr>
        <w:pStyle w:val="ListBullet"/>
      </w:pPr>
      <w:r>
        <w:t>Consent will be sought where appropriate, but a lack of consent will not prevent necessary safeguarding information sharing.</w:t>
      </w:r>
    </w:p>
    <w:p>
      <w:pPr>
        <w:pStyle w:val="ListBullet"/>
      </w:pPr>
      <w:r>
        <w:t>Transfer and retention of safeguarding records will follow applicable law, statutory guidance and agreed commissioner arrangements.</w:t>
      </w:r>
    </w:p>
    <w:p>
      <w:pPr>
        <w:pStyle w:val="Heading1"/>
      </w:pPr>
      <w:r>
        <w:t>14. Online Safety and Technology</w:t>
      </w:r>
    </w:p>
    <w:p>
      <w:r>
        <w:t>Bridgepoint will address online safety through policy, staff practice, curriculum and risk assessment. Children will be supported to understand online relationships, privacy, exploitation, harmful content and how to seek help. Any Bridgepoint-managed devices, accounts or networks used with children will be subject to appropriate security, supervision and filtering/monitoring arrangements proportionate to the service.</w:t>
      </w:r>
    </w:p>
    <w:p>
      <w:pPr>
        <w:pStyle w:val="Heading1"/>
      </w:pPr>
      <w:r>
        <w:t>15. Prevent and Radicalisation</w:t>
      </w:r>
    </w:p>
    <w:p>
      <w:r>
        <w:t>Bridgepoint will remain alert to concerns that a child may be vulnerable to radicalisation or extremist influence. Concerns will be discussed with the DSL and referred through appropriate safeguarding and Prevent/Channel pathways where thresholds are met. Practice will be proportionate and will not stigmatise children because of identity, faith, culture or protected characteristics.</w:t>
      </w:r>
    </w:p>
    <w:p>
      <w:pPr>
        <w:pStyle w:val="Heading1"/>
      </w:pPr>
      <w:r>
        <w:t>16. Health, Safety, Medical Needs and Risk</w:t>
      </w:r>
    </w:p>
    <w:p>
      <w:r>
        <w:t>Safeguarding is supported by robust health and safety practice. Bridgepoint will maintain appropriate risk assessments, first-aid arrangements, fire safety procedures, medication processes and individual health/risk plans. A placement will not be accepted where identified medical, behavioural or environmental risks cannot be safely managed within Bridgepoint's competence and resources.</w:t>
      </w:r>
    </w:p>
    <w:p>
      <w:pPr>
        <w:pStyle w:val="Heading1"/>
      </w:pPr>
      <w:r>
        <w:t>17. Visitors, Contractors and Site Security</w:t>
      </w:r>
    </w:p>
    <w:p>
      <w:pPr>
        <w:pStyle w:val="ListBullet"/>
      </w:pPr>
      <w:r>
        <w:t>Visitor access will be controlled and recorded.</w:t>
      </w:r>
    </w:p>
    <w:p>
      <w:pPr>
        <w:pStyle w:val="ListBullet"/>
      </w:pPr>
      <w:r>
        <w:t>Visitors will receive appropriate safeguarding information and supervision.</w:t>
      </w:r>
    </w:p>
    <w:p>
      <w:pPr>
        <w:pStyle w:val="ListBullet"/>
      </w:pPr>
      <w:r>
        <w:t>Identity and safeguarding status will be checked where relevant to the visit.</w:t>
      </w:r>
    </w:p>
    <w:p>
      <w:pPr>
        <w:pStyle w:val="ListBullet"/>
      </w:pPr>
      <w:r>
        <w:t>Children will not be left unsupervised with visitors unless the arrangement is authorised and appropriately checked.</w:t>
      </w:r>
    </w:p>
    <w:p>
      <w:pPr>
        <w:pStyle w:val="ListBullet"/>
      </w:pPr>
      <w:r>
        <w:t>Site entry, exit and collection arrangements will reflect individual learner risks, including elopement or vulnerability in the community.</w:t>
      </w:r>
    </w:p>
    <w:p>
      <w:pPr>
        <w:pStyle w:val="Heading1"/>
      </w:pPr>
      <w:r>
        <w:t>18. Partnership With Parents, Carers and Commissioners</w:t>
      </w:r>
    </w:p>
    <w:p>
      <w:r>
        <w:t>Bridgepoint will work transparently with parents/carers and commissioners while recognising that safeguarding action may sometimes need to occur without prior parental consent or notification where doing so could increase risk, prejudice an investigation or conflict with statutory advice.</w:t>
      </w:r>
    </w:p>
    <w:p>
      <w:r>
        <w:t>Placement agreements will identify safeguarding contacts, attendance reporting routes, emergency arrangements, information-sharing expectations and responsibilities between Bridgepoint and the commissioner.</w:t>
      </w:r>
    </w:p>
    <w:p>
      <w:pPr>
        <w:pStyle w:val="Heading1"/>
      </w:pPr>
      <w:r>
        <w:t>19. Training and Safeguarding Culture</w:t>
      </w:r>
    </w:p>
    <w:p>
      <w:r>
        <w:t>All staff will receive safeguarding induction before working with children and regular updates thereafter. Training will be appropriate to role and will include how to recognise and report concerns, SEND-related safeguarding vulnerability, child-on-child abuse, professional boundaries, online safety, Prevent, information sharing and local referral arrangements.</w:t>
      </w:r>
    </w:p>
    <w:p>
      <w:r>
        <w:t>DSL/deputy DSL training will be role-specific and refreshed in line with current guidance and local safeguarding expectations. Safeguarding will be a standing feature of supervision, team discussion and organisational quality assurance.</w:t>
      </w:r>
    </w:p>
    <w:p>
      <w:pPr>
        <w:pStyle w:val="Heading1"/>
      </w:pPr>
      <w:r>
        <w:t>20. Quality Assurance and Review</w:t>
      </w:r>
    </w:p>
    <w:p>
      <w:pPr>
        <w:pStyle w:val="ListBullet"/>
      </w:pPr>
      <w:r>
        <w:t>Safeguarding policy reviewed at least annually and after significant changes or incidents.</w:t>
      </w:r>
    </w:p>
    <w:p>
      <w:pPr>
        <w:pStyle w:val="ListBullet"/>
      </w:pPr>
      <w:r>
        <w:t>Training and vetting records monitored.</w:t>
      </w:r>
    </w:p>
    <w:p>
      <w:pPr>
        <w:pStyle w:val="ListBullet"/>
      </w:pPr>
      <w:r>
        <w:t>Safeguarding concerns and incidents reviewed for patterns and learning.</w:t>
      </w:r>
    </w:p>
    <w:p>
      <w:pPr>
        <w:pStyle w:val="ListBullet"/>
      </w:pPr>
      <w:r>
        <w:t>Attendance and missing-child information reviewed.</w:t>
      </w:r>
    </w:p>
    <w:p>
      <w:pPr>
        <w:pStyle w:val="ListBullet"/>
      </w:pPr>
      <w:r>
        <w:t>Commissioner feedback and safeguarding quality-assurance requirements acted upon.</w:t>
      </w:r>
    </w:p>
    <w:p>
      <w:pPr>
        <w:pStyle w:val="ListBullet"/>
      </w:pPr>
      <w:r>
        <w:t>Policies and procedures updated when national guidance, legislation or local safeguarding arrangements change.</w:t>
      </w:r>
    </w:p>
    <w:p>
      <w:pPr>
        <w:pStyle w:val="Heading1"/>
      </w:pPr>
      <w:r>
        <w:t>21. Related Bridgepoint Documents to Be Maintained</w:t>
      </w:r>
    </w:p>
    <w:p>
      <w:pPr>
        <w:pStyle w:val="ListBullet"/>
      </w:pPr>
      <w:r>
        <w:t>Staff Code of Conduct</w:t>
      </w:r>
    </w:p>
    <w:p>
      <w:pPr>
        <w:pStyle w:val="ListBullet"/>
      </w:pPr>
      <w:r>
        <w:t>Safer Recruitment Procedure and central vetting record</w:t>
      </w:r>
    </w:p>
    <w:p>
      <w:pPr>
        <w:pStyle w:val="ListBullet"/>
      </w:pPr>
      <w:r>
        <w:t>Allegations Against Adults / LADO Procedure</w:t>
      </w:r>
    </w:p>
    <w:p>
      <w:pPr>
        <w:pStyle w:val="ListBullet"/>
      </w:pPr>
      <w:r>
        <w:t>Low-Level Concerns Procedure</w:t>
      </w:r>
    </w:p>
    <w:p>
      <w:pPr>
        <w:pStyle w:val="ListBullet"/>
      </w:pPr>
      <w:r>
        <w:t>Whistleblowing Policy</w:t>
      </w:r>
    </w:p>
    <w:p>
      <w:pPr>
        <w:pStyle w:val="ListBullet"/>
      </w:pPr>
      <w:r>
        <w:t>Attendance and Missing Child Procedure</w:t>
      </w:r>
    </w:p>
    <w:p>
      <w:pPr>
        <w:pStyle w:val="ListBullet"/>
      </w:pPr>
      <w:r>
        <w:t>Online Safety Policy</w:t>
      </w:r>
    </w:p>
    <w:p>
      <w:pPr>
        <w:pStyle w:val="ListBullet"/>
      </w:pPr>
      <w:r>
        <w:t>Behaviour and Regulation Policy</w:t>
      </w:r>
    </w:p>
    <w:p>
      <w:pPr>
        <w:pStyle w:val="ListBullet"/>
      </w:pPr>
      <w:r>
        <w:t>Health and Safety Policy</w:t>
      </w:r>
    </w:p>
    <w:p>
      <w:pPr>
        <w:pStyle w:val="ListBullet"/>
      </w:pPr>
      <w:r>
        <w:t>First Aid and Medication Procedures</w:t>
      </w:r>
    </w:p>
    <w:p>
      <w:pPr>
        <w:pStyle w:val="ListBullet"/>
      </w:pPr>
      <w:r>
        <w:t>Risk Assessment Framework</w:t>
      </w:r>
    </w:p>
    <w:p>
      <w:pPr>
        <w:pStyle w:val="ListBullet"/>
      </w:pPr>
      <w:r>
        <w:t>Data Protection and Information-Sharing Procedures</w:t>
      </w:r>
    </w:p>
    <w:p>
      <w:pPr>
        <w:pStyle w:val="ListBullet"/>
      </w:pPr>
      <w:r>
        <w:t>Complaints Policy</w:t>
      </w:r>
    </w:p>
    <w:p>
      <w:pPr>
        <w:pStyle w:val="ListBullet"/>
      </w:pPr>
      <w:r>
        <w:t>Visitor and Site Security Procedure</w:t>
      </w:r>
    </w:p>
    <w:p>
      <w:pPr>
        <w:pStyle w:val="Heading1"/>
      </w:pPr>
      <w:r>
        <w:t>22. Key National References</w:t>
      </w:r>
    </w:p>
    <w:p>
      <w:r>
        <w:t>Department for Education, Non-school Alternative Provision: Voluntary National Standards (published 31 August 2025).</w:t>
      </w:r>
    </w:p>
    <w:p>
      <w:r>
        <w:t>Department for Education, Working Together to Safeguard Children 2026 (updated 18 March 2026).</w:t>
      </w:r>
    </w:p>
    <w:p>
      <w:r>
        <w:t>Department for Education, Keeping Children Safe in Education 2026 (in force from 1 September 2026) - used by Bridgepoint as a safeguarding benchmark where relevant.</w:t>
      </w:r>
    </w:p>
    <w:p>
      <w:r>
        <w:t>Department for Education, Information Sharing to Safeguard Children and Young People (statutory guidance effective from September 2026).</w:t>
      </w:r>
    </w:p>
    <w:p>
      <w:r>
        <w:t>Department for Education, Alternative Provision statutory guidance (updated 5 February 2025).</w:t>
      </w:r>
    </w:p>
    <w:p>
      <w:pPr>
        <w:pStyle w:val="Heading1"/>
      </w:pPr>
      <w:r>
        <w:t>23. Approval</w:t>
      </w:r>
    </w:p>
    <w:tbl>
      <w:tblPr>
        <w:tblStyle w:val="TableGrid"/>
        <w:tblW w:type="auto" w:w="0"/>
        <w:tblLook w:firstColumn="1" w:firstRow="1" w:lastColumn="0" w:lastRow="0" w:noHBand="0" w:noVBand="1" w:val="04A0"/>
      </w:tblPr>
      <w:tblGrid>
        <w:gridCol w:w="4997"/>
        <w:gridCol w:w="4997"/>
      </w:tblGrid>
      <w:tr>
        <w:tc>
          <w:tcPr>
            <w:tcW w:type="dxa" w:w="4997"/>
          </w:tcPr>
          <w:p>
            <w:r>
              <w:rPr>
                <w:b/>
              </w:rPr>
              <w:t>Approved by</w:t>
            </w:r>
          </w:p>
        </w:tc>
        <w:tc>
          <w:tcPr>
            <w:tcW w:type="dxa" w:w="4997"/>
          </w:tcPr>
          <w:p>
            <w:r>
              <w:t>____________________________</w:t>
            </w:r>
          </w:p>
        </w:tc>
      </w:tr>
      <w:tr>
        <w:tc>
          <w:tcPr>
            <w:tcW w:type="dxa" w:w="4997"/>
          </w:tcPr>
          <w:p>
            <w:r>
              <w:rPr>
                <w:b/>
              </w:rPr>
              <w:t>DSL</w:t>
            </w:r>
          </w:p>
        </w:tc>
        <w:tc>
          <w:tcPr>
            <w:tcW w:type="dxa" w:w="4997"/>
          </w:tcPr>
          <w:p>
            <w:r>
              <w:t>____________________________</w:t>
            </w:r>
          </w:p>
        </w:tc>
      </w:tr>
      <w:tr>
        <w:tc>
          <w:tcPr>
            <w:tcW w:type="dxa" w:w="4997"/>
          </w:tcPr>
          <w:p>
            <w:r>
              <w:rPr>
                <w:b/>
              </w:rPr>
              <w:t>Deputy DSL</w:t>
            </w:r>
          </w:p>
        </w:tc>
        <w:tc>
          <w:tcPr>
            <w:tcW w:type="dxa" w:w="4997"/>
          </w:tcPr>
          <w:p>
            <w:r>
              <w:t>____________________________</w:t>
            </w:r>
          </w:p>
        </w:tc>
      </w:tr>
      <w:tr>
        <w:tc>
          <w:tcPr>
            <w:tcW w:type="dxa" w:w="4997"/>
          </w:tcPr>
          <w:p>
            <w:r>
              <w:rPr>
                <w:b/>
              </w:rPr>
              <w:t>Approval date</w:t>
            </w:r>
          </w:p>
        </w:tc>
        <w:tc>
          <w:tcPr>
            <w:tcW w:type="dxa" w:w="4997"/>
          </w:tcPr>
          <w:p>
            <w:r>
              <w:t>____________________________</w:t>
            </w:r>
          </w:p>
        </w:tc>
      </w:tr>
      <w:tr>
        <w:tc>
          <w:tcPr>
            <w:tcW w:type="dxa" w:w="4997"/>
          </w:tcPr>
          <w:p>
            <w:r>
              <w:rPr>
                <w:b/>
              </w:rPr>
              <w:t>Next review</w:t>
            </w:r>
          </w:p>
        </w:tc>
        <w:tc>
          <w:tcPr>
            <w:tcW w:type="dxa" w:w="4997"/>
          </w:tcPr>
          <w:p>
            <w:r>
              <w:t>____________________________</w:t>
            </w:r>
          </w:p>
        </w:tc>
      </w:tr>
    </w:tbl>
    <w:sectPr w:rsidR="00FC693F" w:rsidRPr="0006063C" w:rsidSect="00034616">
      <w:headerReference w:type="default" r:id="rId9"/>
      <w:footerReference w:type="default" r:id="rId10"/>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Safeguarding and Child Protection Policy • Version 0.1 •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506469"/>
        <w:sz w:val="16"/>
      </w:rPr>
      <w:t>BRIDGEPOINT LEARNING CIC  |  SAFEGUARDING &amp; CHILD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4E5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38708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F4E5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Bridgepoint Learning CIC Safeguarding and Child Protection Policy 2026</dc:title>
  <dc:subject/>
  <dc:creator>Bridgepoint Learning CIC</dc:creator>
  <cp:keywords/>
  <dc:description>generated by python-docx</dc:description>
  <cp:lastModifiedBy/>
  <cp:revision>1</cp:revision>
  <dcterms:created xsi:type="dcterms:W3CDTF">2013-12-23T23:15:00Z</dcterms:created>
  <dcterms:modified xsi:type="dcterms:W3CDTF">2013-12-23T23:15:00Z</dcterms:modified>
  <cp:category/>
</cp:coreProperties>
</file>