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Complaints Policy &amp; Procedure</w:t>
      </w:r>
    </w:p>
    <w:p>
      <w:r>
        <w:rPr>
          <w:b/>
        </w:rPr>
        <w:t>Bridgepoint Learning CIC</w:t>
      </w:r>
      <w:r>
        <w:br/>
        <w:t>A fair, accessible and proportionate process for raising and resolving concerns.</w:t>
      </w:r>
    </w:p>
    <w:tbl>
      <w:tblPr>
        <w:tblStyle w:val="TableGrid"/>
        <w:tblW w:type="auto" w:w="0"/>
        <w:jc w:val="left"/>
        <w:tblLook w:firstColumn="1" w:firstRow="1" w:lastColumn="0" w:lastRow="0" w:noHBand="0" w:noVBand="1" w:val="04A0"/>
      </w:tblPr>
      <w:tblGrid>
        <w:gridCol w:w="5083"/>
        <w:gridCol w:w="5083"/>
      </w:tblGrid>
      <w:tr>
        <w:tc>
          <w:tcPr>
            <w:tcW w:type="dxa" w:w="5083"/>
            <w:shd w:fill="EDEDED"/>
          </w:tcPr>
          <w:p>
            <w:r>
              <w:rPr>
                <w:b/>
              </w:rPr>
              <w:t>Policy lead</w:t>
            </w:r>
          </w:p>
        </w:tc>
        <w:tc>
          <w:tcPr>
            <w:tcW w:type="dxa" w:w="5083"/>
          </w:tcPr>
          <w:p>
            <w:r>
              <w:t>Charlotte Ujvari - Founder, Director &amp; Provision Lead</w:t>
            </w:r>
          </w:p>
        </w:tc>
      </w:tr>
      <w:tr>
        <w:tc>
          <w:tcPr>
            <w:tcW w:type="dxa" w:w="5083"/>
            <w:shd w:fill="EDEDED"/>
          </w:tcPr>
          <w:p>
            <w:r>
              <w:rPr>
                <w:b/>
              </w:rPr>
              <w:t>Deputy lead</w:t>
            </w:r>
          </w:p>
        </w:tc>
        <w:tc>
          <w:tcPr>
            <w:tcW w:type="dxa" w:w="5083"/>
          </w:tcPr>
          <w:p>
            <w:r>
              <w:t>Daniel Shave - Deputy Provision Manager</w:t>
            </w:r>
          </w:p>
        </w:tc>
      </w:tr>
      <w:tr>
        <w:tc>
          <w:tcPr>
            <w:tcW w:type="dxa" w:w="5083"/>
            <w:shd w:fill="EDEDED"/>
          </w:tcPr>
          <w:p>
            <w:r>
              <w:rPr>
                <w:b/>
              </w:rPr>
              <w:t>Applies to</w:t>
            </w:r>
          </w:p>
        </w:tc>
        <w:tc>
          <w:tcPr>
            <w:tcW w:type="dxa" w:w="5083"/>
          </w:tcPr>
          <w:p>
            <w:r>
              <w:t>Learners, parents/carers, commissioners, professionals and other users of Bridgepoint services</w:t>
            </w:r>
          </w:p>
        </w:tc>
      </w:tr>
      <w:tr>
        <w:tc>
          <w:tcPr>
            <w:tcW w:type="dxa" w:w="5083"/>
            <w:shd w:fill="EDEDED"/>
          </w:tcPr>
          <w:p>
            <w:r>
              <w:rPr>
                <w:b/>
              </w:rPr>
              <w:t>Response aim</w:t>
            </w:r>
          </w:p>
        </w:tc>
        <w:tc>
          <w:tcPr>
            <w:tcW w:type="dxa" w:w="5083"/>
          </w:tcPr>
          <w:p>
            <w:r>
              <w:t>Acknowledge formal complaints within 5 working days and provide a Stage 1 response normally within 15 working days</w:t>
            </w:r>
          </w:p>
        </w:tc>
      </w:tr>
      <w:tr>
        <w:tc>
          <w:tcPr>
            <w:tcW w:type="dxa" w:w="5083"/>
            <w:shd w:fill="EDEDED"/>
          </w:tcPr>
          <w:p>
            <w:r>
              <w:rPr>
                <w:b/>
              </w:rPr>
              <w:t>Review cycle</w:t>
            </w:r>
          </w:p>
        </w:tc>
        <w:tc>
          <w:tcPr>
            <w:tcW w:type="dxa" w:w="5083"/>
          </w:tcPr>
          <w:p>
            <w:r>
              <w:t>At least annually and following significant complaint themes, legal/guidance change or operational change</w:t>
            </w:r>
          </w:p>
        </w:tc>
      </w:tr>
    </w:tbl>
    <w:p>
      <w:pPr>
        <w:pStyle w:val="Heading1"/>
      </w:pPr>
      <w:r>
        <w:t>1. Purpose</w:t>
      </w:r>
    </w:p>
    <w:p>
      <w:r>
        <w:t>Bridgepoint Learning CIC aims to provide safe, respectful and high-quality services. We recognise that concerns and complaints can identify problems, improve practice and provide an opportunity to put matters right.</w:t>
      </w:r>
    </w:p>
    <w:p>
      <w:r>
        <w:t>This policy provides a clear route for concerns and complaints while recognising that safeguarding allegations, whistleblowing, data-protection matters and certain employment issues require different procedures.</w:t>
      </w:r>
    </w:p>
    <w:p>
      <w:pPr>
        <w:pStyle w:val="Heading1"/>
      </w:pPr>
      <w:r>
        <w:t>2. Principles</w:t>
      </w:r>
    </w:p>
    <w:p>
      <w:pPr>
        <w:pStyle w:val="ListBullet"/>
      </w:pPr>
      <w:r>
        <w:t>Concerns will be taken seriously and handled respectfully.</w:t>
      </w:r>
    </w:p>
    <w:p>
      <w:pPr>
        <w:pStyle w:val="ListBullet"/>
      </w:pPr>
      <w:r>
        <w:t>People will not be disadvantaged because they make a complaint in good faith.</w:t>
      </w:r>
    </w:p>
    <w:p>
      <w:pPr>
        <w:pStyle w:val="ListBullet"/>
      </w:pPr>
      <w:r>
        <w:t>The process will be accessible, including reasonable adjustments for disability, communication or literacy needs.</w:t>
      </w:r>
    </w:p>
    <w:p>
      <w:pPr>
        <w:pStyle w:val="ListBullet"/>
      </w:pPr>
      <w:r>
        <w:t>Complaints will be considered fairly, proportionately and as independently as Bridgepoint's size and structure reasonably allow.</w:t>
      </w:r>
    </w:p>
    <w:p>
      <w:pPr>
        <w:pStyle w:val="ListBullet"/>
      </w:pPr>
      <w:r>
        <w:t>People complained about will have a fair opportunity to provide relevant information.</w:t>
      </w:r>
    </w:p>
    <w:p>
      <w:pPr>
        <w:pStyle w:val="ListBullet"/>
      </w:pPr>
      <w:r>
        <w:t>Records will distinguish fact, evidence, allegation, opinion and outcome.</w:t>
      </w:r>
    </w:p>
    <w:p>
      <w:pPr>
        <w:pStyle w:val="ListBullet"/>
      </w:pPr>
      <w:r>
        <w:t>Learning from complaints will be used to improve the service.</w:t>
      </w:r>
    </w:p>
    <w:p>
      <w:pPr>
        <w:pStyle w:val="Heading1"/>
      </w:pPr>
      <w:r>
        <w:t>3. Who Can Complain?</w:t>
      </w:r>
    </w:p>
    <w:p>
      <w:r>
        <w:t>A complaint may be raised by a learner, parent or carer, commissioner, professional, visitor or other person directly affected by a Bridgepoint service. A representative or advocate may assist a complainant where appropriate.</w:t>
      </w:r>
    </w:p>
    <w:p>
      <w:r>
        <w:t>Children and young people may raise concerns in whatever communication method is accessible to them. Staff should support rather than obstruct a learner who wants to express dissatisfaction or a concern.</w:t>
      </w:r>
    </w:p>
    <w:p>
      <w:pPr>
        <w:pStyle w:val="Heading1"/>
      </w:pPr>
      <w:r>
        <w:t>4. What Is a Complaint?</w:t>
      </w:r>
    </w:p>
    <w:p>
      <w:r>
        <w:t>A concern is an expression of worry or dissatisfaction that may be capable of prompt informal resolution. A complaint is an expression of dissatisfaction about an action, decision, omission, service or conduct for which the person seeks a response or resolution.</w:t>
      </w:r>
    </w:p>
    <w:p>
      <w:r>
        <w:t>A person does not have to use the word 'complaint' for Bridgepoint to recognise that a formal response may be required.</w:t>
      </w:r>
    </w:p>
    <w:p>
      <w:pPr>
        <w:pStyle w:val="Heading1"/>
      </w:pPr>
      <w:r>
        <w:t>5. Matters Managed Under Other Procedures</w:t>
      </w:r>
    </w:p>
    <w:p>
      <w:r>
        <w:t>Some matters should not be investigated solely through this complaints procedure:</w:t>
      </w:r>
    </w:p>
    <w:p>
      <w:pPr>
        <w:pStyle w:val="ListBullet"/>
      </w:pPr>
      <w:r>
        <w:t>an allegation or safeguarding concern about a child or adult working with children;</w:t>
      </w:r>
    </w:p>
    <w:p>
      <w:pPr>
        <w:pStyle w:val="ListBullet"/>
      </w:pPr>
      <w:r>
        <w:t>a concern requiring referral to the Local Authority Designated Officer (LADO), children's social care or police;</w:t>
      </w:r>
    </w:p>
    <w:p>
      <w:pPr>
        <w:pStyle w:val="ListBullet"/>
      </w:pPr>
      <w:r>
        <w:t>staff whistleblowing;</w:t>
      </w:r>
    </w:p>
    <w:p>
      <w:pPr>
        <w:pStyle w:val="ListBullet"/>
      </w:pPr>
      <w:r>
        <w:t>staff grievance or disciplinary matters;</w:t>
      </w:r>
    </w:p>
    <w:p>
      <w:pPr>
        <w:pStyle w:val="ListBullet"/>
      </w:pPr>
      <w:r>
        <w:t>data-protection rights or personal-data breaches where a specialist process applies;</w:t>
      </w:r>
    </w:p>
    <w:p>
      <w:pPr>
        <w:pStyle w:val="ListBullet"/>
      </w:pPr>
      <w:r>
        <w:t>decisions that legally belong to a school, local authority, tribunal or other commissioning body rather than Bridgepoint.</w:t>
      </w:r>
    </w:p>
    <w:p>
      <w:r>
        <w:t>Where a complaint contains more than one type of issue, Bridgepoint may separate the issues and explain which procedure applies to each.</w:t>
      </w:r>
    </w:p>
    <w:p>
      <w:pPr>
        <w:pStyle w:val="Heading1"/>
      </w:pPr>
      <w:r>
        <w:t>6. Safeguarding Takes Priority</w:t>
      </w:r>
    </w:p>
    <w:p>
      <w:r>
        <w:t>Where information within a complaint suggests that a child may be at risk of harm, safeguarding action takes priority over the complaints timetable. The concern must be passed promptly to the DSL or DDSL and managed under Bridgepoint's Safeguarding and Child Protection Policy.</w:t>
      </w:r>
    </w:p>
    <w:p>
      <w:r>
        <w:t>Bridgepoint will not promise confidentiality where information must be shared to protect a child or another person.</w:t>
      </w:r>
    </w:p>
    <w:p>
      <w:pPr>
        <w:pStyle w:val="Heading1"/>
      </w:pPr>
      <w:r>
        <w:t>7. Stage 0 - Informal Resolution</w:t>
      </w:r>
    </w:p>
    <w:p>
      <w:r>
        <w:t>Where appropriate, Bridgepoint encourages concerns to be raised promptly with the member of staff or manager best placed to resolve them. Many practical issues can be addressed quickly through explanation, correction, apology, clarification or agreed action.</w:t>
      </w:r>
    </w:p>
    <w:p>
      <w:r>
        <w:t>Informal resolution is optional. A serious matter, repeated concern or issue that the complainant wishes to formalise may move directly to Stage 1.</w:t>
      </w:r>
    </w:p>
    <w:p>
      <w:pPr>
        <w:pStyle w:val="Heading1"/>
      </w:pPr>
      <w:r>
        <w:t>8. Stage 1 - Formal Complaint</w:t>
      </w:r>
    </w:p>
    <w:p>
      <w:r>
        <w:t>Formal complaints should normally be sent to the Provision Lead. Complaints may be made in writing or, where this creates an accessibility barrier, Bridgepoint will make reasonable arrangements to record a complaint provided verbally.</w:t>
      </w:r>
    </w:p>
    <w:p>
      <w:r>
        <w:t>The complaint should, where possible, explain what happened, the outcome sought and any relevant evidence. Bridgepoint will not reject a complaint merely because it is imperfectly expressed.</w:t>
      </w:r>
    </w:p>
    <w:p>
      <w:r>
        <w:t>Bridgepoint aims to acknowledge a formal complaint within 5 working days and provide a written Stage 1 outcome normally within 15 working days. Where more time is reasonably required, the complainant will be informed of the reason and a revised timescale.</w:t>
      </w:r>
    </w:p>
    <w:p>
      <w:pPr>
        <w:pStyle w:val="Heading1"/>
      </w:pPr>
      <w:r>
        <w:t>9. Complaints About the Provision Lead</w:t>
      </w:r>
    </w:p>
    <w:p>
      <w:r>
        <w:t>Where the complaint concerns Charlotte Ujvari personally, it should not be investigated and finally determined solely by Charlotte.</w:t>
      </w:r>
    </w:p>
    <w:p>
      <w:r>
        <w:t>Bridgepoint will arrange for the complaint to be considered by another director, appropriately independent person or external professional who has no material involvement in the matter, depending on the nature and seriousness of the complaint.</w:t>
      </w:r>
    </w:p>
    <w:p>
      <w:pPr>
        <w:pStyle w:val="Heading1"/>
      </w:pPr>
      <w:r>
        <w:t>10. Investigation</w:t>
      </w:r>
    </w:p>
    <w:p>
      <w:r>
        <w:t>The person investigating will determine what information is reasonably required. This may include speaking with relevant people, reviewing records, correspondence, attendance information, incident reports, placement documents or other evidence.</w:t>
      </w:r>
    </w:p>
    <w:p>
      <w:r>
        <w:t>Investigations will be proportionate. Bridgepoint is not required to repeatedly investigate the same point where sufficient evidence has already been considered.</w:t>
      </w:r>
    </w:p>
    <w:p>
      <w:r>
        <w:t>Where a learner is involved, their communication needs, wellbeing and vulnerability will be considered before seeking an account.</w:t>
      </w:r>
    </w:p>
    <w:p>
      <w:pPr>
        <w:pStyle w:val="Heading1"/>
      </w:pPr>
      <w:r>
        <w:t>11. Possible Outcomes</w:t>
      </w:r>
    </w:p>
    <w:p>
      <w:r>
        <w:t>A complaint may be upheld, partially upheld, not upheld, or unable to be determined where reliable evidence is insufficient.</w:t>
      </w:r>
    </w:p>
    <w:p>
      <w:r>
        <w:t>Where appropriate, the response may include:</w:t>
      </w:r>
    </w:p>
    <w:p>
      <w:pPr>
        <w:pStyle w:val="ListBullet"/>
      </w:pPr>
      <w:r>
        <w:t>an explanation or clarification;</w:t>
      </w:r>
    </w:p>
    <w:p>
      <w:pPr>
        <w:pStyle w:val="ListBullet"/>
      </w:pPr>
      <w:r>
        <w:t>an apology;</w:t>
      </w:r>
    </w:p>
    <w:p>
      <w:pPr>
        <w:pStyle w:val="ListBullet"/>
      </w:pPr>
      <w:r>
        <w:t>correction of inaccurate information;</w:t>
      </w:r>
    </w:p>
    <w:p>
      <w:pPr>
        <w:pStyle w:val="ListBullet"/>
      </w:pPr>
      <w:r>
        <w:t>changes to practice, communication or procedure;</w:t>
      </w:r>
    </w:p>
    <w:p>
      <w:pPr>
        <w:pStyle w:val="ListBullet"/>
      </w:pPr>
      <w:r>
        <w:t>staff guidance, supervision or training;</w:t>
      </w:r>
    </w:p>
    <w:p>
      <w:pPr>
        <w:pStyle w:val="ListBullet"/>
      </w:pPr>
      <w:r>
        <w:t>a placement or risk review;</w:t>
      </w:r>
    </w:p>
    <w:p>
      <w:pPr>
        <w:pStyle w:val="ListBullet"/>
      </w:pPr>
      <w:r>
        <w:t>other proportionate remedial action.</w:t>
      </w:r>
    </w:p>
    <w:p>
      <w:r>
        <w:t>Confidential employment or safeguarding information about another person may limit the detail Bridgepoint can disclose about action taken.</w:t>
      </w:r>
    </w:p>
    <w:p>
      <w:pPr>
        <w:pStyle w:val="Heading1"/>
      </w:pPr>
      <w:r>
        <w:t>12. Stage 2 - Review</w:t>
      </w:r>
    </w:p>
    <w:p>
      <w:r>
        <w:t>If the complainant remains dissatisfied with the Stage 1 response, they may request a Stage 2 review, normally within 10 working days of receiving the outcome.</w:t>
      </w:r>
    </w:p>
    <w:p>
      <w:r>
        <w:t>The request should identify why the Stage 1 outcome or process is considered inadequate. Stage 2 is a review of the complaint handling and outcome; it does not necessarily require the entire investigation to be repeated.</w:t>
      </w:r>
    </w:p>
    <w:p>
      <w:r>
        <w:t>Where practicable, the review will be undertaken by a person who was not responsible for the Stage 1 decision. Bridgepoint aims to provide the Stage 2 outcome within 20 working days of accepting the review request. If additional time is required, a revised timescale will be communicated.</w:t>
      </w:r>
    </w:p>
    <w:p>
      <w:pPr>
        <w:pStyle w:val="Heading1"/>
      </w:pPr>
      <w:r>
        <w:t>13. Final Internal Response</w:t>
      </w:r>
    </w:p>
    <w:p>
      <w:r>
        <w:t>The Stage 2 outcome will normally represent the end of Bridgepoint's internal complaints process. The response will explain any further route that is genuinely available and relevant to the issue.</w:t>
      </w:r>
    </w:p>
    <w:p>
      <w:r>
        <w:t>Bridgepoint will not direct complainants to an external body unless that body has jurisdiction or a relevant role in the matter.</w:t>
      </w:r>
    </w:p>
    <w:p>
      <w:pPr>
        <w:pStyle w:val="Heading1"/>
      </w:pPr>
      <w:r>
        <w:t>14. Complaints Involving Commissioned Placements</w:t>
      </w:r>
    </w:p>
    <w:p>
      <w:r>
        <w:t>For commissioned Alternative Provision, some concerns may involve both Bridgepoint and the commissioning school or local authority. Bridgepoint will address matters within its responsibility and cooperate with the commissioner where information sharing is lawful and necessary.</w:t>
      </w:r>
    </w:p>
    <w:p>
      <w:r>
        <w:t>The placement agreement should identify relevant escalation and contract-management routes. Bridgepoint will not assume the statutory responsibilities of a commissioning school or local authority where those responsibilities remain with that body.</w:t>
      </w:r>
    </w:p>
    <w:p>
      <w:pPr>
        <w:pStyle w:val="Heading1"/>
      </w:pPr>
      <w:r>
        <w:t>15. Local Authority, Regulator or Other External Routes</w:t>
      </w:r>
    </w:p>
    <w:p>
      <w:r>
        <w:t>Depending on the subject matter and commissioning arrangement, a complainant may have a separate right to raise concerns with a commissioning school, academy trust, local authority, regulator, Information Commissioner's Office, Local Government and Social Care Ombudsman, Department for Education or another body.</w:t>
      </w:r>
    </w:p>
    <w:p>
      <w:r>
        <w:t>Availability of an external route depends on that body's legal remit. Bridgepoint will provide accurate signposting where a relevant route is known.</w:t>
      </w:r>
    </w:p>
    <w:p>
      <w:pPr>
        <w:pStyle w:val="Heading1"/>
      </w:pPr>
      <w:r>
        <w:t>16. Anonymous Complaints</w:t>
      </w:r>
    </w:p>
    <w:p>
      <w:r>
        <w:t>Anonymous concerns will be considered according to their seriousness, credibility and the information available. Lack of contact details may limit Bridgepoint's ability to investigate or provide an outcome.</w:t>
      </w:r>
    </w:p>
    <w:p>
      <w:r>
        <w:t>Safeguarding information will still be acted upon where necessary regardless of whether the source is identified.</w:t>
      </w:r>
    </w:p>
    <w:p>
      <w:pPr>
        <w:pStyle w:val="Heading1"/>
      </w:pPr>
      <w:r>
        <w:t>17. Unreasonably Persistent or Abusive Contact</w:t>
      </w:r>
    </w:p>
    <w:p>
      <w:r>
        <w:t>Bridgepoint will not label a complaint unreasonable simply because a person is persistent, distressed, disabled, dissatisfied or strongly disagrees with the outcome.</w:t>
      </w:r>
    </w:p>
    <w:p>
      <w:r>
        <w:t>However, Bridgepoint may manage contact where behaviour becomes abusive, threatening, discriminatory, excessively repetitive or places a disproportionate burden on the organisation after the substantive issues have been addressed.</w:t>
      </w:r>
    </w:p>
    <w:p>
      <w:r>
        <w:t>Any restrictions should be proportionate, documented, reviewed and should preserve a reasonable route for new safeguarding concerns or genuinely new issues to be raised.</w:t>
      </w:r>
    </w:p>
    <w:p>
      <w:pPr>
        <w:pStyle w:val="Heading1"/>
      </w:pPr>
      <w:r>
        <w:t>18. Reasonable Adjustments and Accessibility</w:t>
      </w:r>
    </w:p>
    <w:p>
      <w:r>
        <w:t>Bridgepoint will make reasonable adjustments to the complaints process where required. This may include accepting a verbal complaint, using plain language, providing additional time, communicating through an advocate, arranging a meeting or adapting communication for SEND.</w:t>
      </w:r>
    </w:p>
    <w:p>
      <w:r>
        <w:t>Children's complaints should be handled in a way that recognises age, development, communication and emotional regulation needs.</w:t>
      </w:r>
    </w:p>
    <w:p>
      <w:pPr>
        <w:pStyle w:val="Heading1"/>
      </w:pPr>
      <w:r>
        <w:t>19. Confidentiality and Data Protection</w:t>
      </w:r>
    </w:p>
    <w:p>
      <w:r>
        <w:t>Complaint information will be shared only with people who need it to investigate, respond, safeguard individuals or meet legal and commissioning obligations.</w:t>
      </w:r>
    </w:p>
    <w:p>
      <w:r>
        <w:t>Records will be stored securely in accordance with Bridgepoint's data-protection and retention arrangements. A complaint file may contain sensitive personal information and must be handled accordingly.</w:t>
      </w:r>
    </w:p>
    <w:p>
      <w:pPr>
        <w:pStyle w:val="Heading1"/>
      </w:pPr>
      <w:r>
        <w:t>20. Recording and Organisational Learning</w:t>
      </w:r>
    </w:p>
    <w:p>
      <w:r>
        <w:t>Bridgepoint will maintain a record of formal complaints, outcomes and relevant actions. Themes may be reviewed to identify recurring problems, training needs, policy changes or service improvements.</w:t>
      </w:r>
    </w:p>
    <w:p>
      <w:r>
        <w:t>Complaint records will not be used to penalise a learner or family for having raised a concern in good faith.</w:t>
      </w:r>
    </w:p>
    <w:p>
      <w:pPr>
        <w:pStyle w:val="Heading1"/>
      </w:pPr>
      <w:r>
        <w:t>21. Complaints About Discrimination</w:t>
      </w:r>
    </w:p>
    <w:p>
      <w:r>
        <w:t>Concerns involving disability discrimination, harassment, victimisation or failure to make reasonable adjustments will be taken seriously and considered alongside Bridgepoint's equality duties and SEND-informed practice.</w:t>
      </w:r>
    </w:p>
    <w:p>
      <w:r>
        <w:t>Making a complaint about discrimination must not itself result in adverse treatment.</w:t>
      </w:r>
    </w:p>
    <w:p>
      <w:pPr>
        <w:pStyle w:val="Heading1"/>
      </w:pPr>
      <w:r>
        <w:t>22. Time Limit for Raising Complaints</w:t>
      </w:r>
    </w:p>
    <w:p>
      <w:r>
        <w:t>Complaints should normally be raised within three months of the event or of the complainant becoming aware of the issue. Bridgepoint may consider older complaints where there is a reasonable explanation for delay, the matter is serious, or sufficient information remains available to consider it fairly.</w:t>
      </w:r>
    </w:p>
    <w:p>
      <w:r>
        <w:t>Safeguarding concerns are not rejected merely because time has passed.</w:t>
      </w:r>
    </w:p>
    <w:p>
      <w:pPr>
        <w:pStyle w:val="Heading1"/>
      </w:pPr>
      <w:r>
        <w:t>23. Policy Review</w:t>
      </w:r>
    </w:p>
    <w:p>
      <w:r>
        <w:t>This policy will be reviewed at least annually and sooner where complaint learning, legal requirements, commissioning arrangements or Bridgepoint's operating model indicate that changes are needed.</w:t>
      </w:r>
    </w:p>
    <w:p>
      <w:pPr>
        <w:pStyle w:val="Heading1"/>
      </w:pPr>
      <w:r>
        <w:t>Appendix A - Formal Complaint Form</w:t>
      </w:r>
    </w:p>
    <w:tbl>
      <w:tblPr>
        <w:tblStyle w:val="TableGrid"/>
        <w:tblW w:type="auto" w:w="0"/>
        <w:jc w:val="left"/>
        <w:tblLook w:firstColumn="1" w:firstRow="1" w:lastColumn="0" w:lastRow="0" w:noHBand="0" w:noVBand="1" w:val="04A0"/>
      </w:tblPr>
      <w:tblGrid>
        <w:gridCol w:w="5083"/>
        <w:gridCol w:w="5083"/>
      </w:tblGrid>
      <w:tr>
        <w:tc>
          <w:tcPr>
            <w:tcW w:type="dxa" w:w="5083"/>
            <w:shd w:fill="EDEDED"/>
          </w:tcPr>
          <w:p>
            <w:r>
              <w:rPr>
                <w:b/>
              </w:rPr>
              <w:t>Name</w:t>
            </w:r>
          </w:p>
        </w:tc>
        <w:tc>
          <w:tcPr>
            <w:tcW w:type="dxa" w:w="5083"/>
          </w:tcPr>
          <w:p>
            <w:r/>
          </w:p>
        </w:tc>
      </w:tr>
      <w:tr>
        <w:tc>
          <w:tcPr>
            <w:tcW w:type="dxa" w:w="5083"/>
            <w:shd w:fill="EDEDED"/>
          </w:tcPr>
          <w:p>
            <w:r>
              <w:rPr>
                <w:b/>
              </w:rPr>
              <w:t>Relationship to Bridgepoint / learner</w:t>
            </w:r>
          </w:p>
        </w:tc>
        <w:tc>
          <w:tcPr>
            <w:tcW w:type="dxa" w:w="5083"/>
          </w:tcPr>
          <w:p>
            <w:r/>
          </w:p>
        </w:tc>
      </w:tr>
      <w:tr>
        <w:tc>
          <w:tcPr>
            <w:tcW w:type="dxa" w:w="5083"/>
            <w:shd w:fill="EDEDED"/>
          </w:tcPr>
          <w:p>
            <w:r>
              <w:rPr>
                <w:b/>
              </w:rPr>
              <w:t>Contact details</w:t>
            </w:r>
          </w:p>
        </w:tc>
        <w:tc>
          <w:tcPr>
            <w:tcW w:type="dxa" w:w="5083"/>
          </w:tcPr>
          <w:p>
            <w:r/>
          </w:p>
        </w:tc>
      </w:tr>
      <w:tr>
        <w:tc>
          <w:tcPr>
            <w:tcW w:type="dxa" w:w="5083"/>
            <w:shd w:fill="EDEDED"/>
          </w:tcPr>
          <w:p>
            <w:r>
              <w:rPr>
                <w:b/>
              </w:rPr>
              <w:t>Learner name (if relevant)</w:t>
            </w:r>
          </w:p>
        </w:tc>
        <w:tc>
          <w:tcPr>
            <w:tcW w:type="dxa" w:w="5083"/>
          </w:tcPr>
          <w:p>
            <w:r/>
          </w:p>
        </w:tc>
      </w:tr>
      <w:tr>
        <w:tc>
          <w:tcPr>
            <w:tcW w:type="dxa" w:w="5083"/>
            <w:shd w:fill="EDEDED"/>
          </w:tcPr>
          <w:p>
            <w:r>
              <w:rPr>
                <w:b/>
              </w:rPr>
              <w:t>Date(s) of event</w:t>
            </w:r>
          </w:p>
        </w:tc>
        <w:tc>
          <w:tcPr>
            <w:tcW w:type="dxa" w:w="5083"/>
          </w:tcPr>
          <w:p>
            <w:r/>
          </w:p>
        </w:tc>
      </w:tr>
      <w:tr>
        <w:tc>
          <w:tcPr>
            <w:tcW w:type="dxa" w:w="5083"/>
            <w:shd w:fill="EDEDED"/>
          </w:tcPr>
          <w:p>
            <w:r>
              <w:rPr>
                <w:b/>
              </w:rPr>
              <w:t>Please describe your complaint</w:t>
            </w:r>
          </w:p>
        </w:tc>
        <w:tc>
          <w:tcPr>
            <w:tcW w:type="dxa" w:w="5083"/>
          </w:tcPr>
          <w:p>
            <w:r>
              <w:br/>
              <w:br/>
              <w:br/>
            </w:r>
          </w:p>
        </w:tc>
      </w:tr>
      <w:tr>
        <w:tc>
          <w:tcPr>
            <w:tcW w:type="dxa" w:w="5083"/>
            <w:shd w:fill="EDEDED"/>
          </w:tcPr>
          <w:p>
            <w:r>
              <w:rPr>
                <w:b/>
              </w:rPr>
              <w:t>What action has already been taken?</w:t>
            </w:r>
          </w:p>
        </w:tc>
        <w:tc>
          <w:tcPr>
            <w:tcW w:type="dxa" w:w="5083"/>
          </w:tcPr>
          <w:p>
            <w:r>
              <w:br/>
              <w:br/>
              <w:br/>
            </w:r>
          </w:p>
        </w:tc>
      </w:tr>
      <w:tr>
        <w:tc>
          <w:tcPr>
            <w:tcW w:type="dxa" w:w="5083"/>
            <w:shd w:fill="EDEDED"/>
          </w:tcPr>
          <w:p>
            <w:r>
              <w:rPr>
                <w:b/>
              </w:rPr>
              <w:t>What outcome would you like?</w:t>
            </w:r>
          </w:p>
        </w:tc>
        <w:tc>
          <w:tcPr>
            <w:tcW w:type="dxa" w:w="5083"/>
          </w:tcPr>
          <w:p>
            <w:r>
              <w:br/>
              <w:br/>
              <w:br/>
            </w:r>
          </w:p>
        </w:tc>
      </w:tr>
      <w:tr>
        <w:tc>
          <w:tcPr>
            <w:tcW w:type="dxa" w:w="5083"/>
            <w:shd w:fill="EDEDED"/>
          </w:tcPr>
          <w:p>
            <w:r>
              <w:rPr>
                <w:b/>
              </w:rPr>
              <w:t>Documents/evidence attached</w:t>
            </w:r>
          </w:p>
        </w:tc>
        <w:tc>
          <w:tcPr>
            <w:tcW w:type="dxa" w:w="5083"/>
          </w:tcPr>
          <w:p>
            <w:r/>
          </w:p>
        </w:tc>
      </w:tr>
      <w:tr>
        <w:tc>
          <w:tcPr>
            <w:tcW w:type="dxa" w:w="5083"/>
            <w:shd w:fill="EDEDED"/>
          </w:tcPr>
          <w:p>
            <w:r>
              <w:rPr>
                <w:b/>
              </w:rPr>
              <w:t>Reasonable adjustment required?</w:t>
            </w:r>
          </w:p>
        </w:tc>
        <w:tc>
          <w:tcPr>
            <w:tcW w:type="dxa" w:w="5083"/>
          </w:tcPr>
          <w:p>
            <w:r/>
          </w:p>
        </w:tc>
      </w:tr>
      <w:tr>
        <w:tc>
          <w:tcPr>
            <w:tcW w:type="dxa" w:w="5083"/>
            <w:shd w:fill="EDEDED"/>
          </w:tcPr>
          <w:p>
            <w:r>
              <w:rPr>
                <w:b/>
              </w:rPr>
              <w:t>Signature / name</w:t>
            </w:r>
          </w:p>
        </w:tc>
        <w:tc>
          <w:tcPr>
            <w:tcW w:type="dxa" w:w="5083"/>
          </w:tcPr>
          <w:p>
            <w:r/>
          </w:p>
        </w:tc>
      </w:tr>
      <w:tr>
        <w:tc>
          <w:tcPr>
            <w:tcW w:type="dxa" w:w="5083"/>
            <w:shd w:fill="EDEDED"/>
          </w:tcPr>
          <w:p>
            <w:r>
              <w:rPr>
                <w:b/>
              </w:rPr>
              <w:t>Date</w:t>
            </w:r>
          </w:p>
        </w:tc>
        <w:tc>
          <w:tcPr>
            <w:tcW w:type="dxa" w:w="5083"/>
          </w:tcPr>
          <w:p>
            <w:r/>
          </w:p>
        </w:tc>
      </w:tr>
    </w:tbl>
    <w:p>
      <w:pPr>
        <w:pStyle w:val="Heading1"/>
      </w:pPr>
      <w:r>
        <w:t>Appendix B - Internal Complaint Record</w:t>
      </w:r>
    </w:p>
    <w:tbl>
      <w:tblPr>
        <w:tblStyle w:val="TableGrid"/>
        <w:tblW w:type="auto" w:w="0"/>
        <w:tblLook w:firstColumn="1" w:firstRow="1" w:lastColumn="0" w:lastRow="0" w:noHBand="0" w:noVBand="1" w:val="04A0"/>
      </w:tblPr>
      <w:tblGrid>
        <w:gridCol w:w="5083"/>
        <w:gridCol w:w="5083"/>
      </w:tblGrid>
      <w:tr>
        <w:tc>
          <w:tcPr>
            <w:tcW w:type="dxa" w:w="5083"/>
            <w:shd w:fill="EDEDED"/>
          </w:tcPr>
          <w:p>
            <w:r>
              <w:rPr>
                <w:b/>
              </w:rPr>
              <w:t>Complaint reference</w:t>
            </w:r>
          </w:p>
        </w:tc>
        <w:tc>
          <w:tcPr>
            <w:tcW w:type="dxa" w:w="5083"/>
          </w:tcPr>
          <w:p>
            <w:r/>
          </w:p>
        </w:tc>
      </w:tr>
      <w:tr>
        <w:tc>
          <w:tcPr>
            <w:tcW w:type="dxa" w:w="5083"/>
            <w:shd w:fill="EDEDED"/>
          </w:tcPr>
          <w:p>
            <w:r>
              <w:rPr>
                <w:b/>
              </w:rPr>
              <w:t>Date received</w:t>
            </w:r>
          </w:p>
        </w:tc>
        <w:tc>
          <w:tcPr>
            <w:tcW w:type="dxa" w:w="5083"/>
          </w:tcPr>
          <w:p>
            <w:r/>
          </w:p>
        </w:tc>
      </w:tr>
      <w:tr>
        <w:tc>
          <w:tcPr>
            <w:tcW w:type="dxa" w:w="5083"/>
            <w:shd w:fill="EDEDED"/>
          </w:tcPr>
          <w:p>
            <w:r>
              <w:rPr>
                <w:b/>
              </w:rPr>
              <w:t>Acknowledged</w:t>
            </w:r>
          </w:p>
        </w:tc>
        <w:tc>
          <w:tcPr>
            <w:tcW w:type="dxa" w:w="5083"/>
          </w:tcPr>
          <w:p>
            <w:r/>
          </w:p>
        </w:tc>
      </w:tr>
      <w:tr>
        <w:tc>
          <w:tcPr>
            <w:tcW w:type="dxa" w:w="5083"/>
            <w:shd w:fill="EDEDED"/>
          </w:tcPr>
          <w:p>
            <w:r>
              <w:rPr>
                <w:b/>
              </w:rPr>
              <w:t>Stage</w:t>
            </w:r>
          </w:p>
        </w:tc>
        <w:tc>
          <w:tcPr>
            <w:tcW w:type="dxa" w:w="5083"/>
          </w:tcPr>
          <w:p>
            <w:r/>
          </w:p>
        </w:tc>
      </w:tr>
      <w:tr>
        <w:tc>
          <w:tcPr>
            <w:tcW w:type="dxa" w:w="5083"/>
            <w:shd w:fill="EDEDED"/>
          </w:tcPr>
          <w:p>
            <w:r>
              <w:rPr>
                <w:b/>
              </w:rPr>
              <w:t>Person responsible</w:t>
            </w:r>
          </w:p>
        </w:tc>
        <w:tc>
          <w:tcPr>
            <w:tcW w:type="dxa" w:w="5083"/>
          </w:tcPr>
          <w:p>
            <w:r/>
          </w:p>
        </w:tc>
      </w:tr>
      <w:tr>
        <w:tc>
          <w:tcPr>
            <w:tcW w:type="dxa" w:w="5083"/>
            <w:shd w:fill="EDEDED"/>
          </w:tcPr>
          <w:p>
            <w:r>
              <w:rPr>
                <w:b/>
              </w:rPr>
              <w:t>Safeguarding issue identified?</w:t>
            </w:r>
          </w:p>
        </w:tc>
        <w:tc>
          <w:tcPr>
            <w:tcW w:type="dxa" w:w="5083"/>
          </w:tcPr>
          <w:p>
            <w:r/>
          </w:p>
        </w:tc>
      </w:tr>
      <w:tr>
        <w:tc>
          <w:tcPr>
            <w:tcW w:type="dxa" w:w="5083"/>
            <w:shd w:fill="EDEDED"/>
          </w:tcPr>
          <w:p>
            <w:r>
              <w:rPr>
                <w:b/>
              </w:rPr>
              <w:t>Investigation/actions</w:t>
            </w:r>
          </w:p>
        </w:tc>
        <w:tc>
          <w:tcPr>
            <w:tcW w:type="dxa" w:w="5083"/>
          </w:tcPr>
          <w:p>
            <w:r/>
          </w:p>
        </w:tc>
      </w:tr>
      <w:tr>
        <w:tc>
          <w:tcPr>
            <w:tcW w:type="dxa" w:w="5083"/>
            <w:shd w:fill="EDEDED"/>
          </w:tcPr>
          <w:p>
            <w:r>
              <w:rPr>
                <w:b/>
              </w:rPr>
              <w:t>Outcome</w:t>
            </w:r>
          </w:p>
        </w:tc>
        <w:tc>
          <w:tcPr>
            <w:tcW w:type="dxa" w:w="5083"/>
          </w:tcPr>
          <w:p>
            <w:r/>
          </w:p>
        </w:tc>
      </w:tr>
      <w:tr>
        <w:tc>
          <w:tcPr>
            <w:tcW w:type="dxa" w:w="5083"/>
            <w:shd w:fill="EDEDED"/>
          </w:tcPr>
          <w:p>
            <w:r>
              <w:rPr>
                <w:b/>
              </w:rPr>
              <w:t>Response date</w:t>
            </w:r>
          </w:p>
        </w:tc>
        <w:tc>
          <w:tcPr>
            <w:tcW w:type="dxa" w:w="5083"/>
          </w:tcPr>
          <w:p>
            <w:r/>
          </w:p>
        </w:tc>
      </w:tr>
      <w:tr>
        <w:tc>
          <w:tcPr>
            <w:tcW w:type="dxa" w:w="5083"/>
            <w:shd w:fill="EDEDED"/>
          </w:tcPr>
          <w:p>
            <w:r>
              <w:rPr>
                <w:b/>
              </w:rPr>
              <w:t>Stage 2 requested?</w:t>
            </w:r>
          </w:p>
        </w:tc>
        <w:tc>
          <w:tcPr>
            <w:tcW w:type="dxa" w:w="5083"/>
          </w:tcPr>
          <w:p>
            <w:r/>
          </w:p>
        </w:tc>
      </w:tr>
      <w:tr>
        <w:tc>
          <w:tcPr>
            <w:tcW w:type="dxa" w:w="5083"/>
            <w:shd w:fill="EDEDED"/>
          </w:tcPr>
          <w:p>
            <w:r>
              <w:rPr>
                <w:b/>
              </w:rPr>
              <w:t>Learning/actions for service</w:t>
            </w:r>
          </w:p>
        </w:tc>
        <w:tc>
          <w:tcPr>
            <w:tcW w:type="dxa" w:w="5083"/>
          </w:tcPr>
          <w:p>
            <w:r/>
          </w:p>
        </w:tc>
      </w:tr>
      <w:tr>
        <w:tc>
          <w:tcPr>
            <w:tcW w:type="dxa" w:w="5083"/>
            <w:shd w:fill="EDEDED"/>
          </w:tcPr>
          <w:p>
            <w:r>
              <w:rPr>
                <w:b/>
              </w:rPr>
              <w:t>Closed date</w:t>
            </w:r>
          </w:p>
        </w:tc>
        <w:tc>
          <w:tcPr>
            <w:tcW w:type="dxa" w:w="5083"/>
          </w:tcPr>
          <w:p>
            <w:r/>
          </w:p>
        </w:tc>
      </w:tr>
    </w:tbl>
    <w:sectPr w:rsidR="00FC693F" w:rsidRPr="0006063C" w:rsidSect="00034616">
      <w:headerReference w:type="default" r:id="rId9"/>
      <w:footerReference w:type="default" r:id="rId10"/>
      <w:pgSz w:w="12240" w:h="15840"/>
      <w:pgMar w:top="936" w:right="1037" w:bottom="936"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Bridgepoint Learning CIC | Complaints Policy &amp; Procedure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b/>
        <w:sz w:val="16"/>
      </w:rPr>
      <w:t>BRIDGEPOINT LEARNING CIC | GOVERNANCE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365F91" w:themeColor="accent1" w:themeShade="BF"/>
      <w:sz w:val="29"/>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17365D" w:themeColor="text2" w:themeShade="BF"/>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