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Protection &amp; Information Sharing Policy</w:t>
      </w:r>
    </w:p>
    <w:p>
      <w:r>
        <w:rPr>
          <w:b/>
        </w:rPr>
        <w:t>Bridgepoint Learning CIC</w:t>
      </w:r>
      <w:r>
        <w:br/>
        <w:t>Protecting privacy while sharing information when it is necessary, lawful and in a child's interests.</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Policy lead</w:t>
            </w:r>
          </w:p>
        </w:tc>
        <w:tc>
          <w:tcPr>
            <w:tcW w:type="dxa" w:w="5083"/>
          </w:tcPr>
          <w:p>
            <w:r>
              <w:t>Charlotte Ujvari - Founder, Director &amp; Provision Lead</w:t>
            </w:r>
          </w:p>
        </w:tc>
      </w:tr>
      <w:tr>
        <w:tc>
          <w:tcPr>
            <w:tcW w:type="dxa" w:w="5083"/>
            <w:shd w:fill="EDEDED"/>
          </w:tcPr>
          <w:p>
            <w:r>
              <w:rPr>
                <w:b/>
              </w:rPr>
              <w:t>Safeguarding leads</w:t>
            </w:r>
          </w:p>
        </w:tc>
        <w:tc>
          <w:tcPr>
            <w:tcW w:type="dxa" w:w="5083"/>
          </w:tcPr>
          <w:p>
            <w:r>
              <w:t>Charlotte Ujvari (DSL) / Daniel Shave (DDSL)</w:t>
            </w:r>
          </w:p>
        </w:tc>
      </w:tr>
      <w:tr>
        <w:tc>
          <w:tcPr>
            <w:tcW w:type="dxa" w:w="5083"/>
            <w:shd w:fill="EDEDED"/>
          </w:tcPr>
          <w:p>
            <w:r>
              <w:rPr>
                <w:b/>
              </w:rPr>
              <w:t>Applies to</w:t>
            </w:r>
          </w:p>
        </w:tc>
        <w:tc>
          <w:tcPr>
            <w:tcW w:type="dxa" w:w="5083"/>
          </w:tcPr>
          <w:p>
            <w:r>
              <w:t>Staff, workers, volunteers and others handling information on behalf of Bridgepoint</w:t>
            </w:r>
          </w:p>
        </w:tc>
      </w:tr>
      <w:tr>
        <w:tc>
          <w:tcPr>
            <w:tcW w:type="dxa" w:w="5083"/>
            <w:shd w:fill="EDEDED"/>
          </w:tcPr>
          <w:p>
            <w:r>
              <w:rPr>
                <w:b/>
              </w:rPr>
              <w:t>Review cycle</w:t>
            </w:r>
          </w:p>
        </w:tc>
        <w:tc>
          <w:tcPr>
            <w:tcW w:type="dxa" w:w="5083"/>
          </w:tcPr>
          <w:p>
            <w:r>
              <w:t>At least annually and sooner following significant legal, ICO, safeguarding or operational change</w:t>
            </w:r>
          </w:p>
        </w:tc>
      </w:tr>
    </w:tbl>
    <w:p>
      <w:pPr>
        <w:pStyle w:val="Heading1"/>
      </w:pPr>
      <w:r>
        <w:t>1. Purpose</w:t>
      </w:r>
    </w:p>
    <w:p>
      <w:r>
        <w:t>Bridgepoint Learning CIC handles personal information about children, families, staff, applicants, professionals and other people involved in its services. This may include highly sensitive information concerning SEND, education, health and safeguarding.</w:t>
      </w:r>
    </w:p>
    <w:p>
      <w:r>
        <w:t>This policy explains how Bridgepoint will collect, use, store, share and protect personal information in accordance with applicable UK data-protection law, including the UK GDPR and Data Protection Act 2018, while recognising that appropriate information sharing is essential to safeguarding children and delivering commissioned provision.</w:t>
      </w:r>
    </w:p>
    <w:p>
      <w:pPr>
        <w:pStyle w:val="Heading1"/>
      </w:pPr>
      <w:r>
        <w:t>2. Data Protection Principles</w:t>
      </w:r>
    </w:p>
    <w:p>
      <w:r>
        <w:t>Bridgepoint will handle personal data in accordance with the core data-protection principles. Personal data will be:</w:t>
      </w:r>
    </w:p>
    <w:p>
      <w:pPr>
        <w:pStyle w:val="ListBullet"/>
      </w:pPr>
      <w:r>
        <w:t>processed lawfully, fairly and transparently;</w:t>
      </w:r>
    </w:p>
    <w:p>
      <w:pPr>
        <w:pStyle w:val="ListBullet"/>
      </w:pPr>
      <w:r>
        <w:t>collected for specified, explicit and legitimate purposes;</w:t>
      </w:r>
    </w:p>
    <w:p>
      <w:pPr>
        <w:pStyle w:val="ListBullet"/>
      </w:pPr>
      <w:r>
        <w:t>adequate, relevant and limited to what is necessary;</w:t>
      </w:r>
    </w:p>
    <w:p>
      <w:pPr>
        <w:pStyle w:val="ListBullet"/>
      </w:pPr>
      <w:r>
        <w:t>accurate and kept up to date where necessary;</w:t>
      </w:r>
    </w:p>
    <w:p>
      <w:pPr>
        <w:pStyle w:val="ListBullet"/>
      </w:pPr>
      <w:r>
        <w:t>kept for no longer than necessary;</w:t>
      </w:r>
    </w:p>
    <w:p>
      <w:pPr>
        <w:pStyle w:val="ListBullet"/>
      </w:pPr>
      <w:r>
        <w:t>processed securely and protected against unauthorised or unlawful use, accidental loss, destruction or damage;</w:t>
      </w:r>
    </w:p>
    <w:p>
      <w:pPr>
        <w:pStyle w:val="ListBullet"/>
      </w:pPr>
      <w:r>
        <w:t>managed in a way that allows Bridgepoint to demonstrate accountability.</w:t>
      </w:r>
    </w:p>
    <w:p>
      <w:pPr>
        <w:pStyle w:val="Heading1"/>
      </w:pPr>
      <w:r>
        <w:t>3. Roles and Responsibility</w:t>
      </w:r>
    </w:p>
    <w:p>
      <w:r>
        <w:t>Bridgepoint Learning CIC will determine whether it acts as a data controller, joint controller or processor according to the particular processing activity and commissioning arrangement. These roles will not be assumed solely from the wording used by another organisation.</w:t>
      </w:r>
    </w:p>
    <w:p>
      <w:r>
        <w:t>The Provision Lead has operational oversight of information governance. All staff and workers are responsible for following Bridgepoint procedures, maintaining confidentiality and reporting suspected data breaches promptly.</w:t>
      </w:r>
    </w:p>
    <w:p>
      <w:pPr>
        <w:pStyle w:val="Heading1"/>
      </w:pPr>
      <w:r>
        <w:t>4. Information Bridgepoint May Hold</w:t>
      </w:r>
    </w:p>
    <w:p>
      <w:pPr>
        <w:pStyle w:val="ListBullet"/>
      </w:pPr>
      <w:r>
        <w:t>names, dates of birth, addresses and contact information;</w:t>
      </w:r>
    </w:p>
    <w:p>
      <w:pPr>
        <w:pStyle w:val="ListBullet"/>
      </w:pPr>
      <w:r>
        <w:t>parent/carer and emergency contact details;</w:t>
      </w:r>
    </w:p>
    <w:p>
      <w:pPr>
        <w:pStyle w:val="ListBullet"/>
      </w:pPr>
      <w:r>
        <w:t>education history, attendance and placement information;</w:t>
      </w:r>
    </w:p>
    <w:p>
      <w:pPr>
        <w:pStyle w:val="ListBullet"/>
      </w:pPr>
      <w:r>
        <w:t>EHCPs, SEND plans and professional reports;</w:t>
      </w:r>
    </w:p>
    <w:p>
      <w:pPr>
        <w:pStyle w:val="ListBullet"/>
      </w:pPr>
      <w:r>
        <w:t>communication, sensory, regulation and behaviour information;</w:t>
      </w:r>
    </w:p>
    <w:p>
      <w:pPr>
        <w:pStyle w:val="ListBullet"/>
      </w:pPr>
      <w:r>
        <w:t>health, medication, allergy and disability information;</w:t>
      </w:r>
    </w:p>
    <w:p>
      <w:pPr>
        <w:pStyle w:val="ListBullet"/>
      </w:pPr>
      <w:r>
        <w:t>safeguarding, social-care and risk information where necessary;</w:t>
      </w:r>
    </w:p>
    <w:p>
      <w:pPr>
        <w:pStyle w:val="ListBullet"/>
      </w:pPr>
      <w:r>
        <w:t>learning plans, progress records and learner voice;</w:t>
      </w:r>
    </w:p>
    <w:p>
      <w:pPr>
        <w:pStyle w:val="ListBullet"/>
      </w:pPr>
      <w:r>
        <w:t>incident, accident and complaint records;</w:t>
      </w:r>
    </w:p>
    <w:p>
      <w:pPr>
        <w:pStyle w:val="ListBullet"/>
      </w:pPr>
      <w:r>
        <w:t>photographs or media where lawfully obtained and used;</w:t>
      </w:r>
    </w:p>
    <w:p>
      <w:pPr>
        <w:pStyle w:val="ListBullet"/>
      </w:pPr>
      <w:r>
        <w:t>staff recruitment, vetting, employment and training information;</w:t>
      </w:r>
    </w:p>
    <w:p>
      <w:pPr>
        <w:pStyle w:val="ListBullet"/>
      </w:pPr>
      <w:r>
        <w:t>commissioning, invoicing and organisational records.</w:t>
      </w:r>
    </w:p>
    <w:p>
      <w:pPr>
        <w:pStyle w:val="Heading1"/>
      </w:pPr>
      <w:r>
        <w:t>5. Lawful Bases</w:t>
      </w:r>
    </w:p>
    <w:p>
      <w:r>
        <w:t>Bridgepoint will identify an appropriate lawful basis under UK GDPR before processing personal data. Depending on the activity, this may include performance of a contract, compliance with a legal obligation, legitimate interests, vital interests, public task where applicable, or consent where consent is genuinely appropriate.</w:t>
      </w:r>
    </w:p>
    <w:p>
      <w:r>
        <w:t>Consent will not be treated as the default lawful basis merely because information concerns a child. Where Bridgepoint relies on consent, it must be freely given, specific, informed and capable of being withdrawn.</w:t>
      </w:r>
    </w:p>
    <w:p>
      <w:pPr>
        <w:pStyle w:val="Heading1"/>
      </w:pPr>
      <w:r>
        <w:t>6. Special Category and Criminal-Offence Data</w:t>
      </w:r>
    </w:p>
    <w:p>
      <w:r>
        <w:t>Health, disability and some other information may constitute special category data and requires both an Article 6 lawful basis and an appropriate Article 9 condition. Criminal-offence data has additional legal requirements.</w:t>
      </w:r>
    </w:p>
    <w:p>
      <w:r>
        <w:t>Bridgepoint will document the relevant basis and condition where required and apply enhanced confidentiality and security to sensitive information.</w:t>
      </w:r>
    </w:p>
    <w:p>
      <w:pPr>
        <w:pStyle w:val="Heading1"/>
      </w:pPr>
      <w:r>
        <w:t>7. Children's Information</w:t>
      </w:r>
    </w:p>
    <w:p>
      <w:r>
        <w:t>Children's personal data requires particular care. Information will be explained and used in a way appropriate to the child's age, understanding and communication needs where relevant.</w:t>
      </w:r>
    </w:p>
    <w:p>
      <w:r>
        <w:t>Bridgepoint will consider the child's rights and best interests when designing systems, collecting information and deciding how information should be shared.</w:t>
      </w:r>
    </w:p>
    <w:p>
      <w:pPr>
        <w:pStyle w:val="Heading1"/>
      </w:pPr>
      <w:r>
        <w:t>8. Referral and Commissioning Information</w:t>
      </w:r>
    </w:p>
    <w:p>
      <w:r>
        <w:t>Bridgepoint may receive information from schools, local authorities, parents/carers, health professionals, social care and other agencies in order to assess suitability, safeguard the learner, plan provision and report progress.</w:t>
      </w:r>
    </w:p>
    <w:p>
      <w:r>
        <w:t>Commissioners and referrers should provide information that is relevant and necessary for Bridgepoint to make safe placement decisions. Particularly sensitive information should be transferred using appropriately secure methods.</w:t>
      </w:r>
    </w:p>
    <w:p>
      <w:r>
        <w:t>Placement and data-sharing arrangements should make clear what information is expected to flow between Bridgepoint and the commissioner, for what purpose and under what respective responsibilities.</w:t>
      </w:r>
    </w:p>
    <w:p>
      <w:pPr>
        <w:pStyle w:val="Heading1"/>
      </w:pPr>
      <w:r>
        <w:t>9. Safeguarding Information Sharing</w:t>
      </w:r>
    </w:p>
    <w:p>
      <w:r>
        <w:t>Data protection law does not prevent necessary and proportionate information sharing to safeguard a child. Staff must not allow uncertainty about data protection to delay appropriate safeguarding action.</w:t>
      </w:r>
    </w:p>
    <w:p>
      <w:r>
        <w:t>Where there is a safeguarding concern, Bridgepoint will consider the purpose of sharing, what information is necessary, who needs it, accuracy, security and whether informing the person concerned would create risk or prejudice safeguarding action.</w:t>
      </w:r>
    </w:p>
    <w:p>
      <w:r>
        <w:t>Consent is not always required to share safeguarding information. Where necessary and lawful, relevant information may be shared with children's social care, police, the Local Authority Designated Officer, health services, commissioners or other appropriate agencies.</w:t>
      </w:r>
    </w:p>
    <w:p>
      <w:r>
        <w:t>Safeguarding decisions and significant information-sharing decisions should be recorded.</w:t>
      </w:r>
    </w:p>
    <w:p>
      <w:pPr>
        <w:pStyle w:val="Heading1"/>
      </w:pPr>
      <w:r>
        <w:t>10. Data Minimisation</w:t>
      </w:r>
    </w:p>
    <w:p>
      <w:r>
        <w:t>Bridgepoint will not collect or circulate an entire record simply because it is available. Staff should consider what information the recipient genuinely needs for the stated purpose.</w:t>
      </w:r>
    </w:p>
    <w:p>
      <w:r>
        <w:t>Equally, important risk or safeguarding information must not be omitted merely to minimise data where the information is necessary to protect the child or others.</w:t>
      </w:r>
    </w:p>
    <w:p>
      <w:pPr>
        <w:pStyle w:val="Heading1"/>
      </w:pPr>
      <w:r>
        <w:t>11. Accuracy</w:t>
      </w:r>
    </w:p>
    <w:p>
      <w:r>
        <w:t>Reasonable steps will be taken to ensure personal information is accurate. Professional opinion, allegation, parent/carer account and established fact should be distinguishable where this matters.</w:t>
      </w:r>
    </w:p>
    <w:p>
      <w:r>
        <w:t>Where inaccurate factual information is identified, Bridgepoint will correct it where appropriate while preserving records that must remain as part of an audit trail.</w:t>
      </w:r>
    </w:p>
    <w:p>
      <w:pPr>
        <w:pStyle w:val="Heading1"/>
      </w:pPr>
      <w:r>
        <w:t>12. Security</w:t>
      </w:r>
    </w:p>
    <w:p>
      <w:r>
        <w:t>Personal information will be protected using organisational and technical measures proportionate to the sensitivity and risk. These may include:</w:t>
      </w:r>
    </w:p>
    <w:p>
      <w:pPr>
        <w:pStyle w:val="ListBullet"/>
      </w:pPr>
      <w:r>
        <w:t>password-protected accounts and devices;</w:t>
      </w:r>
    </w:p>
    <w:p>
      <w:pPr>
        <w:pStyle w:val="ListBullet"/>
      </w:pPr>
      <w:r>
        <w:t>appropriate access permissions;</w:t>
      </w:r>
    </w:p>
    <w:p>
      <w:pPr>
        <w:pStyle w:val="ListBullet"/>
      </w:pPr>
      <w:r>
        <w:t>multi-factor authentication where available and appropriate;</w:t>
      </w:r>
    </w:p>
    <w:p>
      <w:pPr>
        <w:pStyle w:val="ListBullet"/>
      </w:pPr>
      <w:r>
        <w:t>secure storage of paper records;</w:t>
      </w:r>
    </w:p>
    <w:p>
      <w:pPr>
        <w:pStyle w:val="ListBullet"/>
      </w:pPr>
      <w:r>
        <w:t>secure methods for transferring sensitive information;</w:t>
      </w:r>
    </w:p>
    <w:p>
      <w:pPr>
        <w:pStyle w:val="ListBullet"/>
      </w:pPr>
      <w:r>
        <w:t>screen and device locking;</w:t>
      </w:r>
    </w:p>
    <w:p>
      <w:pPr>
        <w:pStyle w:val="ListBullet"/>
      </w:pPr>
      <w:r>
        <w:t>appropriate backup arrangements;</w:t>
      </w:r>
    </w:p>
    <w:p>
      <w:pPr>
        <w:pStyle w:val="ListBullet"/>
      </w:pPr>
      <w:r>
        <w:t>careful control of downloads, printing and portable storage;</w:t>
      </w:r>
    </w:p>
    <w:p>
      <w:pPr>
        <w:pStyle w:val="ListBullet"/>
      </w:pPr>
      <w:r>
        <w:t>staff confidentiality and information-security expectations.</w:t>
      </w:r>
    </w:p>
    <w:p>
      <w:pPr>
        <w:pStyle w:val="Heading1"/>
      </w:pPr>
      <w:r>
        <w:t>13. Email and Electronic Communication</w:t>
      </w:r>
    </w:p>
    <w:p>
      <w:r>
        <w:t>Staff must check recipients before sending personal information and should use secure organisational systems for sensitive records wherever possible. Particularly sensitive attachments should not be routinely sent to large distribution lists or personal accounts.</w:t>
      </w:r>
    </w:p>
    <w:p>
      <w:r>
        <w:t>Where information is sent in error, staff must act promptly to limit further disclosure and report the incident.</w:t>
      </w:r>
    </w:p>
    <w:p>
      <w:pPr>
        <w:pStyle w:val="Heading1"/>
      </w:pPr>
      <w:r>
        <w:t>14. Paper Records</w:t>
      </w:r>
    </w:p>
    <w:p>
      <w:r>
        <w:t>Paper records containing personal information will be stored securely and should not be left unattended in publicly accessible areas. Disposal will be by a method appropriate to the sensitivity of the information, such as confidential destruction.</w:t>
      </w:r>
    </w:p>
    <w:p>
      <w:pPr>
        <w:pStyle w:val="Heading1"/>
      </w:pPr>
      <w:r>
        <w:t>15. Staff Access and Confidentiality</w:t>
      </w:r>
    </w:p>
    <w:p>
      <w:r>
        <w:t>Access to learner and family information will be based on role and need to know. Working at Bridgepoint does not create an entitlement to access every learner's records.</w:t>
      </w:r>
    </w:p>
    <w:p>
      <w:r>
        <w:t>Confidentiality obligations continue after a person's work with Bridgepoint ends.</w:t>
      </w:r>
    </w:p>
    <w:p>
      <w:pPr>
        <w:pStyle w:val="Heading1"/>
      </w:pPr>
      <w:r>
        <w:t>16. Photographs, Video and Creative Work</w:t>
      </w:r>
    </w:p>
    <w:p>
      <w:r>
        <w:t>Bridgepoint will distinguish between images used for operational educational purposes and images used publicly for marketing or social media. Appropriate lawful basis, safeguarding considerations and permissions will be considered for each use.</w:t>
      </w:r>
    </w:p>
    <w:p>
      <w:r>
        <w:t>A learner's participation in Bridgepoint must not depend on agreeing to public promotional photography.</w:t>
      </w:r>
    </w:p>
    <w:p>
      <w:r>
        <w:t>Staff must not use personal devices or personal social-media accounts to capture or publish identifiable learner content except where a formally approved Bridgepoint procedure specifically permits a device or method.</w:t>
      </w:r>
    </w:p>
    <w:p>
      <w:pPr>
        <w:pStyle w:val="Heading1"/>
      </w:pPr>
      <w:r>
        <w:t>17. Sharing with Commissioners and Professionals</w:t>
      </w:r>
    </w:p>
    <w:p>
      <w:r>
        <w:t>Bridgepoint may share attendance, progress, safeguarding, incident and placement information with the commissioning organisation where necessary and lawful for the commissioned provision.</w:t>
      </w:r>
    </w:p>
    <w:p>
      <w:r>
        <w:t>Information shared in multi-agency work should be relevant, proportionate and accurate. Bridgepoint will challenge requests that appear excessive or lack a clear purpose while cooperating with lawful safeguarding and statutory information requests.</w:t>
      </w:r>
    </w:p>
    <w:p>
      <w:pPr>
        <w:pStyle w:val="Heading1"/>
      </w:pPr>
      <w:r>
        <w:t>18. Subject Access and Individual Rights</w:t>
      </w:r>
    </w:p>
    <w:p>
      <w:r>
        <w:t>Individuals have rights under data-protection law which may include access, rectification, erasure, restriction, objection and data portability depending on the circumstances and lawful basis.</w:t>
      </w:r>
    </w:p>
    <w:p>
      <w:r>
        <w:t>Rights are not absolute in every situation. Safeguarding, third-party confidentiality, legal privilege and other statutory exemptions may affect what can be disclosed.</w:t>
      </w:r>
    </w:p>
    <w:p>
      <w:r>
        <w:t>Requests concerning personal data should be passed promptly to the person responsible for information governance so applicable statutory timescales can be met.</w:t>
      </w:r>
    </w:p>
    <w:p>
      <w:pPr>
        <w:pStyle w:val="Heading1"/>
      </w:pPr>
      <w:r>
        <w:t>19. Requests for a Child's Information</w:t>
      </w:r>
    </w:p>
    <w:p>
      <w:r>
        <w:t>Requests made by a parent or carer for a child's information require consideration of parental responsibility, the child's competence and rights, the nature of the information, safeguarding and third-party confidentiality. A parent does not automatically have an unrestricted data-protection right to every record concerning a child.</w:t>
      </w:r>
    </w:p>
    <w:p>
      <w:r>
        <w:t>Bridgepoint will assess such requests individually and seek specialist advice where necessary.</w:t>
      </w:r>
    </w:p>
    <w:p>
      <w:pPr>
        <w:pStyle w:val="Heading1"/>
      </w:pPr>
      <w:r>
        <w:t>20. Data Breaches</w:t>
      </w:r>
    </w:p>
    <w:p>
      <w:r>
        <w:t>A personal data breach may involve accidental or unlawful destruction, loss, alteration, unauthorised disclosure of, or access to personal data.</w:t>
      </w:r>
    </w:p>
    <w:p>
      <w:r>
        <w:t>Staff must report suspected breaches immediately to the Provision Lead or designated information-governance contact. Bridgepoint will act promptly to contain the incident, establish what happened, assess risk to individuals, preserve relevant evidence and document its decision-making.</w:t>
      </w:r>
    </w:p>
    <w:p>
      <w:r>
        <w:t>Where a breach is likely to result in a risk to people's rights and freedoms, Bridgepoint will consider whether notification to the Information Commissioner's Office is required. Where notification is required, the statutory reporting period is normally within 72 hours of becoming aware of the breach.</w:t>
      </w:r>
    </w:p>
    <w:p>
      <w:r>
        <w:t>Where a breach is likely to result in a high risk to an individual, Bridgepoint will also consider whether the affected person must be informed without undue delay.</w:t>
      </w:r>
    </w:p>
    <w:p>
      <w:pPr>
        <w:pStyle w:val="Heading1"/>
      </w:pPr>
      <w:r>
        <w:t>21. Retention and Disposal</w:t>
      </w:r>
    </w:p>
    <w:p>
      <w:r>
        <w:t>Bridgepoint will maintain a retention approach appropriate to the categories of records it holds, legal requirements, safeguarding needs, contractual obligations and limitation periods.</w:t>
      </w:r>
    </w:p>
    <w:p>
      <w:r>
        <w:t>Records will not be kept indefinitely without reason. At the end of the relevant retention period, information will be securely deleted, destroyed or anonymised unless there is a lawful reason to retain it longer.</w:t>
      </w:r>
    </w:p>
    <w:p>
      <w:r>
        <w:t>Safeguarding records may require different retention periods from routine educational or administrative records.</w:t>
      </w:r>
    </w:p>
    <w:p>
      <w:pPr>
        <w:pStyle w:val="Heading1"/>
      </w:pPr>
      <w:r>
        <w:t>22. Data Processors and Digital Services</w:t>
      </w:r>
    </w:p>
    <w:p>
      <w:r>
        <w:t>Before using third-party systems to process personal information, Bridgepoint will consider security, contractual terms, data location where relevant, access controls and whether an appropriate data-processing agreement is required.</w:t>
      </w:r>
    </w:p>
    <w:p>
      <w:r>
        <w:t>Free or convenient software will not be used for sensitive learner information without considering whether it provides an appropriate level of protection.</w:t>
      </w:r>
    </w:p>
    <w:p>
      <w:pPr>
        <w:pStyle w:val="Heading1"/>
      </w:pPr>
      <w:r>
        <w:t>23. Personal Devices and Remote Working</w:t>
      </w:r>
    </w:p>
    <w:p>
      <w:r>
        <w:t>Where remote working or personal devices are permitted, Bridgepoint will establish controls appropriate to the information involved. Sensitive information should not be stored locally on unmanaged devices unless specifically authorised and protected.</w:t>
      </w:r>
    </w:p>
    <w:p>
      <w:r>
        <w:t>Staff must take reasonable steps to prevent family members, members of the public or other unauthorised people from viewing confidential information.</w:t>
      </w:r>
    </w:p>
    <w:p>
      <w:pPr>
        <w:pStyle w:val="Heading1"/>
      </w:pPr>
      <w:r>
        <w:t>24. CCTV and Monitoring</w:t>
      </w:r>
    </w:p>
    <w:p>
      <w:r>
        <w:t>If Bridgepoint introduces CCTV, access-control monitoring or other systematic monitoring, it will complete appropriate privacy and necessity assessments and provide suitable transparency before use.</w:t>
      </w:r>
    </w:p>
    <w:p>
      <w:r>
        <w:t>This policy does not itself authorise CCTV or covert monitoring.</w:t>
      </w:r>
    </w:p>
    <w:p>
      <w:pPr>
        <w:pStyle w:val="Heading1"/>
      </w:pPr>
      <w:r>
        <w:t>25. Privacy Notices</w:t>
      </w:r>
    </w:p>
    <w:p>
      <w:r>
        <w:t>Bridgepoint will provide appropriate privacy information explaining, in accessible language, what information it collects, why it uses it, lawful bases, who information may be shared with, retention, individual rights and how to raise a data-protection concern.</w:t>
      </w:r>
    </w:p>
    <w:p>
      <w:r>
        <w:t>Different privacy information may be appropriate for learners/families, staff and website users.</w:t>
      </w:r>
    </w:p>
    <w:p>
      <w:pPr>
        <w:pStyle w:val="Heading1"/>
      </w:pPr>
      <w:r>
        <w:t>26. Data Protection Impact Assessments</w:t>
      </w:r>
    </w:p>
    <w:p>
      <w:r>
        <w:t>Bridgepoint will consider a Data Protection Impact Assessment (DPIA) where proposed processing is likely to result in high risk to individuals, particularly where new technologies, systematic monitoring or large-scale sensitive information is involved.</w:t>
      </w:r>
    </w:p>
    <w:p>
      <w:pPr>
        <w:pStyle w:val="Heading1"/>
      </w:pPr>
      <w:r>
        <w:t>27. Data Protection Concerns and Complaints</w:t>
      </w:r>
    </w:p>
    <w:p>
      <w:r>
        <w:t>Concerns about Bridgepoint's handling of personal information should initially be raised with Bridgepoint so they can be investigated and, where possible, resolved.</w:t>
      </w:r>
    </w:p>
    <w:p>
      <w:r>
        <w:t>Individuals also have the right to raise data-protection concerns with the Information Commissioner's Office where appropriate.</w:t>
      </w:r>
    </w:p>
    <w:p>
      <w:pPr>
        <w:pStyle w:val="Heading1"/>
      </w:pPr>
      <w:r>
        <w:t>28. Training and Accountability</w:t>
      </w:r>
    </w:p>
    <w:p>
      <w:r>
        <w:t>Staff handling personal information will receive information or training proportionate to their role. Bridgepoint will maintain appropriate records of policies, decisions, data breaches, information-sharing arrangements and other accountability measures.</w:t>
      </w:r>
    </w:p>
    <w:p>
      <w:r>
        <w:t>Significant changes to systems, commissioning or services will trigger consideration of whether privacy arrangements require review.</w:t>
      </w:r>
    </w:p>
    <w:p>
      <w:pPr>
        <w:pStyle w:val="Heading1"/>
      </w:pPr>
      <w:r>
        <w:t>29. Policy Review</w:t>
      </w:r>
    </w:p>
    <w:p>
      <w:r>
        <w:t>This policy will be reviewed at least annually and sooner following significant changes to data-protection law, ICO guidance, safeguarding guidance, digital systems, commissioning arrangements or Bridgepoint's operating model.</w:t>
      </w:r>
    </w:p>
    <w:p>
      <w:pPr>
        <w:pStyle w:val="Heading1"/>
      </w:pPr>
      <w:r>
        <w:t>Appendix A - Information Sharing Decision Record</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Learner / person</w:t>
            </w:r>
          </w:p>
        </w:tc>
        <w:tc>
          <w:tcPr>
            <w:tcW w:type="dxa" w:w="5083"/>
          </w:tcPr>
          <w:p>
            <w:r/>
          </w:p>
        </w:tc>
      </w:tr>
      <w:tr>
        <w:tc>
          <w:tcPr>
            <w:tcW w:type="dxa" w:w="5083"/>
            <w:shd w:fill="EDEDED"/>
          </w:tcPr>
          <w:p>
            <w:r>
              <w:rPr>
                <w:b/>
              </w:rPr>
              <w:t>Date</w:t>
            </w:r>
          </w:p>
        </w:tc>
        <w:tc>
          <w:tcPr>
            <w:tcW w:type="dxa" w:w="5083"/>
          </w:tcPr>
          <w:p>
            <w:r/>
          </w:p>
        </w:tc>
      </w:tr>
      <w:tr>
        <w:tc>
          <w:tcPr>
            <w:tcW w:type="dxa" w:w="5083"/>
            <w:shd w:fill="EDEDED"/>
          </w:tcPr>
          <w:p>
            <w:r>
              <w:rPr>
                <w:b/>
              </w:rPr>
              <w:t>Information considered for sharing</w:t>
            </w:r>
          </w:p>
        </w:tc>
        <w:tc>
          <w:tcPr>
            <w:tcW w:type="dxa" w:w="5083"/>
          </w:tcPr>
          <w:p>
            <w:r>
              <w:br/>
              <w:br/>
            </w:r>
          </w:p>
        </w:tc>
      </w:tr>
      <w:tr>
        <w:tc>
          <w:tcPr>
            <w:tcW w:type="dxa" w:w="5083"/>
            <w:shd w:fill="EDEDED"/>
          </w:tcPr>
          <w:p>
            <w:r>
              <w:rPr>
                <w:b/>
              </w:rPr>
              <w:t>Purpose for sharing</w:t>
            </w:r>
          </w:p>
        </w:tc>
        <w:tc>
          <w:tcPr>
            <w:tcW w:type="dxa" w:w="5083"/>
          </w:tcPr>
          <w:p>
            <w:r/>
          </w:p>
        </w:tc>
      </w:tr>
      <w:tr>
        <w:tc>
          <w:tcPr>
            <w:tcW w:type="dxa" w:w="5083"/>
            <w:shd w:fill="EDEDED"/>
          </w:tcPr>
          <w:p>
            <w:r>
              <w:rPr>
                <w:b/>
              </w:rPr>
              <w:t>Recipient / organisation</w:t>
            </w:r>
          </w:p>
        </w:tc>
        <w:tc>
          <w:tcPr>
            <w:tcW w:type="dxa" w:w="5083"/>
          </w:tcPr>
          <w:p>
            <w:r/>
          </w:p>
        </w:tc>
      </w:tr>
      <w:tr>
        <w:tc>
          <w:tcPr>
            <w:tcW w:type="dxa" w:w="5083"/>
            <w:shd w:fill="EDEDED"/>
          </w:tcPr>
          <w:p>
            <w:r>
              <w:rPr>
                <w:b/>
              </w:rPr>
              <w:t>Lawful/safeguarding basis considered</w:t>
            </w:r>
          </w:p>
        </w:tc>
        <w:tc>
          <w:tcPr>
            <w:tcW w:type="dxa" w:w="5083"/>
          </w:tcPr>
          <w:p>
            <w:r>
              <w:br/>
              <w:br/>
            </w:r>
          </w:p>
        </w:tc>
      </w:tr>
      <w:tr>
        <w:tc>
          <w:tcPr>
            <w:tcW w:type="dxa" w:w="5083"/>
            <w:shd w:fill="EDEDED"/>
          </w:tcPr>
          <w:p>
            <w:r>
              <w:rPr>
                <w:b/>
              </w:rPr>
              <w:t>Was consent sought? If not, why not required/appropriate?</w:t>
            </w:r>
          </w:p>
        </w:tc>
        <w:tc>
          <w:tcPr>
            <w:tcW w:type="dxa" w:w="5083"/>
          </w:tcPr>
          <w:p>
            <w:r>
              <w:br/>
              <w:br/>
            </w:r>
          </w:p>
        </w:tc>
      </w:tr>
      <w:tr>
        <w:tc>
          <w:tcPr>
            <w:tcW w:type="dxa" w:w="5083"/>
            <w:shd w:fill="EDEDED"/>
          </w:tcPr>
          <w:p>
            <w:r>
              <w:rPr>
                <w:b/>
              </w:rPr>
              <w:t>Information actually shared</w:t>
            </w:r>
          </w:p>
        </w:tc>
        <w:tc>
          <w:tcPr>
            <w:tcW w:type="dxa" w:w="5083"/>
          </w:tcPr>
          <w:p>
            <w:r/>
          </w:p>
        </w:tc>
      </w:tr>
      <w:tr>
        <w:tc>
          <w:tcPr>
            <w:tcW w:type="dxa" w:w="5083"/>
            <w:shd w:fill="EDEDED"/>
          </w:tcPr>
          <w:p>
            <w:r>
              <w:rPr>
                <w:b/>
              </w:rPr>
              <w:t>Method of transfer</w:t>
            </w:r>
          </w:p>
        </w:tc>
        <w:tc>
          <w:tcPr>
            <w:tcW w:type="dxa" w:w="5083"/>
          </w:tcPr>
          <w:p>
            <w:r/>
          </w:p>
        </w:tc>
      </w:tr>
      <w:tr>
        <w:tc>
          <w:tcPr>
            <w:tcW w:type="dxa" w:w="5083"/>
            <w:shd w:fill="EDEDED"/>
          </w:tcPr>
          <w:p>
            <w:r>
              <w:rPr>
                <w:b/>
              </w:rPr>
              <w:t>Decision made by</w:t>
            </w:r>
          </w:p>
        </w:tc>
        <w:tc>
          <w:tcPr>
            <w:tcW w:type="dxa" w:w="5083"/>
          </w:tcPr>
          <w:p>
            <w:r/>
          </w:p>
        </w:tc>
      </w:tr>
      <w:tr>
        <w:tc>
          <w:tcPr>
            <w:tcW w:type="dxa" w:w="5083"/>
            <w:shd w:fill="EDEDED"/>
          </w:tcPr>
          <w:p>
            <w:r>
              <w:rPr>
                <w:b/>
              </w:rPr>
              <w:t>Follow-up required</w:t>
            </w:r>
          </w:p>
        </w:tc>
        <w:tc>
          <w:tcPr>
            <w:tcW w:type="dxa" w:w="5083"/>
          </w:tcPr>
          <w:p>
            <w:r/>
          </w:p>
        </w:tc>
      </w:tr>
    </w:tbl>
    <w:p>
      <w:pPr>
        <w:pStyle w:val="Heading1"/>
      </w:pPr>
      <w:r>
        <w:t>Appendix B - Personal Data Breach Record</w:t>
      </w:r>
    </w:p>
    <w:tbl>
      <w:tblPr>
        <w:tblStyle w:val="TableGrid"/>
        <w:tblW w:type="auto" w:w="0"/>
        <w:tblLook w:firstColumn="1" w:firstRow="1" w:lastColumn="0" w:lastRow="0" w:noHBand="0" w:noVBand="1" w:val="04A0"/>
      </w:tblPr>
      <w:tblGrid>
        <w:gridCol w:w="5083"/>
        <w:gridCol w:w="5083"/>
      </w:tblGrid>
      <w:tr>
        <w:tc>
          <w:tcPr>
            <w:tcW w:type="dxa" w:w="5083"/>
            <w:shd w:fill="EDEDED"/>
          </w:tcPr>
          <w:p>
            <w:r>
              <w:rPr>
                <w:b/>
              </w:rPr>
              <w:t>Date/time discovered</w:t>
            </w:r>
          </w:p>
        </w:tc>
        <w:tc>
          <w:tcPr>
            <w:tcW w:type="dxa" w:w="5083"/>
          </w:tcPr>
          <w:p>
            <w:r/>
          </w:p>
        </w:tc>
      </w:tr>
      <w:tr>
        <w:tc>
          <w:tcPr>
            <w:tcW w:type="dxa" w:w="5083"/>
            <w:shd w:fill="EDEDED"/>
          </w:tcPr>
          <w:p>
            <w:r>
              <w:rPr>
                <w:b/>
              </w:rPr>
              <w:t>Reported by</w:t>
            </w:r>
          </w:p>
        </w:tc>
        <w:tc>
          <w:tcPr>
            <w:tcW w:type="dxa" w:w="5083"/>
          </w:tcPr>
          <w:p>
            <w:r/>
          </w:p>
        </w:tc>
      </w:tr>
      <w:tr>
        <w:tc>
          <w:tcPr>
            <w:tcW w:type="dxa" w:w="5083"/>
            <w:shd w:fill="EDEDED"/>
          </w:tcPr>
          <w:p>
            <w:r>
              <w:rPr>
                <w:b/>
              </w:rPr>
              <w:t>What happened?</w:t>
            </w:r>
          </w:p>
        </w:tc>
        <w:tc>
          <w:tcPr>
            <w:tcW w:type="dxa" w:w="5083"/>
          </w:tcPr>
          <w:p>
            <w:r/>
          </w:p>
        </w:tc>
      </w:tr>
      <w:tr>
        <w:tc>
          <w:tcPr>
            <w:tcW w:type="dxa" w:w="5083"/>
            <w:shd w:fill="EDEDED"/>
          </w:tcPr>
          <w:p>
            <w:r>
              <w:rPr>
                <w:b/>
              </w:rPr>
              <w:t>Categories of data affected</w:t>
            </w:r>
          </w:p>
        </w:tc>
        <w:tc>
          <w:tcPr>
            <w:tcW w:type="dxa" w:w="5083"/>
          </w:tcPr>
          <w:p>
            <w:r/>
          </w:p>
        </w:tc>
      </w:tr>
      <w:tr>
        <w:tc>
          <w:tcPr>
            <w:tcW w:type="dxa" w:w="5083"/>
            <w:shd w:fill="EDEDED"/>
          </w:tcPr>
          <w:p>
            <w:r>
              <w:rPr>
                <w:b/>
              </w:rPr>
              <w:t>People affected / approximate number</w:t>
            </w:r>
          </w:p>
        </w:tc>
        <w:tc>
          <w:tcPr>
            <w:tcW w:type="dxa" w:w="5083"/>
          </w:tcPr>
          <w:p>
            <w:r/>
          </w:p>
        </w:tc>
      </w:tr>
      <w:tr>
        <w:tc>
          <w:tcPr>
            <w:tcW w:type="dxa" w:w="5083"/>
            <w:shd w:fill="EDEDED"/>
          </w:tcPr>
          <w:p>
            <w:r>
              <w:rPr>
                <w:b/>
              </w:rPr>
              <w:t>Immediate containment action</w:t>
            </w:r>
          </w:p>
        </w:tc>
        <w:tc>
          <w:tcPr>
            <w:tcW w:type="dxa" w:w="5083"/>
          </w:tcPr>
          <w:p>
            <w:r/>
          </w:p>
        </w:tc>
      </w:tr>
      <w:tr>
        <w:tc>
          <w:tcPr>
            <w:tcW w:type="dxa" w:w="5083"/>
            <w:shd w:fill="EDEDED"/>
          </w:tcPr>
          <w:p>
            <w:r>
              <w:rPr>
                <w:b/>
              </w:rPr>
              <w:t>Risk assessment</w:t>
            </w:r>
          </w:p>
        </w:tc>
        <w:tc>
          <w:tcPr>
            <w:tcW w:type="dxa" w:w="5083"/>
          </w:tcPr>
          <w:p>
            <w:r/>
          </w:p>
        </w:tc>
      </w:tr>
      <w:tr>
        <w:tc>
          <w:tcPr>
            <w:tcW w:type="dxa" w:w="5083"/>
            <w:shd w:fill="EDEDED"/>
          </w:tcPr>
          <w:p>
            <w:r>
              <w:rPr>
                <w:b/>
              </w:rPr>
              <w:t>ICO notification required? Decision/reason</w:t>
            </w:r>
          </w:p>
        </w:tc>
        <w:tc>
          <w:tcPr>
            <w:tcW w:type="dxa" w:w="5083"/>
          </w:tcPr>
          <w:p>
            <w:r/>
          </w:p>
        </w:tc>
      </w:tr>
      <w:tr>
        <w:tc>
          <w:tcPr>
            <w:tcW w:type="dxa" w:w="5083"/>
            <w:shd w:fill="EDEDED"/>
          </w:tcPr>
          <w:p>
            <w:r>
              <w:rPr>
                <w:b/>
              </w:rPr>
              <w:t>Affected individuals notified?</w:t>
            </w:r>
          </w:p>
        </w:tc>
        <w:tc>
          <w:tcPr>
            <w:tcW w:type="dxa" w:w="5083"/>
          </w:tcPr>
          <w:p>
            <w:r/>
          </w:p>
        </w:tc>
      </w:tr>
      <w:tr>
        <w:tc>
          <w:tcPr>
            <w:tcW w:type="dxa" w:w="5083"/>
            <w:shd w:fill="EDEDED"/>
          </w:tcPr>
          <w:p>
            <w:r>
              <w:rPr>
                <w:b/>
              </w:rPr>
              <w:t>Further remedial action</w:t>
            </w:r>
          </w:p>
        </w:tc>
        <w:tc>
          <w:tcPr>
            <w:tcW w:type="dxa" w:w="5083"/>
          </w:tcPr>
          <w:p>
            <w:r/>
          </w:p>
        </w:tc>
      </w:tr>
      <w:tr>
        <w:tc>
          <w:tcPr>
            <w:tcW w:type="dxa" w:w="5083"/>
            <w:shd w:fill="EDEDED"/>
          </w:tcPr>
          <w:p>
            <w:r>
              <w:rPr>
                <w:b/>
              </w:rPr>
              <w:t>Closed/reviewed by</w:t>
            </w:r>
          </w:p>
        </w:tc>
        <w:tc>
          <w:tcPr>
            <w:tcW w:type="dxa" w:w="5083"/>
          </w:tcPr>
          <w:p>
            <w:r/>
          </w:p>
        </w:tc>
      </w:tr>
    </w:tbl>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Data Protection &amp; Information Sharing Policy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GOVERNANCE &amp; 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