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7550" w14:textId="1C15E148" w:rsidR="00030839" w:rsidRDefault="00030839">
      <w:pPr>
        <w:rPr>
          <w:noProof/>
        </w:rPr>
      </w:pPr>
      <w:r>
        <w:rPr>
          <w:noProof/>
        </w:rPr>
        <w:drawing>
          <wp:inline distT="0" distB="0" distL="0" distR="0" wp14:anchorId="1683F492" wp14:editId="74772B1F">
            <wp:extent cx="3274704" cy="21793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85" cy="220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E705922" wp14:editId="3E095D36">
            <wp:extent cx="1059180" cy="1881227"/>
            <wp:effectExtent l="0" t="0" r="7620" b="5080"/>
            <wp:docPr id="252564444" name="Picture 1" descr="A blu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64444" name="Picture 1" descr="A blue square with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116" cy="188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EC9FB" w14:textId="2FE3DA30" w:rsidR="00030839" w:rsidRDefault="00030839" w:rsidP="00030839">
      <w:pPr>
        <w:rPr>
          <w:noProof/>
        </w:rPr>
      </w:pPr>
      <w:r w:rsidRPr="00030839">
        <w:rPr>
          <w:noProof/>
          <w:sz w:val="44"/>
          <w:szCs w:val="44"/>
        </w:rPr>
        <w:t>3 ways to add warmth to your voice instantly</w:t>
      </w: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0716B257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054DFEB0" w14:textId="77777777">
              <w:tc>
                <w:tcPr>
                  <w:tcW w:w="0" w:type="auto"/>
                  <w:hideMark/>
                </w:tcPr>
                <w:p w14:paraId="533A65D8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Research from Princeton University found that we make judgements about a </w:t>
                  </w:r>
                  <w:proofErr w:type="spellStart"/>
                  <w:proofErr w:type="gramStart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persons</w:t>
                  </w:r>
                  <w:proofErr w:type="spellEnd"/>
                  <w:proofErr w:type="gramEnd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trustworthiness within </w:t>
                  </w:r>
                  <w:r w:rsidRPr="00030839">
                    <w:rPr>
                      <w:rFonts w:ascii="inherit" w:eastAsia="Times New Roman" w:hAnsi="inherit" w:cs="Times New Roman"/>
                      <w:i/>
                      <w:i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t>milliseconds</w:t>
                  </w: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 of hearing their voice! A </w:t>
                  </w:r>
                  <w:r w:rsidRPr="00030839">
                    <w:rPr>
                      <w:rFonts w:ascii="inherit" w:eastAsia="Times New Roman" w:hAnsi="inherit" w:cs="Times New Roman"/>
                      <w:i/>
                      <w:i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t>warmer </w:t>
                  </w: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voice was consistently judged as more</w:t>
                  </w:r>
                  <w:r w:rsidRPr="00030839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t> likable</w:t>
                  </w: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 and </w:t>
                  </w:r>
                  <w:r w:rsidRPr="00030839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t>trustworthy!</w:t>
                  </w: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 (Princeton University Science Journal 2014)</w:t>
                  </w:r>
                </w:p>
              </w:tc>
              <w:tc>
                <w:tcPr>
                  <w:tcW w:w="6" w:type="dxa"/>
                  <w:hideMark/>
                </w:tcPr>
                <w:p w14:paraId="0262045C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1C30616F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0CC461BA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6075EAB0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4D0A4079" w14:textId="77777777">
              <w:tc>
                <w:tcPr>
                  <w:tcW w:w="0" w:type="auto"/>
                  <w:hideMark/>
                </w:tcPr>
                <w:p w14:paraId="64E5DB8C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You can add warmth to your voice instantly with just </w:t>
                  </w:r>
                  <w:r w:rsidRPr="00030839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t>three simple strategies</w:t>
                  </w: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:</w:t>
                  </w:r>
                </w:p>
              </w:tc>
              <w:tc>
                <w:tcPr>
                  <w:tcW w:w="6" w:type="dxa"/>
                  <w:hideMark/>
                </w:tcPr>
                <w:p w14:paraId="61246A2E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1D585307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26B95627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739C6F60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707225DC" w14:textId="77777777">
              <w:tc>
                <w:tcPr>
                  <w:tcW w:w="0" w:type="auto"/>
                  <w:hideMark/>
                </w:tcPr>
                <w:p w14:paraId="2F2AE572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1</w:t>
                  </w:r>
                  <w:r w:rsidRPr="00030839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t>. Smile</w:t>
                  </w: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 when you speak! You can hear a person smiling as they speak even when speaking over the phone! Smiling subtly shifts the spaces in your mouth and throat, lifting and creating a slightly more resonant and bright vocal quality. Smiling (even </w:t>
                  </w:r>
                  <w:proofErr w:type="spellStart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fAKE</w:t>
                  </w:r>
                  <w:proofErr w:type="spellEnd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smiling!!) triggers an emotional lift in your brain. If you feel better, you will sound more positive.</w:t>
                  </w:r>
                </w:p>
              </w:tc>
              <w:tc>
                <w:tcPr>
                  <w:tcW w:w="6" w:type="dxa"/>
                  <w:hideMark/>
                </w:tcPr>
                <w:p w14:paraId="1BB100A3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66234F0C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5369A4EB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5752EAA1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79427F56" w14:textId="77777777">
              <w:tc>
                <w:tcPr>
                  <w:tcW w:w="0" w:type="auto"/>
                  <w:hideMark/>
                </w:tcPr>
                <w:p w14:paraId="16E8ACB5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2.</w:t>
                  </w:r>
                  <w:r w:rsidRPr="00030839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t> Soften</w:t>
                  </w: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 the first few words. Easing into the sentence with a little more gentleness instead of a sharp tone will send a message of emotional safety to your conversation partner. It helps them feel more relaxed and therefore responsive to the speaker. It helps to build an immediate connection between conversation partners.</w:t>
                  </w:r>
                </w:p>
              </w:tc>
              <w:tc>
                <w:tcPr>
                  <w:tcW w:w="6" w:type="dxa"/>
                  <w:hideMark/>
                </w:tcPr>
                <w:p w14:paraId="77364D5A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071BFA03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22FFFC68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5F2481AD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6ED71971" w14:textId="77777777">
              <w:tc>
                <w:tcPr>
                  <w:tcW w:w="0" w:type="auto"/>
                  <w:hideMark/>
                </w:tcPr>
                <w:p w14:paraId="5182D40F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3. Interject </w:t>
                  </w:r>
                  <w:r w:rsidRPr="00030839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t>"friendly</w:t>
                  </w: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" words such as "sure, no problem, anytime, of course, absolutely, or good question". These kinds of words act as </w:t>
                  </w:r>
                  <w:proofErr w:type="gramStart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a "</w:t>
                  </w:r>
                  <w:proofErr w:type="gramEnd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social bridge", creating a small moment of acknowledgement before diving into the main topic. It makes the conversation partner feel </w:t>
                  </w:r>
                  <w:proofErr w:type="gramStart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validated, and</w:t>
                  </w:r>
                  <w:proofErr w:type="gramEnd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reinforces a positive tone when communicating.</w:t>
                  </w:r>
                </w:p>
              </w:tc>
              <w:tc>
                <w:tcPr>
                  <w:tcW w:w="6" w:type="dxa"/>
                  <w:hideMark/>
                </w:tcPr>
                <w:p w14:paraId="230E18B8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4CF7F2A5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168FAC9B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55B7B8AE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3166362B" w14:textId="77777777">
              <w:tc>
                <w:tcPr>
                  <w:tcW w:w="0" w:type="auto"/>
                  <w:hideMark/>
                </w:tcPr>
                <w:p w14:paraId="20DD7939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proofErr w:type="spellStart"/>
                  <w:proofErr w:type="gramStart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Lets</w:t>
                  </w:r>
                  <w:proofErr w:type="spellEnd"/>
                  <w:proofErr w:type="gramEnd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put it into practice! Use a recording app on your smart phone or </w:t>
                  </w:r>
                  <w:proofErr w:type="gramStart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computer, and</w:t>
                  </w:r>
                  <w:proofErr w:type="gramEnd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record yourself saying the following 2 sentences. The first sentence in a </w:t>
                  </w:r>
                  <w:proofErr w:type="gramStart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matter of fact</w:t>
                  </w:r>
                  <w:proofErr w:type="gramEnd"/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tone (no smiling, no gentle open), and the second sentence starting with a smile, gentle voice open and addition of a friendly word. Can you hear the difference?</w:t>
                  </w:r>
                </w:p>
              </w:tc>
              <w:tc>
                <w:tcPr>
                  <w:tcW w:w="6" w:type="dxa"/>
                  <w:hideMark/>
                </w:tcPr>
                <w:p w14:paraId="6B803B0C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3938DE5F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0434C0B5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45DD2F82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6B94112B" w14:textId="77777777">
              <w:tc>
                <w:tcPr>
                  <w:tcW w:w="0" w:type="auto"/>
                  <w:hideMark/>
                </w:tcPr>
                <w:p w14:paraId="76D19CE4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lastRenderedPageBreak/>
                    <w:t>1. "I'd be happy to walk you through that"</w:t>
                  </w:r>
                </w:p>
              </w:tc>
              <w:tc>
                <w:tcPr>
                  <w:tcW w:w="6" w:type="dxa"/>
                  <w:hideMark/>
                </w:tcPr>
                <w:p w14:paraId="627CDF6C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2A637DC8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51745D80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6ECACECE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1FBB5F58" w14:textId="77777777">
              <w:tc>
                <w:tcPr>
                  <w:tcW w:w="0" w:type="auto"/>
                  <w:hideMark/>
                </w:tcPr>
                <w:p w14:paraId="7833D814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inherit" w:eastAsia="Times New Roman" w:hAnsi="inherit" w:cs="Times New Roman"/>
                      <w:b/>
                      <w:bCs/>
                      <w:i/>
                      <w:iCs/>
                      <w:color w:val="000000"/>
                      <w:kern w:val="0"/>
                      <w:sz w:val="23"/>
                      <w:szCs w:val="23"/>
                      <w:bdr w:val="none" w:sz="0" w:space="0" w:color="auto" w:frame="1"/>
                      <w14:ligatures w14:val="none"/>
                    </w:rPr>
                    <w:t>2. "Absolutely, I'd be happy to walk you through that"</w:t>
                  </w:r>
                </w:p>
              </w:tc>
              <w:tc>
                <w:tcPr>
                  <w:tcW w:w="6" w:type="dxa"/>
                  <w:hideMark/>
                </w:tcPr>
                <w:p w14:paraId="77F57CA3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72457C9F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756C962A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04186162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5D72CB04" w14:textId="77777777">
              <w:tc>
                <w:tcPr>
                  <w:tcW w:w="0" w:type="auto"/>
                  <w:hideMark/>
                </w:tcPr>
                <w:p w14:paraId="61C9C7A9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These three strategies will help you to sound warmer and more engaging in your next conversation. Even using ONE of these strategies may elevate your conversational connection!</w:t>
                  </w:r>
                </w:p>
              </w:tc>
              <w:tc>
                <w:tcPr>
                  <w:tcW w:w="6" w:type="dxa"/>
                  <w:hideMark/>
                </w:tcPr>
                <w:p w14:paraId="14FD88B9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17E33FEF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65CB0DD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71BD628F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064E296A" w14:textId="77777777">
              <w:tc>
                <w:tcPr>
                  <w:tcW w:w="0" w:type="auto"/>
                  <w:hideMark/>
                </w:tcPr>
                <w:p w14:paraId="1CF9D3F9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Warmly,</w:t>
                  </w:r>
                </w:p>
              </w:tc>
              <w:tc>
                <w:tcPr>
                  <w:tcW w:w="6" w:type="dxa"/>
                  <w:hideMark/>
                </w:tcPr>
                <w:p w14:paraId="3745A816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7F977DAD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097B0CF3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0FF2B67F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  <w:gridCol w:w="6"/>
            </w:tblGrid>
            <w:tr w:rsidR="00030839" w:rsidRPr="00030839" w14:paraId="7172533A" w14:textId="77777777">
              <w:tc>
                <w:tcPr>
                  <w:tcW w:w="0" w:type="auto"/>
                  <w:hideMark/>
                </w:tcPr>
                <w:p w14:paraId="50AC89A3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Jenny, Speak Aspire</w:t>
                  </w:r>
                </w:p>
              </w:tc>
              <w:tc>
                <w:tcPr>
                  <w:tcW w:w="6" w:type="dxa"/>
                  <w:hideMark/>
                </w:tcPr>
                <w:p w14:paraId="0629175F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49EFCF5B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6D4FD0D8" w14:textId="77777777" w:rsidR="00030839" w:rsidRPr="00030839" w:rsidRDefault="00030839" w:rsidP="0003083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10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030839" w:rsidRPr="00030839" w14:paraId="1FF71E98" w14:textId="77777777" w:rsidTr="00030839">
        <w:tc>
          <w:tcPr>
            <w:tcW w:w="10050" w:type="dxa"/>
            <w:shd w:val="clear" w:color="auto" w:fill="FFFFFF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97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6"/>
            </w:tblGrid>
            <w:tr w:rsidR="00030839" w:rsidRPr="00030839" w14:paraId="2423ED03" w14:textId="77777777">
              <w:tc>
                <w:tcPr>
                  <w:tcW w:w="0" w:type="auto"/>
                  <w:hideMark/>
                </w:tcPr>
                <w:p w14:paraId="2A0BDCD7" w14:textId="77777777" w:rsidR="00030839" w:rsidRPr="00030839" w:rsidRDefault="00030839" w:rsidP="00030839">
                  <w:pPr>
                    <w:spacing w:after="0" w:line="338" w:lineRule="atLeast"/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030839">
                    <w:rPr>
                      <w:rFonts w:ascii="Ubuntu" w:eastAsia="Times New Roman" w:hAnsi="Ubuntu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www.speakaspire.com 1:1 coaching, Monthly Public Speaking skills small group</w:t>
                  </w:r>
                </w:p>
              </w:tc>
            </w:tr>
          </w:tbl>
          <w:p w14:paraId="11485BD1" w14:textId="77777777" w:rsidR="00030839" w:rsidRPr="00030839" w:rsidRDefault="00030839" w:rsidP="00030839">
            <w:pPr>
              <w:spacing w:after="0" w:line="338" w:lineRule="atLeast"/>
              <w:rPr>
                <w:rFonts w:ascii="Ubuntu" w:eastAsia="Times New Roman" w:hAnsi="Ubuntu" w:cs="Times New Roman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220CF3C" w14:textId="77777777" w:rsidR="00030839" w:rsidRPr="00030839" w:rsidRDefault="00030839" w:rsidP="00030839">
      <w:pPr>
        <w:ind w:firstLine="720"/>
      </w:pPr>
    </w:p>
    <w:sectPr w:rsidR="00030839" w:rsidRPr="00030839" w:rsidSect="0003083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39"/>
    <w:rsid w:val="00030839"/>
    <w:rsid w:val="004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E74A"/>
  <w15:chartTrackingRefBased/>
  <w15:docId w15:val="{B0E07BDF-07D5-449D-9D2B-42758F90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fusco</dc:creator>
  <cp:keywords/>
  <dc:description/>
  <cp:lastModifiedBy>jenny fusco</cp:lastModifiedBy>
  <cp:revision>1</cp:revision>
  <dcterms:created xsi:type="dcterms:W3CDTF">2025-04-28T17:21:00Z</dcterms:created>
  <dcterms:modified xsi:type="dcterms:W3CDTF">2025-04-28T17:24:00Z</dcterms:modified>
</cp:coreProperties>
</file>