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EC" w:rsidRPr="00393CF0" w:rsidRDefault="00EC49EC" w:rsidP="00E83243">
      <w:pPr>
        <w:pStyle w:val="Title"/>
        <w:pBdr>
          <w:bottom w:val="single" w:sz="8" w:space="0" w:color="5B9BD5" w:themeColor="accent1"/>
        </w:pBdr>
        <w:jc w:val="both"/>
        <w:rPr>
          <w:rStyle w:val="BookTitle"/>
          <w:sz w:val="40"/>
          <w:szCs w:val="40"/>
        </w:rPr>
      </w:pPr>
      <w:bookmarkStart w:id="0" w:name="_GoBack"/>
      <w:bookmarkEnd w:id="0"/>
      <w:r w:rsidRPr="00393CF0">
        <w:rPr>
          <w:rStyle w:val="BookTitle"/>
          <w:sz w:val="40"/>
          <w:szCs w:val="40"/>
        </w:rPr>
        <w:t>Bulletin Information</w:t>
      </w:r>
      <w:r>
        <w:rPr>
          <w:rStyle w:val="BookTitle"/>
          <w:sz w:val="40"/>
          <w:szCs w:val="40"/>
        </w:rPr>
        <w:t xml:space="preserve">                                                                       </w:t>
      </w:r>
      <w:r w:rsidRPr="00393CF0">
        <w:rPr>
          <w:rStyle w:val="BookTitle"/>
          <w:sz w:val="40"/>
          <w:szCs w:val="40"/>
        </w:rPr>
        <w:t xml:space="preserve"> </w:t>
      </w:r>
      <w:r w:rsidR="003B53F0">
        <w:rPr>
          <w:b w:val="0"/>
          <w:bCs/>
          <w:smallCaps/>
          <w:noProof/>
          <w:sz w:val="40"/>
          <w:szCs w:val="40"/>
        </w:rPr>
        <w:drawing>
          <wp:inline distT="0" distB="0" distL="0" distR="0" wp14:anchorId="28CDBF3D" wp14:editId="782E3FBA">
            <wp:extent cx="369479" cy="460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_Classic_Beaver_LOGO_4C%2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624" cy="465786"/>
                    </a:xfrm>
                    <a:prstGeom prst="rect">
                      <a:avLst/>
                    </a:prstGeom>
                  </pic:spPr>
                </pic:pic>
              </a:graphicData>
            </a:graphic>
          </wp:inline>
        </w:drawing>
      </w:r>
    </w:p>
    <w:tbl>
      <w:tblPr>
        <w:tblStyle w:val="ColorfulList"/>
        <w:tblW w:w="10189" w:type="dxa"/>
        <w:tblLook w:val="04A0" w:firstRow="1" w:lastRow="0" w:firstColumn="1" w:lastColumn="0" w:noHBand="0" w:noVBand="1"/>
      </w:tblPr>
      <w:tblGrid>
        <w:gridCol w:w="1675"/>
        <w:gridCol w:w="2412"/>
        <w:gridCol w:w="807"/>
        <w:gridCol w:w="2318"/>
        <w:gridCol w:w="1194"/>
        <w:gridCol w:w="1783"/>
      </w:tblGrid>
      <w:tr w:rsidR="009A6F1C" w:rsidTr="009A6F1C">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1675" w:type="dxa"/>
            <w:shd w:val="clear" w:color="auto" w:fill="9E3A38"/>
          </w:tcPr>
          <w:p w:rsidR="00EC49EC" w:rsidRDefault="00EC49EC" w:rsidP="00E83243">
            <w:pPr>
              <w:jc w:val="both"/>
            </w:pPr>
          </w:p>
        </w:tc>
        <w:tc>
          <w:tcPr>
            <w:tcW w:w="2412" w:type="dxa"/>
            <w:shd w:val="clear" w:color="auto" w:fill="9E3A38"/>
          </w:tcPr>
          <w:p w:rsidR="00EC49EC" w:rsidRPr="000C4538" w:rsidRDefault="003B53F0" w:rsidP="00E83243">
            <w:pPr>
              <w:jc w:val="both"/>
              <w:cnfStyle w:val="100000000000" w:firstRow="1" w:lastRow="0" w:firstColumn="0" w:lastColumn="0" w:oddVBand="0" w:evenVBand="0" w:oddHBand="0" w:evenHBand="0" w:firstRowFirstColumn="0" w:firstRowLastColumn="0" w:lastRowFirstColumn="0" w:lastRowLastColumn="0"/>
              <w:rPr>
                <w:color w:val="FFFF00"/>
              </w:rPr>
            </w:pPr>
            <w:r>
              <w:t>April 30</w:t>
            </w:r>
            <w:r w:rsidR="00FA35C8">
              <w:t>, 2020</w:t>
            </w:r>
          </w:p>
          <w:p w:rsidR="00EC49EC" w:rsidRDefault="00EC49EC" w:rsidP="00E83243">
            <w:pPr>
              <w:jc w:val="both"/>
              <w:cnfStyle w:val="100000000000" w:firstRow="1" w:lastRow="0" w:firstColumn="0" w:lastColumn="0" w:oddVBand="0" w:evenVBand="0" w:oddHBand="0" w:evenHBand="0" w:firstRowFirstColumn="0" w:firstRowLastColumn="0" w:lastRowFirstColumn="0" w:lastRowLastColumn="0"/>
            </w:pPr>
            <w:r w:rsidRPr="00C443E9">
              <w:t>,</w:t>
            </w:r>
            <w:r>
              <w:t xml:space="preserve"> </w:t>
            </w:r>
          </w:p>
        </w:tc>
        <w:tc>
          <w:tcPr>
            <w:tcW w:w="807" w:type="dxa"/>
            <w:shd w:val="clear" w:color="auto" w:fill="9E3A38"/>
          </w:tcPr>
          <w:p w:rsidR="00EC49EC" w:rsidRDefault="00EC49EC" w:rsidP="00E83243">
            <w:pPr>
              <w:jc w:val="both"/>
              <w:cnfStyle w:val="100000000000" w:firstRow="1" w:lastRow="0" w:firstColumn="0" w:lastColumn="0" w:oddVBand="0" w:evenVBand="0" w:oddHBand="0" w:evenHBand="0" w:firstRowFirstColumn="0" w:firstRowLastColumn="0" w:lastRowFirstColumn="0" w:lastRowLastColumn="0"/>
            </w:pPr>
            <w:r>
              <w:t>TYPE:</w:t>
            </w:r>
          </w:p>
        </w:tc>
        <w:tc>
          <w:tcPr>
            <w:tcW w:w="2318" w:type="dxa"/>
            <w:shd w:val="clear" w:color="auto" w:fill="9E3A38"/>
          </w:tcPr>
          <w:p w:rsidR="00EC49EC" w:rsidRDefault="00EC49EC" w:rsidP="00E83243">
            <w:pPr>
              <w:jc w:val="both"/>
              <w:cnfStyle w:val="100000000000" w:firstRow="1" w:lastRow="0" w:firstColumn="0" w:lastColumn="0" w:oddVBand="0" w:evenVBand="0" w:oddHBand="0" w:evenHBand="0" w:firstRowFirstColumn="0" w:firstRowLastColumn="0" w:lastRowFirstColumn="0" w:lastRowLastColumn="0"/>
            </w:pPr>
            <w:r>
              <w:t>Information</w:t>
            </w:r>
          </w:p>
        </w:tc>
        <w:tc>
          <w:tcPr>
            <w:tcW w:w="1194" w:type="dxa"/>
            <w:shd w:val="clear" w:color="auto" w:fill="9E3A38"/>
          </w:tcPr>
          <w:p w:rsidR="00EC49EC" w:rsidRDefault="00EC49EC" w:rsidP="00E83243">
            <w:pPr>
              <w:jc w:val="both"/>
              <w:cnfStyle w:val="100000000000" w:firstRow="1" w:lastRow="0" w:firstColumn="0" w:lastColumn="0" w:oddVBand="0" w:evenVBand="0" w:oddHBand="0" w:evenHBand="0" w:firstRowFirstColumn="0" w:firstRowLastColumn="0" w:lastRowFirstColumn="0" w:lastRowLastColumn="0"/>
            </w:pPr>
            <w:r>
              <w:t>NUMBER:</w:t>
            </w:r>
          </w:p>
        </w:tc>
        <w:tc>
          <w:tcPr>
            <w:tcW w:w="1783" w:type="dxa"/>
            <w:shd w:val="clear" w:color="auto" w:fill="9E3A38"/>
          </w:tcPr>
          <w:p w:rsidR="00EC49EC" w:rsidRDefault="009A6F1C" w:rsidP="008E16D0">
            <w:pPr>
              <w:jc w:val="both"/>
              <w:cnfStyle w:val="100000000000" w:firstRow="1" w:lastRow="0" w:firstColumn="0" w:lastColumn="0" w:oddVBand="0" w:evenVBand="0" w:oddHBand="0" w:evenHBand="0" w:firstRowFirstColumn="0" w:firstRowLastColumn="0" w:lastRowFirstColumn="0" w:lastRowLastColumn="0"/>
            </w:pPr>
            <w:r>
              <w:t>LR-</w:t>
            </w:r>
            <w:r w:rsidR="003B53F0">
              <w:t>006</w:t>
            </w:r>
            <w:r>
              <w:t>-20</w:t>
            </w:r>
          </w:p>
        </w:tc>
      </w:tr>
      <w:tr w:rsidR="00EC49EC" w:rsidTr="009A6F1C">
        <w:trPr>
          <w:cnfStyle w:val="000000100000" w:firstRow="0" w:lastRow="0" w:firstColumn="0" w:lastColumn="0" w:oddVBand="0" w:evenVBand="0" w:oddHBand="1" w:evenHBand="0" w:firstRowFirstColumn="0" w:firstRowLastColumn="0" w:lastRowFirstColumn="0" w:lastRowLastColumn="0"/>
          <w:trHeight w:hRule="exact" w:val="336"/>
        </w:trPr>
        <w:tc>
          <w:tcPr>
            <w:cnfStyle w:val="001000000000" w:firstRow="0" w:lastRow="0" w:firstColumn="1" w:lastColumn="0" w:oddVBand="0" w:evenVBand="0" w:oddHBand="0" w:evenHBand="0" w:firstRowFirstColumn="0" w:firstRowLastColumn="0" w:lastRowFirstColumn="0" w:lastRowLastColumn="0"/>
            <w:tcW w:w="1675" w:type="dxa"/>
          </w:tcPr>
          <w:p w:rsidR="00EC49EC" w:rsidRPr="003D329A" w:rsidRDefault="00EC49EC" w:rsidP="00E83243">
            <w:pPr>
              <w:jc w:val="both"/>
            </w:pPr>
            <w:r w:rsidRPr="003D329A">
              <w:t xml:space="preserve">SUBJECT: </w:t>
            </w:r>
          </w:p>
        </w:tc>
        <w:tc>
          <w:tcPr>
            <w:tcW w:w="8514" w:type="dxa"/>
            <w:gridSpan w:val="5"/>
          </w:tcPr>
          <w:p w:rsidR="00EC49EC" w:rsidRPr="003D329A" w:rsidRDefault="008E16D0" w:rsidP="00054CC2">
            <w:pPr>
              <w:jc w:val="both"/>
              <w:cnfStyle w:val="000000100000" w:firstRow="0" w:lastRow="0" w:firstColumn="0" w:lastColumn="0" w:oddVBand="0" w:evenVBand="0" w:oddHBand="1" w:evenHBand="0" w:firstRowFirstColumn="0" w:firstRowLastColumn="0" w:lastRowFirstColumn="0" w:lastRowLastColumn="0"/>
              <w:rPr>
                <w:b/>
              </w:rPr>
            </w:pPr>
            <w:r w:rsidRPr="003D329A">
              <w:rPr>
                <w:b/>
              </w:rPr>
              <w:t>Work Train Tie-up Guide</w:t>
            </w:r>
          </w:p>
        </w:tc>
      </w:tr>
    </w:tbl>
    <w:p w:rsidR="00EC49EC" w:rsidRDefault="00EC49EC" w:rsidP="00E83243">
      <w:pPr>
        <w:autoSpaceDE w:val="0"/>
        <w:autoSpaceDN w:val="0"/>
        <w:adjustRightInd w:val="0"/>
        <w:spacing w:after="0" w:line="240" w:lineRule="auto"/>
        <w:jc w:val="both"/>
        <w:rPr>
          <w:rFonts w:ascii="Arial" w:hAnsi="Arial" w:cs="Arial"/>
          <w:b/>
          <w:bCs/>
          <w:color w:val="000000"/>
          <w:sz w:val="28"/>
          <w:szCs w:val="28"/>
        </w:rPr>
      </w:pPr>
    </w:p>
    <w:p w:rsidR="00EC49EC" w:rsidRPr="00F42A37" w:rsidRDefault="00F42A37" w:rsidP="00E83243">
      <w:pPr>
        <w:autoSpaceDE w:val="0"/>
        <w:autoSpaceDN w:val="0"/>
        <w:adjustRightInd w:val="0"/>
        <w:spacing w:after="0" w:line="240" w:lineRule="auto"/>
        <w:jc w:val="both"/>
        <w:rPr>
          <w:rFonts w:cstheme="minorHAnsi"/>
          <w:b/>
          <w:bCs/>
          <w:color w:val="000000"/>
          <w:u w:val="single"/>
        </w:rPr>
      </w:pPr>
      <w:r w:rsidRPr="00F42A37">
        <w:rPr>
          <w:rFonts w:cstheme="minorHAnsi"/>
          <w:b/>
          <w:bCs/>
          <w:color w:val="000000"/>
          <w:u w:val="single"/>
        </w:rPr>
        <w:t>Attention – All Canadian T&amp;E Employees</w:t>
      </w:r>
    </w:p>
    <w:p w:rsidR="000C6F49" w:rsidRDefault="00E12741" w:rsidP="003005A4">
      <w:pPr>
        <w:autoSpaceDE w:val="0"/>
        <w:autoSpaceDN w:val="0"/>
        <w:adjustRightInd w:val="0"/>
        <w:spacing w:after="0" w:line="240" w:lineRule="auto"/>
        <w:jc w:val="both"/>
        <w:rPr>
          <w:noProof/>
        </w:rPr>
      </w:pPr>
      <w:r>
        <w:rPr>
          <w:noProof/>
        </w:rPr>
        <w:t>Below is a guide to assist crews when tieing up work trains</w:t>
      </w:r>
      <w:r w:rsidR="00E544FC">
        <w:rPr>
          <w:noProof/>
        </w:rPr>
        <w:t xml:space="preserve"> as per </w:t>
      </w:r>
      <w:r w:rsidR="00E201E8">
        <w:rPr>
          <w:noProof/>
        </w:rPr>
        <w:t>A</w:t>
      </w:r>
      <w:r w:rsidR="00E544FC">
        <w:rPr>
          <w:noProof/>
        </w:rPr>
        <w:t xml:space="preserve">rticle 12 of the </w:t>
      </w:r>
      <w:r w:rsidR="00E201E8">
        <w:rPr>
          <w:noProof/>
        </w:rPr>
        <w:t xml:space="preserve">Consolidated </w:t>
      </w:r>
      <w:r w:rsidR="00E544FC">
        <w:rPr>
          <w:noProof/>
        </w:rPr>
        <w:t xml:space="preserve">ollective Agreement. </w:t>
      </w:r>
    </w:p>
    <w:p w:rsidR="00E12741" w:rsidRDefault="00E12741" w:rsidP="003005A4">
      <w:pPr>
        <w:autoSpaceDE w:val="0"/>
        <w:autoSpaceDN w:val="0"/>
        <w:adjustRightInd w:val="0"/>
        <w:spacing w:after="0" w:line="240" w:lineRule="auto"/>
        <w:jc w:val="both"/>
        <w:rPr>
          <w:noProof/>
        </w:rPr>
      </w:pPr>
    </w:p>
    <w:p w:rsidR="00E12741" w:rsidRDefault="00E201E8" w:rsidP="003005A4">
      <w:pPr>
        <w:autoSpaceDE w:val="0"/>
        <w:autoSpaceDN w:val="0"/>
        <w:adjustRightInd w:val="0"/>
        <w:spacing w:after="0" w:line="240" w:lineRule="auto"/>
        <w:jc w:val="both"/>
        <w:rPr>
          <w:rFonts w:cstheme="minorHAnsi"/>
          <w:b/>
          <w:color w:val="000000"/>
          <w:u w:val="single"/>
        </w:rPr>
      </w:pPr>
      <w:r>
        <w:rPr>
          <w:noProof/>
        </w:rPr>
        <w:drawing>
          <wp:inline distT="0" distB="0" distL="0" distR="0" wp14:anchorId="18B7D0C2" wp14:editId="2E5048A2">
            <wp:extent cx="6120679" cy="188132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6514" cy="1883117"/>
                    </a:xfrm>
                    <a:prstGeom prst="rect">
                      <a:avLst/>
                    </a:prstGeom>
                  </pic:spPr>
                </pic:pic>
              </a:graphicData>
            </a:graphic>
          </wp:inline>
        </w:drawing>
      </w:r>
    </w:p>
    <w:p w:rsidR="008E16D0" w:rsidRDefault="008E16D0" w:rsidP="003005A4">
      <w:pPr>
        <w:autoSpaceDE w:val="0"/>
        <w:autoSpaceDN w:val="0"/>
        <w:adjustRightInd w:val="0"/>
        <w:spacing w:after="0" w:line="240" w:lineRule="auto"/>
        <w:jc w:val="both"/>
        <w:rPr>
          <w:rFonts w:cstheme="minorHAnsi"/>
          <w:b/>
          <w:color w:val="000000"/>
          <w:u w:val="single"/>
        </w:rPr>
      </w:pPr>
    </w:p>
    <w:p w:rsidR="008E16D0" w:rsidRPr="000B15F0" w:rsidRDefault="00E12741" w:rsidP="00E201E8">
      <w:pPr>
        <w:pStyle w:val="ListParagraph"/>
        <w:numPr>
          <w:ilvl w:val="0"/>
          <w:numId w:val="1"/>
        </w:numPr>
        <w:autoSpaceDE w:val="0"/>
        <w:autoSpaceDN w:val="0"/>
        <w:adjustRightInd w:val="0"/>
        <w:spacing w:after="0" w:line="240" w:lineRule="auto"/>
        <w:jc w:val="both"/>
        <w:rPr>
          <w:rFonts w:cstheme="minorHAnsi"/>
          <w:color w:val="000000"/>
        </w:rPr>
      </w:pPr>
      <w:r w:rsidRPr="000B15F0">
        <w:rPr>
          <w:rFonts w:cstheme="minorHAnsi"/>
          <w:b/>
          <w:color w:val="000000"/>
        </w:rPr>
        <w:t xml:space="preserve">DOMTS – </w:t>
      </w:r>
      <w:r w:rsidRPr="000B15F0">
        <w:rPr>
          <w:rFonts w:cstheme="minorHAnsi"/>
          <w:color w:val="000000"/>
        </w:rPr>
        <w:t xml:space="preserve">If departed OMTS </w:t>
      </w:r>
      <w:r w:rsidR="00303BFF" w:rsidRPr="000B15F0">
        <w:rPr>
          <w:rFonts w:cstheme="minorHAnsi"/>
          <w:color w:val="000000"/>
        </w:rPr>
        <w:t xml:space="preserve">with train </w:t>
      </w:r>
      <w:r w:rsidRPr="000B15F0">
        <w:rPr>
          <w:rFonts w:cstheme="minorHAnsi"/>
          <w:color w:val="000000"/>
        </w:rPr>
        <w:t>at initial terminal enter time here.</w:t>
      </w:r>
    </w:p>
    <w:p w:rsidR="00E12741" w:rsidRPr="000B15F0" w:rsidRDefault="00E12741" w:rsidP="00E201E8">
      <w:pPr>
        <w:pStyle w:val="ListParagraph"/>
        <w:numPr>
          <w:ilvl w:val="0"/>
          <w:numId w:val="1"/>
        </w:numPr>
        <w:autoSpaceDE w:val="0"/>
        <w:autoSpaceDN w:val="0"/>
        <w:adjustRightInd w:val="0"/>
        <w:spacing w:after="0" w:line="240" w:lineRule="auto"/>
        <w:jc w:val="both"/>
        <w:rPr>
          <w:rFonts w:cstheme="minorHAnsi"/>
          <w:color w:val="000000"/>
        </w:rPr>
      </w:pPr>
      <w:r w:rsidRPr="000B15F0">
        <w:rPr>
          <w:rFonts w:cstheme="minorHAnsi"/>
          <w:b/>
          <w:color w:val="000000"/>
        </w:rPr>
        <w:t xml:space="preserve">WRK BEGAN – </w:t>
      </w:r>
      <w:r w:rsidR="00303BFF" w:rsidRPr="000B15F0">
        <w:rPr>
          <w:rFonts w:cstheme="minorHAnsi"/>
          <w:color w:val="000000"/>
        </w:rPr>
        <w:t xml:space="preserve">If taxied into service outside of the origin terminal </w:t>
      </w:r>
      <w:r w:rsidRPr="000B15F0">
        <w:rPr>
          <w:rFonts w:cstheme="minorHAnsi"/>
          <w:color w:val="000000"/>
        </w:rPr>
        <w:t>enter time here.</w:t>
      </w:r>
    </w:p>
    <w:p w:rsidR="008E16D0" w:rsidRPr="000B15F0" w:rsidRDefault="00E12741" w:rsidP="00E201E8">
      <w:pPr>
        <w:pStyle w:val="ListParagraph"/>
        <w:numPr>
          <w:ilvl w:val="0"/>
          <w:numId w:val="1"/>
        </w:numPr>
        <w:autoSpaceDE w:val="0"/>
        <w:autoSpaceDN w:val="0"/>
        <w:adjustRightInd w:val="0"/>
        <w:spacing w:after="0" w:line="240" w:lineRule="auto"/>
        <w:jc w:val="both"/>
        <w:rPr>
          <w:rFonts w:cstheme="minorHAnsi"/>
          <w:color w:val="000000"/>
        </w:rPr>
      </w:pPr>
      <w:r w:rsidRPr="000B15F0">
        <w:rPr>
          <w:rFonts w:cstheme="minorHAnsi"/>
          <w:b/>
          <w:color w:val="000000"/>
        </w:rPr>
        <w:t xml:space="preserve">AOMTS – </w:t>
      </w:r>
      <w:r w:rsidRPr="000B15F0">
        <w:rPr>
          <w:rFonts w:cstheme="minorHAnsi"/>
          <w:color w:val="000000"/>
        </w:rPr>
        <w:t xml:space="preserve">If arrived OMTS </w:t>
      </w:r>
      <w:r w:rsidR="00303BFF" w:rsidRPr="000B15F0">
        <w:rPr>
          <w:rFonts w:cstheme="minorHAnsi"/>
          <w:color w:val="000000"/>
        </w:rPr>
        <w:t xml:space="preserve">with train </w:t>
      </w:r>
      <w:r w:rsidRPr="000B15F0">
        <w:rPr>
          <w:rFonts w:cstheme="minorHAnsi"/>
          <w:color w:val="000000"/>
        </w:rPr>
        <w:t>at final terminal enter date and time here.</w:t>
      </w:r>
    </w:p>
    <w:p w:rsidR="00E12741" w:rsidRPr="00E201E8" w:rsidRDefault="00E12741" w:rsidP="00E201E8">
      <w:pPr>
        <w:pStyle w:val="ListParagraph"/>
        <w:numPr>
          <w:ilvl w:val="0"/>
          <w:numId w:val="1"/>
        </w:numPr>
        <w:autoSpaceDE w:val="0"/>
        <w:autoSpaceDN w:val="0"/>
        <w:adjustRightInd w:val="0"/>
        <w:spacing w:after="0" w:line="240" w:lineRule="auto"/>
        <w:jc w:val="both"/>
        <w:rPr>
          <w:rFonts w:cstheme="minorHAnsi"/>
          <w:color w:val="000000"/>
        </w:rPr>
      </w:pPr>
      <w:r w:rsidRPr="00E201E8">
        <w:rPr>
          <w:rFonts w:cstheme="minorHAnsi"/>
          <w:b/>
          <w:color w:val="000000"/>
        </w:rPr>
        <w:t xml:space="preserve">RELVD RESP – </w:t>
      </w:r>
      <w:r w:rsidRPr="00E201E8">
        <w:rPr>
          <w:rFonts w:cstheme="minorHAnsi"/>
          <w:color w:val="000000"/>
        </w:rPr>
        <w:t>If picked up / relieved by taxi enter date and time here.</w:t>
      </w:r>
    </w:p>
    <w:p w:rsidR="00585F7B" w:rsidRPr="00E201E8" w:rsidRDefault="00585F7B" w:rsidP="00E201E8">
      <w:pPr>
        <w:pStyle w:val="ListParagraph"/>
        <w:numPr>
          <w:ilvl w:val="0"/>
          <w:numId w:val="1"/>
        </w:numPr>
        <w:autoSpaceDE w:val="0"/>
        <w:autoSpaceDN w:val="0"/>
        <w:adjustRightInd w:val="0"/>
        <w:spacing w:after="0" w:line="240" w:lineRule="auto"/>
        <w:jc w:val="both"/>
        <w:rPr>
          <w:rFonts w:cstheme="minorHAnsi"/>
          <w:color w:val="000000"/>
        </w:rPr>
      </w:pPr>
      <w:r w:rsidRPr="00E201E8">
        <w:rPr>
          <w:rFonts w:cstheme="minorHAnsi"/>
          <w:b/>
          <w:color w:val="000000"/>
        </w:rPr>
        <w:t xml:space="preserve">TURN STN – </w:t>
      </w:r>
      <w:r w:rsidRPr="00E201E8">
        <w:rPr>
          <w:rFonts w:cstheme="minorHAnsi"/>
          <w:color w:val="000000"/>
        </w:rPr>
        <w:t>If relieved enroute</w:t>
      </w:r>
      <w:r w:rsidR="00C00DFC" w:rsidRPr="00E201E8">
        <w:rPr>
          <w:rFonts w:cstheme="minorHAnsi"/>
          <w:color w:val="000000"/>
        </w:rPr>
        <w:t>,</w:t>
      </w:r>
      <w:r w:rsidRPr="00E201E8">
        <w:rPr>
          <w:rFonts w:cstheme="minorHAnsi"/>
          <w:color w:val="000000"/>
        </w:rPr>
        <w:t xml:space="preserve"> station number of relief point or work point is required here.   </w:t>
      </w:r>
    </w:p>
    <w:p w:rsidR="00585F7B" w:rsidRDefault="00585F7B" w:rsidP="003005A4">
      <w:pPr>
        <w:autoSpaceDE w:val="0"/>
        <w:autoSpaceDN w:val="0"/>
        <w:adjustRightInd w:val="0"/>
        <w:spacing w:after="0" w:line="240" w:lineRule="auto"/>
        <w:jc w:val="both"/>
        <w:rPr>
          <w:rFonts w:cstheme="minorHAnsi"/>
          <w:color w:val="000000"/>
        </w:rPr>
      </w:pPr>
    </w:p>
    <w:p w:rsidR="00585F7B" w:rsidRDefault="00E201E8" w:rsidP="003005A4">
      <w:pPr>
        <w:autoSpaceDE w:val="0"/>
        <w:autoSpaceDN w:val="0"/>
        <w:adjustRightInd w:val="0"/>
        <w:spacing w:after="0" w:line="240" w:lineRule="auto"/>
        <w:jc w:val="both"/>
        <w:rPr>
          <w:rFonts w:cstheme="minorHAnsi"/>
          <w:color w:val="000000"/>
        </w:rPr>
      </w:pPr>
      <w:r>
        <w:rPr>
          <w:noProof/>
        </w:rPr>
        <w:drawing>
          <wp:inline distT="0" distB="0" distL="0" distR="0" wp14:anchorId="7F8E7EB6" wp14:editId="6330DF6F">
            <wp:extent cx="6170168" cy="2035628"/>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77381" cy="2038008"/>
                    </a:xfrm>
                    <a:prstGeom prst="rect">
                      <a:avLst/>
                    </a:prstGeom>
                  </pic:spPr>
                </pic:pic>
              </a:graphicData>
            </a:graphic>
          </wp:inline>
        </w:drawing>
      </w:r>
    </w:p>
    <w:p w:rsidR="00585F7B" w:rsidRDefault="00585F7B" w:rsidP="003005A4">
      <w:pPr>
        <w:autoSpaceDE w:val="0"/>
        <w:autoSpaceDN w:val="0"/>
        <w:adjustRightInd w:val="0"/>
        <w:spacing w:after="0" w:line="240" w:lineRule="auto"/>
        <w:jc w:val="both"/>
        <w:rPr>
          <w:rFonts w:cstheme="minorHAnsi"/>
          <w:color w:val="000000"/>
        </w:rPr>
      </w:pPr>
    </w:p>
    <w:p w:rsidR="00A01CE2" w:rsidRPr="000B15F0" w:rsidRDefault="00585F7B" w:rsidP="00E201E8">
      <w:pPr>
        <w:pStyle w:val="ListParagraph"/>
        <w:numPr>
          <w:ilvl w:val="0"/>
          <w:numId w:val="1"/>
        </w:numPr>
        <w:autoSpaceDE w:val="0"/>
        <w:autoSpaceDN w:val="0"/>
        <w:adjustRightInd w:val="0"/>
        <w:spacing w:after="0" w:line="240" w:lineRule="auto"/>
        <w:jc w:val="both"/>
        <w:rPr>
          <w:rFonts w:cstheme="minorHAnsi"/>
          <w:color w:val="000000"/>
        </w:rPr>
      </w:pPr>
      <w:r w:rsidRPr="00E201E8">
        <w:rPr>
          <w:rFonts w:cstheme="minorHAnsi"/>
          <w:b/>
          <w:color w:val="000000"/>
        </w:rPr>
        <w:t xml:space="preserve">RUN MLS – </w:t>
      </w:r>
      <w:r w:rsidRPr="00E201E8">
        <w:rPr>
          <w:rFonts w:cstheme="minorHAnsi"/>
          <w:color w:val="000000"/>
        </w:rPr>
        <w:t xml:space="preserve">Enter run </w:t>
      </w:r>
      <w:r w:rsidRPr="000B15F0">
        <w:rPr>
          <w:rFonts w:cstheme="minorHAnsi"/>
          <w:color w:val="000000"/>
        </w:rPr>
        <w:t>miles (</w:t>
      </w:r>
      <w:r w:rsidR="00303BFF" w:rsidRPr="000B15F0">
        <w:rPr>
          <w:rFonts w:cstheme="minorHAnsi"/>
          <w:color w:val="000000"/>
        </w:rPr>
        <w:t xml:space="preserve">track miles traveled on your train </w:t>
      </w:r>
      <w:r w:rsidRPr="000B15F0">
        <w:rPr>
          <w:rFonts w:cstheme="minorHAnsi"/>
          <w:color w:val="000000"/>
        </w:rPr>
        <w:t>going to and from work location). Does not include mileage while occupied in work train service.</w:t>
      </w:r>
    </w:p>
    <w:p w:rsidR="00E201E8" w:rsidRPr="003B53F0" w:rsidRDefault="00E544FC" w:rsidP="003B53F0">
      <w:pPr>
        <w:pStyle w:val="ListParagraph"/>
        <w:numPr>
          <w:ilvl w:val="0"/>
          <w:numId w:val="1"/>
        </w:numPr>
        <w:autoSpaceDE w:val="0"/>
        <w:autoSpaceDN w:val="0"/>
        <w:adjustRightInd w:val="0"/>
        <w:spacing w:after="0" w:line="240" w:lineRule="auto"/>
        <w:jc w:val="both"/>
        <w:rPr>
          <w:rFonts w:cstheme="minorHAnsi"/>
          <w:color w:val="000000"/>
          <w:u w:val="single"/>
        </w:rPr>
      </w:pPr>
      <w:r w:rsidRPr="000B15F0">
        <w:rPr>
          <w:rFonts w:cstheme="minorHAnsi"/>
          <w:b/>
          <w:color w:val="000000"/>
        </w:rPr>
        <w:t xml:space="preserve">WRK HRS – </w:t>
      </w:r>
      <w:r w:rsidRPr="000B15F0">
        <w:rPr>
          <w:rFonts w:cstheme="minorHAnsi"/>
          <w:color w:val="000000"/>
        </w:rPr>
        <w:t>Enter time occupied in work train service (Maintenance or betterment work, wrecking train, snowplowing, or spreader service.</w:t>
      </w:r>
      <w:r w:rsidR="00F143A2" w:rsidRPr="000B15F0">
        <w:rPr>
          <w:rFonts w:cstheme="minorHAnsi"/>
          <w:color w:val="000000"/>
        </w:rPr>
        <w:t xml:space="preserve"> </w:t>
      </w:r>
      <w:r w:rsidR="00303BFF" w:rsidRPr="000B15F0">
        <w:rPr>
          <w:rFonts w:cstheme="minorHAnsi"/>
          <w:color w:val="000000"/>
        </w:rPr>
        <w:t>Note: w</w:t>
      </w:r>
      <w:r w:rsidR="00F143A2" w:rsidRPr="000B15F0">
        <w:rPr>
          <w:rFonts w:cstheme="minorHAnsi"/>
          <w:color w:val="000000"/>
        </w:rPr>
        <w:t>ork</w:t>
      </w:r>
      <w:r w:rsidR="00F143A2" w:rsidRPr="00E201E8">
        <w:rPr>
          <w:rFonts w:cstheme="minorHAnsi"/>
          <w:color w:val="000000"/>
        </w:rPr>
        <w:t xml:space="preserve"> hours go into the minimum day</w:t>
      </w:r>
      <w:r w:rsidR="009F2FD3">
        <w:rPr>
          <w:rFonts w:cstheme="minorHAnsi"/>
          <w:color w:val="000000"/>
        </w:rPr>
        <w:t>)</w:t>
      </w:r>
      <w:r w:rsidR="00F143A2" w:rsidRPr="00E201E8">
        <w:rPr>
          <w:rFonts w:cstheme="minorHAnsi"/>
          <w:color w:val="000000"/>
        </w:rPr>
        <w:t>.</w:t>
      </w:r>
      <w:r w:rsidR="00E201E8" w:rsidRPr="003B53F0">
        <w:rPr>
          <w:rFonts w:cstheme="minorHAnsi"/>
          <w:b/>
          <w:u w:val="single"/>
        </w:rPr>
        <w:br w:type="page"/>
      </w:r>
    </w:p>
    <w:p w:rsidR="000B15F0" w:rsidRDefault="000B15F0" w:rsidP="003005A4">
      <w:pPr>
        <w:autoSpaceDE w:val="0"/>
        <w:autoSpaceDN w:val="0"/>
        <w:adjustRightInd w:val="0"/>
        <w:spacing w:after="0" w:line="240" w:lineRule="auto"/>
        <w:jc w:val="both"/>
        <w:rPr>
          <w:rFonts w:cstheme="minorHAnsi"/>
          <w:b/>
          <w:u w:val="single"/>
        </w:rPr>
      </w:pPr>
    </w:p>
    <w:p w:rsidR="00E544FC" w:rsidRPr="000B15F0" w:rsidRDefault="00DC3B18" w:rsidP="003005A4">
      <w:pPr>
        <w:autoSpaceDE w:val="0"/>
        <w:autoSpaceDN w:val="0"/>
        <w:adjustRightInd w:val="0"/>
        <w:spacing w:after="0" w:line="240" w:lineRule="auto"/>
        <w:jc w:val="both"/>
        <w:rPr>
          <w:rFonts w:cstheme="minorHAnsi"/>
          <w:b/>
          <w:u w:val="single"/>
        </w:rPr>
      </w:pPr>
      <w:r w:rsidRPr="000B15F0">
        <w:rPr>
          <w:rFonts w:cstheme="minorHAnsi"/>
          <w:b/>
          <w:u w:val="single"/>
        </w:rPr>
        <w:t xml:space="preserve">Claim Entitlement </w:t>
      </w:r>
      <w:r w:rsidR="002375B1" w:rsidRPr="000B15F0">
        <w:rPr>
          <w:rFonts w:cstheme="minorHAnsi"/>
          <w:b/>
          <w:u w:val="single"/>
        </w:rPr>
        <w:t>(by indicated Claim Code)</w:t>
      </w:r>
    </w:p>
    <w:p w:rsidR="00DC3B18" w:rsidRPr="000B15F0" w:rsidRDefault="00DC3B18" w:rsidP="003005A4">
      <w:pPr>
        <w:autoSpaceDE w:val="0"/>
        <w:autoSpaceDN w:val="0"/>
        <w:adjustRightInd w:val="0"/>
        <w:spacing w:after="0" w:line="240" w:lineRule="auto"/>
        <w:jc w:val="both"/>
        <w:rPr>
          <w:rFonts w:cstheme="minorHAnsi"/>
          <w:b/>
          <w:u w:val="single"/>
        </w:rPr>
      </w:pPr>
    </w:p>
    <w:p w:rsidR="0066769C" w:rsidRPr="000B15F0" w:rsidRDefault="0066769C" w:rsidP="003005A4">
      <w:pPr>
        <w:autoSpaceDE w:val="0"/>
        <w:autoSpaceDN w:val="0"/>
        <w:adjustRightInd w:val="0"/>
        <w:spacing w:after="0" w:line="240" w:lineRule="auto"/>
        <w:jc w:val="both"/>
        <w:rPr>
          <w:rFonts w:cstheme="minorHAnsi"/>
          <w:b/>
          <w:u w:val="single"/>
        </w:rPr>
      </w:pPr>
    </w:p>
    <w:p w:rsidR="00DC3B18" w:rsidRPr="000B15F0" w:rsidRDefault="00DC3B18" w:rsidP="003005A4">
      <w:pPr>
        <w:autoSpaceDE w:val="0"/>
        <w:autoSpaceDN w:val="0"/>
        <w:adjustRightInd w:val="0"/>
        <w:spacing w:after="0" w:line="240" w:lineRule="auto"/>
        <w:jc w:val="both"/>
        <w:rPr>
          <w:rFonts w:cstheme="minorHAnsi"/>
          <w:b/>
        </w:rPr>
      </w:pPr>
      <w:r w:rsidRPr="000B15F0">
        <w:rPr>
          <w:rFonts w:cstheme="minorHAnsi"/>
          <w:b/>
        </w:rPr>
        <w:t xml:space="preserve">CT / EC – </w:t>
      </w:r>
      <w:r w:rsidRPr="000B15F0">
        <w:rPr>
          <w:rFonts w:cstheme="minorHAnsi"/>
        </w:rPr>
        <w:t>Co-only premiums such as terminal a</w:t>
      </w:r>
      <w:r w:rsidR="0040295A" w:rsidRPr="000B15F0">
        <w:rPr>
          <w:rFonts w:cstheme="minorHAnsi"/>
        </w:rPr>
        <w:t>nd enroute switching are allowed</w:t>
      </w:r>
      <w:r w:rsidRPr="000B15F0">
        <w:rPr>
          <w:rFonts w:cstheme="minorHAnsi"/>
        </w:rPr>
        <w:t xml:space="preserve"> if applicable.</w:t>
      </w:r>
    </w:p>
    <w:p w:rsidR="00F143A2" w:rsidRPr="000B15F0" w:rsidRDefault="00F143A2" w:rsidP="003005A4">
      <w:pPr>
        <w:autoSpaceDE w:val="0"/>
        <w:autoSpaceDN w:val="0"/>
        <w:adjustRightInd w:val="0"/>
        <w:spacing w:after="0" w:line="240" w:lineRule="auto"/>
        <w:jc w:val="both"/>
        <w:rPr>
          <w:rFonts w:cstheme="minorHAnsi"/>
          <w:b/>
          <w:color w:val="FF0000"/>
        </w:rPr>
      </w:pPr>
    </w:p>
    <w:p w:rsidR="00DC3B18" w:rsidRPr="000B15F0" w:rsidRDefault="00DC3B18" w:rsidP="003005A4">
      <w:pPr>
        <w:autoSpaceDE w:val="0"/>
        <w:autoSpaceDN w:val="0"/>
        <w:adjustRightInd w:val="0"/>
        <w:spacing w:after="0" w:line="240" w:lineRule="auto"/>
        <w:jc w:val="both"/>
        <w:rPr>
          <w:rFonts w:cstheme="minorHAnsi"/>
        </w:rPr>
      </w:pPr>
      <w:r w:rsidRPr="000B15F0">
        <w:rPr>
          <w:rFonts w:cstheme="minorHAnsi"/>
          <w:b/>
        </w:rPr>
        <w:t xml:space="preserve">OM – </w:t>
      </w:r>
      <w:r w:rsidR="00C00DFC" w:rsidRPr="000B15F0">
        <w:rPr>
          <w:rFonts w:cstheme="minorHAnsi"/>
        </w:rPr>
        <w:t>As per Art. 3.01 off main claims are not payable in work train service.</w:t>
      </w:r>
      <w:r w:rsidR="00F143A2" w:rsidRPr="000B15F0">
        <w:rPr>
          <w:rFonts w:cstheme="minorHAnsi"/>
          <w:b/>
        </w:rPr>
        <w:t xml:space="preserve"> </w:t>
      </w:r>
      <w:r w:rsidR="00F143A2" w:rsidRPr="000B15F0">
        <w:rPr>
          <w:rFonts w:cstheme="minorHAnsi"/>
        </w:rPr>
        <w:t xml:space="preserve">  </w:t>
      </w:r>
    </w:p>
    <w:p w:rsidR="00F143A2" w:rsidRPr="000B15F0" w:rsidRDefault="00F143A2" w:rsidP="003005A4">
      <w:pPr>
        <w:autoSpaceDE w:val="0"/>
        <w:autoSpaceDN w:val="0"/>
        <w:adjustRightInd w:val="0"/>
        <w:spacing w:after="0" w:line="240" w:lineRule="auto"/>
        <w:jc w:val="both"/>
        <w:rPr>
          <w:rFonts w:cstheme="minorHAnsi"/>
          <w:b/>
        </w:rPr>
      </w:pPr>
    </w:p>
    <w:p w:rsidR="00C00DFC" w:rsidRPr="000B15F0" w:rsidRDefault="00C00DFC" w:rsidP="003005A4">
      <w:pPr>
        <w:autoSpaceDE w:val="0"/>
        <w:autoSpaceDN w:val="0"/>
        <w:adjustRightInd w:val="0"/>
        <w:spacing w:after="0" w:line="240" w:lineRule="auto"/>
        <w:jc w:val="both"/>
        <w:rPr>
          <w:rFonts w:cstheme="minorHAnsi"/>
        </w:rPr>
      </w:pPr>
      <w:r w:rsidRPr="000B15F0">
        <w:rPr>
          <w:rFonts w:cstheme="minorHAnsi"/>
          <w:b/>
        </w:rPr>
        <w:t xml:space="preserve">TJ – </w:t>
      </w:r>
      <w:r w:rsidRPr="000B15F0">
        <w:rPr>
          <w:rFonts w:cstheme="minorHAnsi"/>
        </w:rPr>
        <w:t>Turn time cannot overlap, or be combined with work hours.</w:t>
      </w:r>
    </w:p>
    <w:p w:rsidR="00C00DFC" w:rsidRPr="000B15F0" w:rsidRDefault="00C00DFC" w:rsidP="003005A4">
      <w:pPr>
        <w:autoSpaceDE w:val="0"/>
        <w:autoSpaceDN w:val="0"/>
        <w:adjustRightInd w:val="0"/>
        <w:spacing w:after="0" w:line="240" w:lineRule="auto"/>
        <w:jc w:val="both"/>
        <w:rPr>
          <w:rFonts w:cstheme="minorHAnsi"/>
          <w:b/>
        </w:rPr>
      </w:pPr>
    </w:p>
    <w:p w:rsidR="00DC3B18" w:rsidRPr="000B15F0" w:rsidRDefault="00DC3B18" w:rsidP="003005A4">
      <w:pPr>
        <w:autoSpaceDE w:val="0"/>
        <w:autoSpaceDN w:val="0"/>
        <w:adjustRightInd w:val="0"/>
        <w:spacing w:after="0" w:line="240" w:lineRule="auto"/>
        <w:jc w:val="both"/>
        <w:rPr>
          <w:rFonts w:cstheme="minorHAnsi"/>
        </w:rPr>
      </w:pPr>
      <w:r w:rsidRPr="000B15F0">
        <w:rPr>
          <w:rFonts w:cstheme="minorHAnsi"/>
          <w:b/>
        </w:rPr>
        <w:t xml:space="preserve">HR – </w:t>
      </w:r>
      <w:r w:rsidRPr="000B15F0">
        <w:rPr>
          <w:rFonts w:cstheme="minorHAnsi"/>
        </w:rPr>
        <w:t>As per Art. 12.10 crews are entitled to 100 miles for handling revenue cars. Revenue cars must have nothing to do with work train, or be in connection with the work service performed.</w:t>
      </w:r>
      <w:r w:rsidR="00F143A2" w:rsidRPr="000B15F0">
        <w:rPr>
          <w:rFonts w:cstheme="minorHAnsi"/>
        </w:rPr>
        <w:t xml:space="preserve"> Sufficient comments must be entered to support HR payment.</w:t>
      </w:r>
    </w:p>
    <w:p w:rsidR="00F143A2" w:rsidRPr="000B15F0" w:rsidRDefault="00F143A2" w:rsidP="003005A4">
      <w:pPr>
        <w:autoSpaceDE w:val="0"/>
        <w:autoSpaceDN w:val="0"/>
        <w:adjustRightInd w:val="0"/>
        <w:spacing w:after="0" w:line="240" w:lineRule="auto"/>
        <w:jc w:val="both"/>
        <w:rPr>
          <w:rFonts w:cstheme="minorHAnsi"/>
          <w:b/>
        </w:rPr>
      </w:pPr>
    </w:p>
    <w:p w:rsidR="00E544FC" w:rsidRPr="000B15F0" w:rsidRDefault="00F143A2" w:rsidP="003005A4">
      <w:pPr>
        <w:autoSpaceDE w:val="0"/>
        <w:autoSpaceDN w:val="0"/>
        <w:adjustRightInd w:val="0"/>
        <w:spacing w:after="0" w:line="240" w:lineRule="auto"/>
        <w:jc w:val="both"/>
        <w:rPr>
          <w:rFonts w:cstheme="minorHAnsi"/>
        </w:rPr>
      </w:pPr>
      <w:r w:rsidRPr="000B15F0">
        <w:rPr>
          <w:rFonts w:cstheme="minorHAnsi"/>
          <w:b/>
        </w:rPr>
        <w:t xml:space="preserve">EM – </w:t>
      </w:r>
      <w:r w:rsidRPr="000B15F0">
        <w:rPr>
          <w:rFonts w:cstheme="minorHAnsi"/>
        </w:rPr>
        <w:t xml:space="preserve">As per Art. 12.12 Engineers are entitled to 15 minutes of pay when laid up at any point without any regular shop staff. This is to cover any necessary repairs and get engine ready. This payment only applies in work train service.   </w:t>
      </w:r>
    </w:p>
    <w:p w:rsidR="00E544FC" w:rsidRPr="000B15F0" w:rsidRDefault="00E544FC" w:rsidP="003005A4">
      <w:pPr>
        <w:autoSpaceDE w:val="0"/>
        <w:autoSpaceDN w:val="0"/>
        <w:adjustRightInd w:val="0"/>
        <w:spacing w:after="0" w:line="240" w:lineRule="auto"/>
        <w:jc w:val="both"/>
        <w:rPr>
          <w:rFonts w:cstheme="minorHAnsi"/>
          <w:b/>
          <w:u w:val="single"/>
        </w:rPr>
      </w:pPr>
    </w:p>
    <w:p w:rsidR="009B5FA5" w:rsidRPr="008E1D47" w:rsidRDefault="0066769C" w:rsidP="003005A4">
      <w:pPr>
        <w:autoSpaceDE w:val="0"/>
        <w:autoSpaceDN w:val="0"/>
        <w:adjustRightInd w:val="0"/>
        <w:spacing w:after="0" w:line="240" w:lineRule="auto"/>
        <w:jc w:val="both"/>
        <w:rPr>
          <w:rFonts w:cstheme="minorHAnsi"/>
          <w:color w:val="000000"/>
        </w:rPr>
      </w:pPr>
      <w:r w:rsidRPr="000B15F0">
        <w:rPr>
          <w:rFonts w:cstheme="minorHAnsi"/>
          <w:b/>
          <w:u w:val="single"/>
        </w:rPr>
        <w:t xml:space="preserve">Important Note: </w:t>
      </w:r>
      <w:r w:rsidRPr="000B15F0">
        <w:rPr>
          <w:rFonts w:cstheme="minorHAnsi"/>
        </w:rPr>
        <w:t>The above information is current as of April 30, 2020 however, y</w:t>
      </w:r>
      <w:r w:rsidR="008A1B85" w:rsidRPr="000B15F0">
        <w:rPr>
          <w:rFonts w:cstheme="minorHAnsi"/>
        </w:rPr>
        <w:t>ou are your own timekeeper</w:t>
      </w:r>
      <w:r w:rsidRPr="000B15F0">
        <w:rPr>
          <w:rFonts w:cstheme="minorHAnsi"/>
        </w:rPr>
        <w:t xml:space="preserve"> and therefore</w:t>
      </w:r>
      <w:r w:rsidR="008A1B85" w:rsidRPr="000B15F0">
        <w:rPr>
          <w:rFonts w:cstheme="minorHAnsi"/>
        </w:rPr>
        <w:t xml:space="preserve"> </w:t>
      </w:r>
      <w:r w:rsidR="00692D74" w:rsidRPr="000B15F0">
        <w:rPr>
          <w:rFonts w:cstheme="minorHAnsi"/>
        </w:rPr>
        <w:t>responsible for your timeslips</w:t>
      </w:r>
      <w:r w:rsidR="00F42A37" w:rsidRPr="000B15F0">
        <w:rPr>
          <w:rFonts w:cstheme="minorHAnsi"/>
        </w:rPr>
        <w:t xml:space="preserve"> (even if submitted by a </w:t>
      </w:r>
      <w:r w:rsidR="008A1B85" w:rsidRPr="000B15F0">
        <w:rPr>
          <w:rFonts w:cstheme="minorHAnsi"/>
        </w:rPr>
        <w:t>fellow employee).  Y</w:t>
      </w:r>
      <w:r w:rsidR="00692D74" w:rsidRPr="000B15F0">
        <w:rPr>
          <w:rFonts w:cstheme="minorHAnsi"/>
        </w:rPr>
        <w:t>ou must make every</w:t>
      </w:r>
      <w:r w:rsidR="000B15F0" w:rsidRPr="000B15F0">
        <w:rPr>
          <w:rFonts w:cstheme="minorHAnsi"/>
        </w:rPr>
        <w:t xml:space="preserve"> effort to understand and </w:t>
      </w:r>
      <w:r w:rsidR="004E4095">
        <w:rPr>
          <w:rFonts w:cstheme="minorHAnsi"/>
        </w:rPr>
        <w:t xml:space="preserve">correctly </w:t>
      </w:r>
      <w:r w:rsidR="000B15F0" w:rsidRPr="000B15F0">
        <w:rPr>
          <w:rFonts w:cstheme="minorHAnsi"/>
        </w:rPr>
        <w:t>apply</w:t>
      </w:r>
      <w:r w:rsidRPr="000B15F0">
        <w:rPr>
          <w:rFonts w:cstheme="minorHAnsi"/>
        </w:rPr>
        <w:t xml:space="preserve"> the </w:t>
      </w:r>
      <w:r w:rsidR="00692D74" w:rsidRPr="000B15F0">
        <w:rPr>
          <w:rFonts w:cstheme="minorHAnsi"/>
        </w:rPr>
        <w:t>Collective Agreement, Metho</w:t>
      </w:r>
      <w:r w:rsidR="000B15F0" w:rsidRPr="000B15F0">
        <w:rPr>
          <w:rFonts w:cstheme="minorHAnsi"/>
        </w:rPr>
        <w:t>d of Pay and Local Agreements</w:t>
      </w:r>
      <w:r w:rsidR="00F17E4F" w:rsidRPr="000B15F0">
        <w:rPr>
          <w:rFonts w:cstheme="minorHAnsi"/>
        </w:rPr>
        <w:t xml:space="preserve"> </w:t>
      </w:r>
      <w:r w:rsidR="004E4095">
        <w:rPr>
          <w:rFonts w:cstheme="minorHAnsi"/>
        </w:rPr>
        <w:t>in effect</w:t>
      </w:r>
      <w:r w:rsidR="00692D74" w:rsidRPr="000B15F0">
        <w:rPr>
          <w:rFonts w:cstheme="minorHAnsi"/>
        </w:rPr>
        <w:t>.</w:t>
      </w:r>
    </w:p>
    <w:p w:rsidR="000C6F49" w:rsidRDefault="000C6F49" w:rsidP="003005A4">
      <w:pPr>
        <w:autoSpaceDE w:val="0"/>
        <w:autoSpaceDN w:val="0"/>
        <w:adjustRightInd w:val="0"/>
        <w:spacing w:after="0" w:line="240" w:lineRule="auto"/>
        <w:jc w:val="both"/>
        <w:rPr>
          <w:rFonts w:cstheme="minorHAnsi"/>
          <w:color w:val="000000"/>
        </w:rPr>
      </w:pPr>
    </w:p>
    <w:p w:rsidR="000C6F49" w:rsidRDefault="000C6F49" w:rsidP="003005A4">
      <w:pPr>
        <w:autoSpaceDE w:val="0"/>
        <w:autoSpaceDN w:val="0"/>
        <w:adjustRightInd w:val="0"/>
        <w:spacing w:after="0" w:line="240" w:lineRule="auto"/>
        <w:jc w:val="both"/>
        <w:rPr>
          <w:rFonts w:cstheme="minorHAnsi"/>
          <w:color w:val="000000"/>
        </w:rPr>
      </w:pPr>
    </w:p>
    <w:p w:rsidR="00D63918" w:rsidRPr="008E1D47" w:rsidRDefault="00D63918" w:rsidP="003005A4">
      <w:pPr>
        <w:autoSpaceDE w:val="0"/>
        <w:autoSpaceDN w:val="0"/>
        <w:adjustRightInd w:val="0"/>
        <w:spacing w:after="0" w:line="240" w:lineRule="auto"/>
        <w:jc w:val="both"/>
        <w:rPr>
          <w:rFonts w:cstheme="minorHAnsi"/>
          <w:color w:val="000000"/>
        </w:rPr>
      </w:pPr>
      <w:r w:rsidRPr="008E1D47">
        <w:rPr>
          <w:rFonts w:cstheme="minorHAnsi"/>
          <w:color w:val="000000"/>
        </w:rPr>
        <w:t xml:space="preserve">Labour Relations </w:t>
      </w:r>
    </w:p>
    <w:p w:rsidR="00D63918" w:rsidRPr="008E1D47" w:rsidRDefault="00D63918" w:rsidP="003005A4">
      <w:pPr>
        <w:autoSpaceDE w:val="0"/>
        <w:autoSpaceDN w:val="0"/>
        <w:adjustRightInd w:val="0"/>
        <w:spacing w:after="0" w:line="240" w:lineRule="auto"/>
        <w:jc w:val="both"/>
        <w:rPr>
          <w:rFonts w:cstheme="minorHAnsi"/>
          <w:color w:val="000000"/>
        </w:rPr>
      </w:pPr>
      <w:r w:rsidRPr="008E1D47">
        <w:rPr>
          <w:rFonts w:cstheme="minorHAnsi"/>
          <w:color w:val="000000"/>
        </w:rPr>
        <w:t>T&amp;E Payroll Audit</w:t>
      </w:r>
    </w:p>
    <w:p w:rsidR="00D63918" w:rsidRPr="000379DD" w:rsidRDefault="00D63918" w:rsidP="003005A4">
      <w:pPr>
        <w:autoSpaceDE w:val="0"/>
        <w:autoSpaceDN w:val="0"/>
        <w:adjustRightInd w:val="0"/>
        <w:spacing w:after="0" w:line="240" w:lineRule="auto"/>
        <w:jc w:val="both"/>
        <w:rPr>
          <w:rFonts w:cstheme="minorHAnsi"/>
          <w:b/>
          <w:color w:val="FF0000"/>
        </w:rPr>
      </w:pPr>
      <w:r w:rsidRPr="000379DD">
        <w:rPr>
          <w:rFonts w:cstheme="minorHAnsi"/>
          <w:b/>
          <w:color w:val="FF0000"/>
        </w:rPr>
        <w:t>Canadian Pacific</w:t>
      </w:r>
    </w:p>
    <w:p w:rsidR="009B5FA5" w:rsidRDefault="009B5FA5" w:rsidP="003005A4">
      <w:pPr>
        <w:autoSpaceDE w:val="0"/>
        <w:autoSpaceDN w:val="0"/>
        <w:adjustRightInd w:val="0"/>
        <w:spacing w:after="0" w:line="240" w:lineRule="auto"/>
        <w:jc w:val="both"/>
        <w:rPr>
          <w:rFonts w:ascii="Arial" w:hAnsi="Arial" w:cs="Arial"/>
          <w:color w:val="000000"/>
        </w:rPr>
      </w:pPr>
    </w:p>
    <w:p w:rsidR="009B5FA5" w:rsidRDefault="009B5FA5" w:rsidP="00E83243">
      <w:pPr>
        <w:autoSpaceDE w:val="0"/>
        <w:autoSpaceDN w:val="0"/>
        <w:adjustRightInd w:val="0"/>
        <w:spacing w:after="0" w:line="240" w:lineRule="auto"/>
        <w:jc w:val="both"/>
        <w:rPr>
          <w:rFonts w:ascii="Arial" w:hAnsi="Arial" w:cs="Arial"/>
          <w:color w:val="000000"/>
        </w:rPr>
      </w:pPr>
    </w:p>
    <w:p w:rsidR="009B5FA5" w:rsidRDefault="009B5FA5" w:rsidP="009B5FA5">
      <w:pPr>
        <w:autoSpaceDE w:val="0"/>
        <w:autoSpaceDN w:val="0"/>
        <w:adjustRightInd w:val="0"/>
        <w:spacing w:after="0" w:line="240" w:lineRule="auto"/>
        <w:rPr>
          <w:rFonts w:ascii="Arial" w:hAnsi="Arial" w:cs="Arial"/>
          <w:color w:val="000000"/>
        </w:rPr>
      </w:pPr>
    </w:p>
    <w:p w:rsidR="009B5FA5" w:rsidRDefault="009B5FA5" w:rsidP="009B5FA5">
      <w:pPr>
        <w:autoSpaceDE w:val="0"/>
        <w:autoSpaceDN w:val="0"/>
        <w:adjustRightInd w:val="0"/>
        <w:spacing w:after="0" w:line="240" w:lineRule="auto"/>
        <w:rPr>
          <w:rFonts w:ascii="Arial" w:hAnsi="Arial" w:cs="Arial"/>
          <w:color w:val="000000"/>
        </w:rPr>
      </w:pPr>
    </w:p>
    <w:p w:rsidR="009B5FA5" w:rsidRDefault="009B5FA5" w:rsidP="009B5FA5">
      <w:pPr>
        <w:autoSpaceDE w:val="0"/>
        <w:autoSpaceDN w:val="0"/>
        <w:adjustRightInd w:val="0"/>
        <w:spacing w:after="0" w:line="240" w:lineRule="auto"/>
        <w:rPr>
          <w:rFonts w:ascii="Arial" w:hAnsi="Arial" w:cs="Arial"/>
          <w:color w:val="000000"/>
        </w:rPr>
      </w:pPr>
    </w:p>
    <w:p w:rsidR="009B5FA5" w:rsidRDefault="009B5FA5" w:rsidP="009B5FA5">
      <w:pPr>
        <w:autoSpaceDE w:val="0"/>
        <w:autoSpaceDN w:val="0"/>
        <w:adjustRightInd w:val="0"/>
        <w:spacing w:after="0" w:line="240" w:lineRule="auto"/>
        <w:rPr>
          <w:rFonts w:ascii="Arial" w:hAnsi="Arial" w:cs="Arial"/>
          <w:color w:val="000000"/>
        </w:rPr>
      </w:pPr>
    </w:p>
    <w:p w:rsidR="009B5FA5" w:rsidRDefault="009B5FA5" w:rsidP="009B5FA5">
      <w:pPr>
        <w:autoSpaceDE w:val="0"/>
        <w:autoSpaceDN w:val="0"/>
        <w:adjustRightInd w:val="0"/>
        <w:spacing w:after="0" w:line="240" w:lineRule="auto"/>
        <w:rPr>
          <w:rFonts w:ascii="Arial" w:hAnsi="Arial" w:cs="Arial"/>
          <w:color w:val="000000"/>
        </w:rPr>
      </w:pPr>
    </w:p>
    <w:p w:rsidR="009B5FA5" w:rsidRDefault="009B5FA5" w:rsidP="009B5FA5">
      <w:pPr>
        <w:autoSpaceDE w:val="0"/>
        <w:autoSpaceDN w:val="0"/>
        <w:adjustRightInd w:val="0"/>
        <w:spacing w:after="0" w:line="240" w:lineRule="auto"/>
        <w:rPr>
          <w:rFonts w:ascii="Arial" w:hAnsi="Arial" w:cs="Arial"/>
          <w:color w:val="000000"/>
        </w:rPr>
      </w:pPr>
    </w:p>
    <w:p w:rsidR="009B5FA5" w:rsidRDefault="009B5FA5" w:rsidP="009B5FA5">
      <w:pPr>
        <w:autoSpaceDE w:val="0"/>
        <w:autoSpaceDN w:val="0"/>
        <w:adjustRightInd w:val="0"/>
        <w:spacing w:after="0" w:line="240" w:lineRule="auto"/>
        <w:rPr>
          <w:rFonts w:ascii="Arial" w:hAnsi="Arial" w:cs="Arial"/>
          <w:color w:val="000000"/>
        </w:rPr>
      </w:pPr>
    </w:p>
    <w:p w:rsidR="009B5FA5" w:rsidRDefault="009B5FA5" w:rsidP="009B5FA5">
      <w:pPr>
        <w:autoSpaceDE w:val="0"/>
        <w:autoSpaceDN w:val="0"/>
        <w:adjustRightInd w:val="0"/>
        <w:spacing w:after="0" w:line="240" w:lineRule="auto"/>
        <w:rPr>
          <w:rFonts w:ascii="Arial" w:hAnsi="Arial" w:cs="Arial"/>
          <w:color w:val="000000"/>
        </w:rPr>
      </w:pPr>
    </w:p>
    <w:p w:rsidR="009B5FA5" w:rsidRDefault="009B5FA5" w:rsidP="009B5FA5">
      <w:pPr>
        <w:autoSpaceDE w:val="0"/>
        <w:autoSpaceDN w:val="0"/>
        <w:adjustRightInd w:val="0"/>
        <w:spacing w:after="0" w:line="240" w:lineRule="auto"/>
        <w:rPr>
          <w:rFonts w:ascii="Arial" w:hAnsi="Arial" w:cs="Arial"/>
          <w:color w:val="000000"/>
        </w:rPr>
      </w:pPr>
    </w:p>
    <w:p w:rsidR="00BF01F0" w:rsidRDefault="00BF01F0"/>
    <w:sectPr w:rsidR="00BF01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AE4" w:rsidRDefault="00105AE4" w:rsidP="00E201E8">
      <w:pPr>
        <w:spacing w:after="0" w:line="240" w:lineRule="auto"/>
      </w:pPr>
      <w:r>
        <w:separator/>
      </w:r>
    </w:p>
  </w:endnote>
  <w:endnote w:type="continuationSeparator" w:id="0">
    <w:p w:rsidR="00105AE4" w:rsidRDefault="00105AE4" w:rsidP="00E2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620897"/>
      <w:docPartObj>
        <w:docPartGallery w:val="Page Numbers (Bottom of Page)"/>
        <w:docPartUnique/>
      </w:docPartObj>
    </w:sdtPr>
    <w:sdtEndPr>
      <w:rPr>
        <w:noProof/>
      </w:rPr>
    </w:sdtEndPr>
    <w:sdtContent>
      <w:p w:rsidR="00E201E8" w:rsidRDefault="00E201E8">
        <w:pPr>
          <w:pStyle w:val="Footer"/>
          <w:jc w:val="right"/>
        </w:pPr>
        <w:r>
          <w:fldChar w:fldCharType="begin"/>
        </w:r>
        <w:r>
          <w:instrText xml:space="preserve"> PAGE   \* MERGEFORMAT </w:instrText>
        </w:r>
        <w:r>
          <w:fldChar w:fldCharType="separate"/>
        </w:r>
        <w:r w:rsidR="00C00411">
          <w:rPr>
            <w:noProof/>
          </w:rPr>
          <w:t>1</w:t>
        </w:r>
        <w:r>
          <w:rPr>
            <w:noProof/>
          </w:rPr>
          <w:fldChar w:fldCharType="end"/>
        </w:r>
      </w:p>
    </w:sdtContent>
  </w:sdt>
  <w:p w:rsidR="00E201E8" w:rsidRDefault="00E20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AE4" w:rsidRDefault="00105AE4" w:rsidP="00E201E8">
      <w:pPr>
        <w:spacing w:after="0" w:line="240" w:lineRule="auto"/>
      </w:pPr>
      <w:r>
        <w:separator/>
      </w:r>
    </w:p>
  </w:footnote>
  <w:footnote w:type="continuationSeparator" w:id="0">
    <w:p w:rsidR="00105AE4" w:rsidRDefault="00105AE4" w:rsidP="00E20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07DDA"/>
    <w:multiLevelType w:val="hybridMultilevel"/>
    <w:tmpl w:val="17046FDA"/>
    <w:lvl w:ilvl="0" w:tplc="1BFE4C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A5"/>
    <w:rsid w:val="000379DD"/>
    <w:rsid w:val="00054CC2"/>
    <w:rsid w:val="000B15F0"/>
    <w:rsid w:val="000B6F61"/>
    <w:rsid w:val="000C6F49"/>
    <w:rsid w:val="000D7968"/>
    <w:rsid w:val="00105AE4"/>
    <w:rsid w:val="001201BC"/>
    <w:rsid w:val="001436E4"/>
    <w:rsid w:val="00167AE6"/>
    <w:rsid w:val="001F4D89"/>
    <w:rsid w:val="002375B1"/>
    <w:rsid w:val="0029652B"/>
    <w:rsid w:val="002A33FF"/>
    <w:rsid w:val="003005A4"/>
    <w:rsid w:val="00303BFF"/>
    <w:rsid w:val="003B53F0"/>
    <w:rsid w:val="003C0BF2"/>
    <w:rsid w:val="003C1342"/>
    <w:rsid w:val="003D329A"/>
    <w:rsid w:val="0040295A"/>
    <w:rsid w:val="00425FCE"/>
    <w:rsid w:val="004A1BBA"/>
    <w:rsid w:val="004E4095"/>
    <w:rsid w:val="00585F7B"/>
    <w:rsid w:val="0066769C"/>
    <w:rsid w:val="00692D74"/>
    <w:rsid w:val="00712F6C"/>
    <w:rsid w:val="00764BAB"/>
    <w:rsid w:val="007C75B7"/>
    <w:rsid w:val="007D6E10"/>
    <w:rsid w:val="00826891"/>
    <w:rsid w:val="008A1B85"/>
    <w:rsid w:val="008E16D0"/>
    <w:rsid w:val="008E1D47"/>
    <w:rsid w:val="009A6F1C"/>
    <w:rsid w:val="009B5FA5"/>
    <w:rsid w:val="009F2FD3"/>
    <w:rsid w:val="00A01CE2"/>
    <w:rsid w:val="00AC4F54"/>
    <w:rsid w:val="00B222D6"/>
    <w:rsid w:val="00BB28EA"/>
    <w:rsid w:val="00BD30B4"/>
    <w:rsid w:val="00BF01F0"/>
    <w:rsid w:val="00C00411"/>
    <w:rsid w:val="00C00DFC"/>
    <w:rsid w:val="00D63918"/>
    <w:rsid w:val="00DC3B18"/>
    <w:rsid w:val="00E12741"/>
    <w:rsid w:val="00E201E8"/>
    <w:rsid w:val="00E36FCA"/>
    <w:rsid w:val="00E544FC"/>
    <w:rsid w:val="00E83243"/>
    <w:rsid w:val="00EC49EC"/>
    <w:rsid w:val="00F143A2"/>
    <w:rsid w:val="00F17E4F"/>
    <w:rsid w:val="00F32F85"/>
    <w:rsid w:val="00F42A37"/>
    <w:rsid w:val="00F941EF"/>
    <w:rsid w:val="00FA35C8"/>
    <w:rsid w:val="00FF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5937C-C4DE-4848-BB16-D5DD51D6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D6E10"/>
    <w:pPr>
      <w:pBdr>
        <w:bottom w:val="single" w:sz="8" w:space="4" w:color="5B9BD5" w:themeColor="accent1"/>
      </w:pBdr>
      <w:spacing w:before="240" w:after="240" w:line="240" w:lineRule="auto"/>
      <w:contextualSpacing/>
    </w:pPr>
    <w:rPr>
      <w:rFonts w:ascii="Calibri" w:eastAsiaTheme="majorEastAsia" w:hAnsi="Calibri" w:cstheme="majorBidi"/>
      <w:b/>
      <w:color w:val="323E4F" w:themeColor="text2" w:themeShade="BF"/>
      <w:spacing w:val="5"/>
      <w:kern w:val="28"/>
      <w:sz w:val="32"/>
      <w:szCs w:val="32"/>
    </w:rPr>
  </w:style>
  <w:style w:type="character" w:customStyle="1" w:styleId="TitleChar">
    <w:name w:val="Title Char"/>
    <w:basedOn w:val="DefaultParagraphFont"/>
    <w:link w:val="Title"/>
    <w:uiPriority w:val="10"/>
    <w:rsid w:val="007D6E10"/>
    <w:rPr>
      <w:rFonts w:ascii="Calibri" w:eastAsiaTheme="majorEastAsia" w:hAnsi="Calibri" w:cstheme="majorBidi"/>
      <w:b/>
      <w:color w:val="323E4F" w:themeColor="text2" w:themeShade="BF"/>
      <w:spacing w:val="5"/>
      <w:kern w:val="28"/>
      <w:sz w:val="32"/>
      <w:szCs w:val="32"/>
    </w:rPr>
  </w:style>
  <w:style w:type="table" w:styleId="ColorfulList">
    <w:name w:val="Colorful List"/>
    <w:basedOn w:val="TableNormal"/>
    <w:uiPriority w:val="72"/>
    <w:rsid w:val="007D6E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BookTitle">
    <w:name w:val="Book Title"/>
    <w:basedOn w:val="DefaultParagraphFont"/>
    <w:uiPriority w:val="33"/>
    <w:qFormat/>
    <w:rsid w:val="007D6E10"/>
    <w:rPr>
      <w:b/>
      <w:bCs/>
      <w:smallCaps/>
      <w:spacing w:val="5"/>
    </w:rPr>
  </w:style>
  <w:style w:type="paragraph" w:styleId="BalloonText">
    <w:name w:val="Balloon Text"/>
    <w:basedOn w:val="Normal"/>
    <w:link w:val="BalloonTextChar"/>
    <w:uiPriority w:val="99"/>
    <w:semiHidden/>
    <w:unhideWhenUsed/>
    <w:rsid w:val="00FF0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81E"/>
    <w:rPr>
      <w:rFonts w:ascii="Segoe UI" w:hAnsi="Segoe UI" w:cs="Segoe UI"/>
      <w:sz w:val="18"/>
      <w:szCs w:val="18"/>
    </w:rPr>
  </w:style>
  <w:style w:type="paragraph" w:styleId="ListParagraph">
    <w:name w:val="List Paragraph"/>
    <w:basedOn w:val="Normal"/>
    <w:uiPriority w:val="34"/>
    <w:qFormat/>
    <w:rsid w:val="00E201E8"/>
    <w:pPr>
      <w:ind w:left="720"/>
      <w:contextualSpacing/>
    </w:pPr>
  </w:style>
  <w:style w:type="paragraph" w:styleId="Header">
    <w:name w:val="header"/>
    <w:basedOn w:val="Normal"/>
    <w:link w:val="HeaderChar"/>
    <w:uiPriority w:val="99"/>
    <w:unhideWhenUsed/>
    <w:rsid w:val="00E20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1E8"/>
  </w:style>
  <w:style w:type="paragraph" w:styleId="Footer">
    <w:name w:val="footer"/>
    <w:basedOn w:val="Normal"/>
    <w:link w:val="FooterChar"/>
    <w:uiPriority w:val="99"/>
    <w:unhideWhenUsed/>
    <w:rsid w:val="00E20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337</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CP</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Gurjit Singh Gill</dc:creator>
  <cp:keywords/>
  <dc:description/>
  <cp:lastModifiedBy>Gabrielle Belanger</cp:lastModifiedBy>
  <cp:revision>2</cp:revision>
  <cp:lastPrinted>2020-03-06T21:33:00Z</cp:lastPrinted>
  <dcterms:created xsi:type="dcterms:W3CDTF">2020-05-01T13:40:00Z</dcterms:created>
  <dcterms:modified xsi:type="dcterms:W3CDTF">2020-05-01T13:40:00Z</dcterms:modified>
</cp:coreProperties>
</file>