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838"/>
        <w:gridCol w:w="2410"/>
        <w:gridCol w:w="3260"/>
      </w:tblGrid>
      <w:tr w:rsidR="00A50A70" w:rsidRPr="003D3270" w:rsidTr="007C5B43">
        <w:trPr>
          <w:trHeight w:val="956"/>
        </w:trPr>
        <w:tc>
          <w:tcPr>
            <w:tcW w:w="1838" w:type="dxa"/>
          </w:tcPr>
          <w:p w:rsidR="00A50A70" w:rsidRPr="003D3270" w:rsidRDefault="00A50A70" w:rsidP="007D3817">
            <w:pPr>
              <w:jc w:val="both"/>
              <w:rPr>
                <w:noProof/>
                <w:lang w:eastAsia="fr-FR"/>
              </w:rPr>
            </w:pPr>
            <w:bookmarkStart w:id="0" w:name="_GoBack"/>
            <w:bookmarkEnd w:id="0"/>
          </w:p>
          <w:p w:rsidR="00A50A70" w:rsidRPr="003D3270" w:rsidRDefault="007C5B43" w:rsidP="007D3817">
            <w:pPr>
              <w:jc w:val="both"/>
            </w:pPr>
            <w:r>
              <w:rPr>
                <w:noProof/>
                <w:lang w:eastAsia="fr-FR"/>
              </w:rPr>
              <w:drawing>
                <wp:inline distT="0" distB="0" distL="0" distR="0" wp14:anchorId="6E388A6C" wp14:editId="0A234826">
                  <wp:extent cx="790513" cy="790513"/>
                  <wp:effectExtent l="0" t="0" r="0" b="0"/>
                  <wp:docPr id="4" name="Image 4" descr="http://inpi.reference-syndicale.fr/files/2017/03/CGT-inpi-jaune-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inpi.reference-syndicale.fr/files/2017/03/CGT-inpi-jaune-005-1.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92394" cy="792394"/>
                          </a:xfrm>
                          <a:prstGeom prst="rect">
                            <a:avLst/>
                          </a:prstGeom>
                          <a:noFill/>
                          <a:ln>
                            <a:noFill/>
                          </a:ln>
                        </pic:spPr>
                      </pic:pic>
                    </a:graphicData>
                  </a:graphic>
                </wp:inline>
              </w:drawing>
            </w:r>
          </w:p>
        </w:tc>
        <w:tc>
          <w:tcPr>
            <w:tcW w:w="2410" w:type="dxa"/>
          </w:tcPr>
          <w:p w:rsidR="00A50A70" w:rsidRPr="003D3270" w:rsidRDefault="00A50A70" w:rsidP="007D3817">
            <w:pPr>
              <w:jc w:val="both"/>
              <w:rPr>
                <w:noProof/>
                <w:lang w:eastAsia="fr-FR"/>
              </w:rPr>
            </w:pPr>
          </w:p>
          <w:p w:rsidR="00A50A70" w:rsidRPr="003D3270" w:rsidRDefault="007C5B43" w:rsidP="007D3817">
            <w:pPr>
              <w:jc w:val="both"/>
            </w:pPr>
            <w:r>
              <w:rPr>
                <w:noProof/>
                <w:lang w:eastAsia="fr-FR"/>
              </w:rPr>
              <w:drawing>
                <wp:anchor distT="0" distB="0" distL="114300" distR="114300" simplePos="0" relativeHeight="251663360" behindDoc="1" locked="0" layoutInCell="1" allowOverlap="1" wp14:anchorId="3C85783A" wp14:editId="67622DC6">
                  <wp:simplePos x="0" y="0"/>
                  <wp:positionH relativeFrom="column">
                    <wp:posOffset>11164</wp:posOffset>
                  </wp:positionH>
                  <wp:positionV relativeFrom="paragraph">
                    <wp:posOffset>102194</wp:posOffset>
                  </wp:positionV>
                  <wp:extent cx="1403350" cy="491490"/>
                  <wp:effectExtent l="0" t="0" r="6350" b="381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0" cy="491490"/>
                          </a:xfrm>
                          <a:prstGeom prst="rect">
                            <a:avLst/>
                          </a:prstGeom>
                          <a:noFill/>
                          <a:ln>
                            <a:noFill/>
                          </a:ln>
                        </pic:spPr>
                      </pic:pic>
                    </a:graphicData>
                  </a:graphic>
                </wp:anchor>
              </w:drawing>
            </w:r>
          </w:p>
        </w:tc>
        <w:tc>
          <w:tcPr>
            <w:tcW w:w="3260" w:type="dxa"/>
          </w:tcPr>
          <w:p w:rsidR="00A50A70" w:rsidRPr="003D3270" w:rsidRDefault="00A50A70" w:rsidP="007D3817">
            <w:pPr>
              <w:jc w:val="both"/>
              <w:rPr>
                <w:noProof/>
                <w:lang w:eastAsia="fr-FR"/>
              </w:rPr>
            </w:pPr>
          </w:p>
          <w:p w:rsidR="00A50A70" w:rsidRPr="003D3270" w:rsidRDefault="007C5B43" w:rsidP="007D3817">
            <w:pPr>
              <w:jc w:val="both"/>
            </w:pPr>
            <w:r>
              <w:rPr>
                <w:noProof/>
                <w:lang w:eastAsia="fr-FR"/>
              </w:rPr>
              <w:drawing>
                <wp:anchor distT="0" distB="0" distL="114300" distR="114300" simplePos="0" relativeHeight="251665408" behindDoc="0" locked="0" layoutInCell="1" allowOverlap="1" wp14:anchorId="14FA2BF1" wp14:editId="5C74696E">
                  <wp:simplePos x="0" y="0"/>
                  <wp:positionH relativeFrom="column">
                    <wp:posOffset>-1905</wp:posOffset>
                  </wp:positionH>
                  <wp:positionV relativeFrom="paragraph">
                    <wp:posOffset>1905</wp:posOffset>
                  </wp:positionV>
                  <wp:extent cx="2019300" cy="752475"/>
                  <wp:effectExtent l="0" t="0" r="0" b="9525"/>
                  <wp:wrapNone/>
                  <wp:docPr id="1" name="Image 1" descr="http://www.cfdt-madeinpi.org/s/misc/logo.jpg?t=1441087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http://www.cfdt-madeinpi.org/s/misc/logo.jpg?t=14410873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752475"/>
                          </a:xfrm>
                          <a:prstGeom prst="rect">
                            <a:avLst/>
                          </a:prstGeom>
                          <a:noFill/>
                          <a:ln>
                            <a:noFill/>
                          </a:ln>
                        </pic:spPr>
                      </pic:pic>
                    </a:graphicData>
                  </a:graphic>
                </wp:anchor>
              </w:drawing>
            </w:r>
          </w:p>
        </w:tc>
      </w:tr>
    </w:tbl>
    <w:p w:rsidR="00CD5E83" w:rsidRPr="009B659C" w:rsidRDefault="00CD5E83" w:rsidP="00CD5E83">
      <w:pPr>
        <w:jc w:val="right"/>
        <w:rPr>
          <w:i/>
        </w:rPr>
      </w:pPr>
      <w:r w:rsidRPr="009B659C">
        <w:rPr>
          <w:i/>
        </w:rPr>
        <w:t xml:space="preserve">Courbevoie, le </w:t>
      </w:r>
      <w:r w:rsidR="0030641E" w:rsidRPr="009B659C">
        <w:rPr>
          <w:i/>
        </w:rPr>
        <w:t>1</w:t>
      </w:r>
      <w:r w:rsidR="00532419" w:rsidRPr="009B659C">
        <w:rPr>
          <w:i/>
        </w:rPr>
        <w:t>8</w:t>
      </w:r>
      <w:r w:rsidR="0030641E" w:rsidRPr="009B659C">
        <w:rPr>
          <w:i/>
        </w:rPr>
        <w:t xml:space="preserve"> avril </w:t>
      </w:r>
      <w:r w:rsidR="007C5B43" w:rsidRPr="009B659C">
        <w:rPr>
          <w:i/>
        </w:rPr>
        <w:t>2019</w:t>
      </w:r>
    </w:p>
    <w:p w:rsidR="00CB0FB7" w:rsidRDefault="00CB0FB7" w:rsidP="007C5B43">
      <w:pPr>
        <w:jc w:val="both"/>
      </w:pPr>
    </w:p>
    <w:p w:rsidR="009B659C" w:rsidRDefault="009B659C" w:rsidP="00D66B9F">
      <w:pPr>
        <w:jc w:val="center"/>
        <w:rPr>
          <w:b/>
          <w:sz w:val="24"/>
          <w:szCs w:val="24"/>
          <w:u w:val="single"/>
        </w:rPr>
      </w:pPr>
    </w:p>
    <w:p w:rsidR="00A50A70" w:rsidRPr="004C51E2" w:rsidRDefault="00532419" w:rsidP="00D66B9F">
      <w:pPr>
        <w:jc w:val="center"/>
        <w:rPr>
          <w:b/>
          <w:sz w:val="24"/>
          <w:szCs w:val="24"/>
          <w:u w:val="single"/>
        </w:rPr>
      </w:pPr>
      <w:r w:rsidRPr="004C51E2">
        <w:rPr>
          <w:b/>
          <w:sz w:val="24"/>
          <w:szCs w:val="24"/>
          <w:u w:val="single"/>
        </w:rPr>
        <w:t>REFORME DU STATUT DU PERSONNEL</w:t>
      </w:r>
    </w:p>
    <w:p w:rsidR="009B659C" w:rsidRPr="004C51E2" w:rsidRDefault="009B659C" w:rsidP="007C5B43">
      <w:pPr>
        <w:jc w:val="both"/>
        <w:rPr>
          <w:sz w:val="24"/>
          <w:szCs w:val="24"/>
        </w:rPr>
      </w:pPr>
    </w:p>
    <w:p w:rsidR="0030641E" w:rsidRPr="004C51E2" w:rsidRDefault="009E655C" w:rsidP="007C5B43">
      <w:pPr>
        <w:jc w:val="both"/>
        <w:rPr>
          <w:sz w:val="24"/>
          <w:szCs w:val="24"/>
        </w:rPr>
      </w:pPr>
      <w:r w:rsidRPr="004C51E2">
        <w:rPr>
          <w:sz w:val="24"/>
          <w:szCs w:val="24"/>
        </w:rPr>
        <w:t>L</w:t>
      </w:r>
      <w:r w:rsidR="0030641E" w:rsidRPr="004C51E2">
        <w:rPr>
          <w:sz w:val="24"/>
          <w:szCs w:val="24"/>
        </w:rPr>
        <w:t xml:space="preserve">’intersyndicale CGT – UNSA – CFDT </w:t>
      </w:r>
      <w:r w:rsidR="00532419" w:rsidRPr="004C51E2">
        <w:rPr>
          <w:sz w:val="24"/>
          <w:szCs w:val="24"/>
        </w:rPr>
        <w:t xml:space="preserve">a rencontré le Directeur général, le 10 avril dernier, au sujet du </w:t>
      </w:r>
      <w:r w:rsidR="0030641E" w:rsidRPr="004C51E2">
        <w:rPr>
          <w:sz w:val="24"/>
          <w:szCs w:val="24"/>
        </w:rPr>
        <w:t>nouveau statut du personnel</w:t>
      </w:r>
      <w:r w:rsidR="00532419" w:rsidRPr="004C51E2">
        <w:rPr>
          <w:sz w:val="24"/>
          <w:szCs w:val="24"/>
        </w:rPr>
        <w:t>. Cette réunion a permis de débloquer plusieurs situations, même si plusieurs points restent encore à définir.</w:t>
      </w:r>
    </w:p>
    <w:p w:rsidR="0030641E" w:rsidRPr="004C51E2" w:rsidRDefault="0030641E" w:rsidP="007C5B43">
      <w:pPr>
        <w:jc w:val="both"/>
        <w:rPr>
          <w:sz w:val="24"/>
          <w:szCs w:val="24"/>
        </w:rPr>
      </w:pPr>
    </w:p>
    <w:p w:rsidR="0030641E" w:rsidRPr="004C51E2" w:rsidRDefault="0030641E" w:rsidP="0030641E">
      <w:pPr>
        <w:jc w:val="both"/>
        <w:rPr>
          <w:b/>
          <w:bCs/>
          <w:sz w:val="24"/>
          <w:szCs w:val="24"/>
          <w:u w:val="single"/>
        </w:rPr>
      </w:pPr>
      <w:r w:rsidRPr="004C51E2">
        <w:rPr>
          <w:b/>
          <w:bCs/>
          <w:sz w:val="24"/>
          <w:szCs w:val="24"/>
          <w:u w:val="single"/>
        </w:rPr>
        <w:t>Sur la date d’application du nouveau statut</w:t>
      </w:r>
    </w:p>
    <w:p w:rsidR="0030641E" w:rsidRPr="004C51E2" w:rsidRDefault="0030641E" w:rsidP="0030641E">
      <w:pPr>
        <w:jc w:val="both"/>
        <w:rPr>
          <w:b/>
          <w:bCs/>
          <w:sz w:val="24"/>
          <w:szCs w:val="24"/>
          <w:u w:val="single"/>
        </w:rPr>
      </w:pPr>
    </w:p>
    <w:p w:rsidR="0030641E" w:rsidRPr="004C51E2" w:rsidRDefault="0030641E" w:rsidP="0030641E">
      <w:pPr>
        <w:jc w:val="both"/>
        <w:rPr>
          <w:bCs/>
          <w:sz w:val="24"/>
          <w:szCs w:val="24"/>
        </w:rPr>
      </w:pPr>
      <w:r w:rsidRPr="004C51E2">
        <w:rPr>
          <w:bCs/>
          <w:sz w:val="24"/>
          <w:szCs w:val="24"/>
        </w:rPr>
        <w:t>Sauf évolution récente, le dossier est toujours à l’étude au sein du guichet unique. En cas de déblocage, le CTEP sera consulté le 23 mai prochain sur le ou les projets de décret et l’ensemble des textes établis dont le cadre d’emplois et de rémunération, et le CA le 13 juin prochain</w:t>
      </w:r>
    </w:p>
    <w:p w:rsidR="0030641E" w:rsidRPr="004C51E2" w:rsidRDefault="0030641E" w:rsidP="0030641E">
      <w:pPr>
        <w:jc w:val="both"/>
        <w:rPr>
          <w:bCs/>
          <w:sz w:val="24"/>
          <w:szCs w:val="24"/>
        </w:rPr>
      </w:pPr>
    </w:p>
    <w:p w:rsidR="0030641E" w:rsidRPr="004C51E2" w:rsidRDefault="0030641E" w:rsidP="0030641E">
      <w:pPr>
        <w:jc w:val="both"/>
        <w:rPr>
          <w:b/>
          <w:bCs/>
          <w:sz w:val="24"/>
          <w:szCs w:val="24"/>
          <w:u w:val="single"/>
        </w:rPr>
      </w:pPr>
      <w:r w:rsidRPr="004C51E2">
        <w:rPr>
          <w:b/>
          <w:bCs/>
          <w:sz w:val="24"/>
          <w:szCs w:val="24"/>
          <w:u w:val="single"/>
        </w:rPr>
        <w:t>Sur l’</w:t>
      </w:r>
      <w:r w:rsidR="005315A2" w:rsidRPr="004C51E2">
        <w:rPr>
          <w:b/>
          <w:bCs/>
          <w:sz w:val="24"/>
          <w:szCs w:val="24"/>
          <w:u w:val="single"/>
        </w:rPr>
        <w:t xml:space="preserve">exercice du droit d’option </w:t>
      </w:r>
    </w:p>
    <w:p w:rsidR="00E65D5C" w:rsidRPr="004C51E2" w:rsidRDefault="00E65D5C" w:rsidP="0030641E">
      <w:pPr>
        <w:jc w:val="both"/>
        <w:rPr>
          <w:bCs/>
          <w:sz w:val="24"/>
          <w:szCs w:val="24"/>
        </w:rPr>
      </w:pPr>
    </w:p>
    <w:p w:rsidR="00E65D5C" w:rsidRPr="004C51E2" w:rsidRDefault="00E65D5C" w:rsidP="00E65D5C">
      <w:pPr>
        <w:jc w:val="both"/>
        <w:rPr>
          <w:sz w:val="24"/>
          <w:szCs w:val="24"/>
        </w:rPr>
      </w:pPr>
      <w:r w:rsidRPr="004C51E2">
        <w:rPr>
          <w:sz w:val="24"/>
          <w:szCs w:val="24"/>
        </w:rPr>
        <w:t>Chaque agent recevra une lettre recommandée avec un formulaire pour l’exercice de son droit d’option, en principe à partir du 15 juin 2019 (si application du nouveau statut au 1</w:t>
      </w:r>
      <w:r w:rsidRPr="004C51E2">
        <w:rPr>
          <w:sz w:val="24"/>
          <w:szCs w:val="24"/>
          <w:vertAlign w:val="superscript"/>
        </w:rPr>
        <w:t>er</w:t>
      </w:r>
      <w:r w:rsidRPr="004C51E2">
        <w:rPr>
          <w:sz w:val="24"/>
          <w:szCs w:val="24"/>
        </w:rPr>
        <w:t xml:space="preserve"> juillet 2019). </w:t>
      </w:r>
    </w:p>
    <w:p w:rsidR="00E764C2" w:rsidRPr="004C51E2" w:rsidRDefault="00E764C2" w:rsidP="00E65D5C">
      <w:pPr>
        <w:jc w:val="both"/>
        <w:rPr>
          <w:sz w:val="24"/>
          <w:szCs w:val="24"/>
        </w:rPr>
      </w:pPr>
    </w:p>
    <w:p w:rsidR="00E764C2" w:rsidRPr="004C51E2" w:rsidRDefault="003C503B" w:rsidP="003C503B">
      <w:pPr>
        <w:jc w:val="both"/>
        <w:rPr>
          <w:sz w:val="24"/>
          <w:szCs w:val="24"/>
        </w:rPr>
      </w:pPr>
      <w:r w:rsidRPr="004C51E2">
        <w:rPr>
          <w:sz w:val="24"/>
          <w:szCs w:val="24"/>
        </w:rPr>
        <w:t xml:space="preserve">L’entrée dans le nouveau statut fera l’objet d’un nouveau contrat. </w:t>
      </w:r>
      <w:r w:rsidR="00E764C2" w:rsidRPr="004C51E2">
        <w:rPr>
          <w:sz w:val="24"/>
          <w:szCs w:val="24"/>
        </w:rPr>
        <w:t>Il est à noter que le reclassement ne pourra être opéré sans la signature de ce nouveau contrat.</w:t>
      </w:r>
    </w:p>
    <w:p w:rsidR="00E764C2" w:rsidRPr="004C51E2" w:rsidRDefault="00E764C2" w:rsidP="003C503B">
      <w:pPr>
        <w:jc w:val="both"/>
        <w:rPr>
          <w:sz w:val="24"/>
          <w:szCs w:val="24"/>
        </w:rPr>
      </w:pPr>
    </w:p>
    <w:p w:rsidR="00E764C2" w:rsidRPr="004C51E2" w:rsidRDefault="00E764C2" w:rsidP="00E764C2">
      <w:pPr>
        <w:jc w:val="both"/>
        <w:rPr>
          <w:sz w:val="24"/>
          <w:szCs w:val="24"/>
        </w:rPr>
      </w:pPr>
      <w:r w:rsidRPr="004C51E2">
        <w:rPr>
          <w:sz w:val="24"/>
          <w:szCs w:val="24"/>
        </w:rPr>
        <w:t>Suite à notre demande, nos organisations syndicales seront consultées au préalable sur le formulaire de droit d’option et le ou les modèles de contrat qui seront établis.</w:t>
      </w:r>
    </w:p>
    <w:p w:rsidR="00E764C2" w:rsidRPr="004C51E2" w:rsidRDefault="00E764C2" w:rsidP="003C503B">
      <w:pPr>
        <w:jc w:val="both"/>
        <w:rPr>
          <w:sz w:val="24"/>
          <w:szCs w:val="24"/>
        </w:rPr>
      </w:pPr>
    </w:p>
    <w:p w:rsidR="008E65B9" w:rsidRPr="004C51E2" w:rsidRDefault="008E65B9" w:rsidP="008E65B9">
      <w:pPr>
        <w:jc w:val="both"/>
        <w:rPr>
          <w:sz w:val="24"/>
          <w:szCs w:val="24"/>
        </w:rPr>
      </w:pPr>
      <w:r w:rsidRPr="004C51E2">
        <w:rPr>
          <w:sz w:val="24"/>
          <w:szCs w:val="24"/>
        </w:rPr>
        <w:t>Dans le cadre de l’exercice de ce droit d’option, chaque agent pourra demander une entrevue auprès des RH.</w:t>
      </w:r>
    </w:p>
    <w:p w:rsidR="005315A2" w:rsidRPr="004C51E2" w:rsidRDefault="005315A2" w:rsidP="008E65B9">
      <w:pPr>
        <w:jc w:val="both"/>
        <w:rPr>
          <w:sz w:val="24"/>
          <w:szCs w:val="24"/>
        </w:rPr>
      </w:pPr>
    </w:p>
    <w:p w:rsidR="005315A2" w:rsidRPr="004C51E2" w:rsidRDefault="005315A2" w:rsidP="008E65B9">
      <w:pPr>
        <w:jc w:val="both"/>
        <w:rPr>
          <w:sz w:val="24"/>
          <w:szCs w:val="24"/>
        </w:rPr>
      </w:pPr>
      <w:r w:rsidRPr="004C51E2">
        <w:rPr>
          <w:sz w:val="24"/>
          <w:szCs w:val="24"/>
        </w:rPr>
        <w:t>En cas de demande de maintien dans l’ancien statut, les procédures de promotion (changements de catégories d’emplois avec ou hors mobilité et avancements accélérés) seront maintenues.</w:t>
      </w:r>
      <w:r w:rsidR="00A337D0" w:rsidRPr="004C51E2">
        <w:rPr>
          <w:sz w:val="24"/>
          <w:szCs w:val="24"/>
        </w:rPr>
        <w:t xml:space="preserve"> </w:t>
      </w:r>
    </w:p>
    <w:p w:rsidR="007776BC" w:rsidRPr="004C51E2" w:rsidRDefault="007776BC" w:rsidP="008E65B9">
      <w:pPr>
        <w:jc w:val="both"/>
        <w:rPr>
          <w:b/>
          <w:color w:val="FF0000"/>
          <w:sz w:val="24"/>
          <w:szCs w:val="24"/>
        </w:rPr>
      </w:pPr>
    </w:p>
    <w:p w:rsidR="00082BF7" w:rsidRPr="004C51E2" w:rsidRDefault="006B3192" w:rsidP="00082BF7">
      <w:pPr>
        <w:jc w:val="both"/>
        <w:rPr>
          <w:b/>
          <w:sz w:val="24"/>
          <w:szCs w:val="24"/>
          <w:u w:val="single"/>
        </w:rPr>
      </w:pPr>
      <w:r w:rsidRPr="004C51E2">
        <w:rPr>
          <w:b/>
          <w:sz w:val="24"/>
          <w:szCs w:val="24"/>
          <w:u w:val="single"/>
        </w:rPr>
        <w:t>R</w:t>
      </w:r>
      <w:r w:rsidR="008E65B9" w:rsidRPr="004C51E2">
        <w:rPr>
          <w:b/>
          <w:sz w:val="24"/>
          <w:szCs w:val="24"/>
          <w:u w:val="single"/>
        </w:rPr>
        <w:t xml:space="preserve">eclassements </w:t>
      </w:r>
      <w:r w:rsidRPr="004C51E2">
        <w:rPr>
          <w:b/>
          <w:sz w:val="24"/>
          <w:szCs w:val="24"/>
          <w:u w:val="single"/>
        </w:rPr>
        <w:t>opérés lors du changement de</w:t>
      </w:r>
      <w:r w:rsidR="008E65B9" w:rsidRPr="004C51E2">
        <w:rPr>
          <w:b/>
          <w:sz w:val="24"/>
          <w:szCs w:val="24"/>
          <w:u w:val="single"/>
        </w:rPr>
        <w:t xml:space="preserve"> statut</w:t>
      </w:r>
      <w:r w:rsidR="00082BF7" w:rsidRPr="004C51E2">
        <w:rPr>
          <w:b/>
          <w:sz w:val="24"/>
          <w:szCs w:val="24"/>
          <w:u w:val="single"/>
        </w:rPr>
        <w:t xml:space="preserve"> et repositionnements catégoriels opérés après le changement de statut</w:t>
      </w:r>
    </w:p>
    <w:p w:rsidR="008E65B9" w:rsidRPr="004C51E2" w:rsidRDefault="008E65B9" w:rsidP="008E65B9">
      <w:pPr>
        <w:jc w:val="both"/>
        <w:rPr>
          <w:b/>
          <w:sz w:val="24"/>
          <w:szCs w:val="24"/>
          <w:u w:val="single"/>
        </w:rPr>
      </w:pPr>
    </w:p>
    <w:p w:rsidR="00082BF7" w:rsidRPr="004C51E2" w:rsidRDefault="008E65B9" w:rsidP="008E65B9">
      <w:pPr>
        <w:jc w:val="both"/>
        <w:rPr>
          <w:sz w:val="24"/>
          <w:szCs w:val="24"/>
        </w:rPr>
      </w:pPr>
      <w:r w:rsidRPr="004C51E2">
        <w:rPr>
          <w:sz w:val="24"/>
          <w:szCs w:val="24"/>
        </w:rPr>
        <w:t>La quasi-totalité des collaborateurs sera reclassé</w:t>
      </w:r>
      <w:r w:rsidR="006B3192" w:rsidRPr="004C51E2">
        <w:rPr>
          <w:sz w:val="24"/>
          <w:szCs w:val="24"/>
        </w:rPr>
        <w:t>e</w:t>
      </w:r>
      <w:r w:rsidRPr="004C51E2">
        <w:rPr>
          <w:sz w:val="24"/>
          <w:szCs w:val="24"/>
        </w:rPr>
        <w:t xml:space="preserve"> de façon automatique</w:t>
      </w:r>
      <w:r w:rsidR="00F8488C" w:rsidRPr="004C51E2">
        <w:rPr>
          <w:sz w:val="24"/>
          <w:szCs w:val="24"/>
        </w:rPr>
        <w:t>, c’est-à-dire en fonction de sa catégorie d’emplois d’origine (par exemple un assistant sera reclassé B I et un cadre principal A II).</w:t>
      </w:r>
    </w:p>
    <w:p w:rsidR="009B659C" w:rsidRPr="004C51E2" w:rsidRDefault="009B659C" w:rsidP="00735053">
      <w:pPr>
        <w:jc w:val="both"/>
        <w:rPr>
          <w:sz w:val="24"/>
          <w:szCs w:val="24"/>
        </w:rPr>
      </w:pPr>
    </w:p>
    <w:p w:rsidR="005315A2" w:rsidRPr="004C51E2" w:rsidRDefault="00082BF7" w:rsidP="00735053">
      <w:pPr>
        <w:jc w:val="both"/>
        <w:rPr>
          <w:sz w:val="24"/>
          <w:szCs w:val="24"/>
        </w:rPr>
      </w:pPr>
      <w:r w:rsidRPr="004C51E2">
        <w:rPr>
          <w:sz w:val="24"/>
          <w:szCs w:val="24"/>
        </w:rPr>
        <w:t>Nos organisations syndicales</w:t>
      </w:r>
      <w:r w:rsidR="00D66B9F" w:rsidRPr="004C51E2">
        <w:rPr>
          <w:sz w:val="24"/>
          <w:szCs w:val="24"/>
        </w:rPr>
        <w:t xml:space="preserve"> ont obtenu que l</w:t>
      </w:r>
      <w:r w:rsidR="003C5F78" w:rsidRPr="004C51E2">
        <w:rPr>
          <w:sz w:val="24"/>
          <w:szCs w:val="24"/>
        </w:rPr>
        <w:t>a c</w:t>
      </w:r>
      <w:r w:rsidR="00735053" w:rsidRPr="004C51E2">
        <w:rPr>
          <w:sz w:val="24"/>
          <w:szCs w:val="24"/>
        </w:rPr>
        <w:t>atégorisation de</w:t>
      </w:r>
      <w:r w:rsidR="003C5F78" w:rsidRPr="004C51E2">
        <w:rPr>
          <w:sz w:val="24"/>
          <w:szCs w:val="24"/>
        </w:rPr>
        <w:t xml:space="preserve"> tous les </w:t>
      </w:r>
      <w:r w:rsidR="00735053" w:rsidRPr="004C51E2">
        <w:rPr>
          <w:sz w:val="24"/>
          <w:szCs w:val="24"/>
        </w:rPr>
        <w:t xml:space="preserve">postes (pesée) </w:t>
      </w:r>
      <w:r w:rsidR="00D66B9F" w:rsidRPr="004C51E2">
        <w:rPr>
          <w:sz w:val="24"/>
          <w:szCs w:val="24"/>
        </w:rPr>
        <w:t>soit</w:t>
      </w:r>
      <w:r w:rsidR="003C5F78" w:rsidRPr="004C51E2">
        <w:rPr>
          <w:sz w:val="24"/>
          <w:szCs w:val="24"/>
        </w:rPr>
        <w:t xml:space="preserve"> opérée </w:t>
      </w:r>
      <w:r w:rsidR="00735053" w:rsidRPr="004C51E2">
        <w:rPr>
          <w:sz w:val="24"/>
          <w:szCs w:val="24"/>
        </w:rPr>
        <w:t>au cours du second semestre 2019</w:t>
      </w:r>
      <w:r w:rsidR="00FB439E" w:rsidRPr="004C51E2">
        <w:rPr>
          <w:sz w:val="24"/>
          <w:szCs w:val="24"/>
        </w:rPr>
        <w:t xml:space="preserve">. En cas de repositionnements catégoriels à effectuer, une procédure ad ’hoc sera </w:t>
      </w:r>
      <w:r w:rsidR="005315A2" w:rsidRPr="004C51E2">
        <w:rPr>
          <w:sz w:val="24"/>
          <w:szCs w:val="24"/>
        </w:rPr>
        <w:t>appliquée pour les agents concernés, au premier semestre 2020.</w:t>
      </w:r>
    </w:p>
    <w:p w:rsidR="005315A2" w:rsidRPr="004C51E2" w:rsidRDefault="005315A2" w:rsidP="00735053">
      <w:pPr>
        <w:jc w:val="both"/>
        <w:rPr>
          <w:sz w:val="24"/>
          <w:szCs w:val="24"/>
        </w:rPr>
      </w:pPr>
    </w:p>
    <w:p w:rsidR="005315A2" w:rsidRPr="004C51E2" w:rsidRDefault="005315A2" w:rsidP="00735053">
      <w:pPr>
        <w:jc w:val="both"/>
        <w:rPr>
          <w:sz w:val="24"/>
          <w:szCs w:val="24"/>
        </w:rPr>
      </w:pPr>
      <w:r w:rsidRPr="004C51E2">
        <w:rPr>
          <w:sz w:val="24"/>
          <w:szCs w:val="24"/>
        </w:rPr>
        <w:t xml:space="preserve">Nos organisations syndicales demandent à être consultées sur la pesée des postes, sur la procédure de repositionnement catégoriel qui sera mise en place, et bien entendu sur les repositionnements catégoriels qui seront à réaliser, avant la tenue de chaque </w:t>
      </w:r>
      <w:r w:rsidR="002A3C98" w:rsidRPr="004C51E2">
        <w:rPr>
          <w:sz w:val="24"/>
          <w:szCs w:val="24"/>
        </w:rPr>
        <w:t xml:space="preserve">Commission consultative paritaire (CCP) </w:t>
      </w:r>
      <w:r w:rsidRPr="004C51E2">
        <w:rPr>
          <w:sz w:val="24"/>
          <w:szCs w:val="24"/>
        </w:rPr>
        <w:t xml:space="preserve"> correspondante.</w:t>
      </w:r>
    </w:p>
    <w:p w:rsidR="008E65B9" w:rsidRPr="004C51E2" w:rsidRDefault="008E65B9" w:rsidP="008E65B9">
      <w:pPr>
        <w:jc w:val="both"/>
        <w:rPr>
          <w:sz w:val="24"/>
          <w:szCs w:val="24"/>
        </w:rPr>
      </w:pPr>
    </w:p>
    <w:p w:rsidR="005315A2" w:rsidRPr="004C51E2" w:rsidRDefault="005315A2" w:rsidP="008E65B9">
      <w:pPr>
        <w:jc w:val="both"/>
        <w:rPr>
          <w:b/>
          <w:sz w:val="24"/>
          <w:szCs w:val="24"/>
          <w:u w:val="single"/>
        </w:rPr>
      </w:pPr>
      <w:r w:rsidRPr="004C51E2">
        <w:rPr>
          <w:b/>
          <w:sz w:val="24"/>
          <w:szCs w:val="24"/>
          <w:u w:val="single"/>
        </w:rPr>
        <w:t>Sur les augmentations personnalisées (AP)</w:t>
      </w:r>
      <w:r w:rsidR="00273F97" w:rsidRPr="004C51E2">
        <w:rPr>
          <w:b/>
          <w:sz w:val="24"/>
          <w:szCs w:val="24"/>
          <w:u w:val="single"/>
        </w:rPr>
        <w:t xml:space="preserve"> des catégories A</w:t>
      </w:r>
    </w:p>
    <w:p w:rsidR="00EF35EF" w:rsidRPr="004C51E2" w:rsidRDefault="00EF35EF" w:rsidP="008E65B9">
      <w:pPr>
        <w:jc w:val="both"/>
        <w:rPr>
          <w:sz w:val="24"/>
          <w:szCs w:val="24"/>
        </w:rPr>
      </w:pPr>
    </w:p>
    <w:p w:rsidR="007C524A" w:rsidRPr="004C51E2" w:rsidRDefault="00C6557C" w:rsidP="00EF35EF">
      <w:pPr>
        <w:jc w:val="both"/>
        <w:rPr>
          <w:sz w:val="24"/>
          <w:szCs w:val="24"/>
        </w:rPr>
      </w:pPr>
      <w:r w:rsidRPr="004C51E2">
        <w:rPr>
          <w:sz w:val="24"/>
          <w:szCs w:val="24"/>
        </w:rPr>
        <w:t>Nos organisations syndicales ont demandé la suppression de la non attribution possible d’AP. Face au refus catégorique de la Direction générale, nous avons toutefois obtenu que toutes l</w:t>
      </w:r>
      <w:r w:rsidR="00EF35EF" w:rsidRPr="004C51E2">
        <w:rPr>
          <w:sz w:val="24"/>
          <w:szCs w:val="24"/>
        </w:rPr>
        <w:t xml:space="preserve">es décisions de non attribution des AP </w:t>
      </w:r>
      <w:r w:rsidRPr="004C51E2">
        <w:rPr>
          <w:sz w:val="24"/>
          <w:szCs w:val="24"/>
        </w:rPr>
        <w:t xml:space="preserve">soient motivées et </w:t>
      </w:r>
      <w:r w:rsidR="00EF35EF" w:rsidRPr="004C51E2">
        <w:rPr>
          <w:sz w:val="24"/>
          <w:szCs w:val="24"/>
        </w:rPr>
        <w:t xml:space="preserve">transmises aux </w:t>
      </w:r>
      <w:r w:rsidRPr="004C51E2">
        <w:rPr>
          <w:sz w:val="24"/>
          <w:szCs w:val="24"/>
        </w:rPr>
        <w:t>CCP compétentes</w:t>
      </w:r>
      <w:r w:rsidR="009B659C" w:rsidRPr="004C51E2">
        <w:rPr>
          <w:sz w:val="24"/>
          <w:szCs w:val="24"/>
        </w:rPr>
        <w:t xml:space="preserve">, avec l’ensemble des éléments d’appréciation portant sur </w:t>
      </w:r>
      <w:r w:rsidR="00895F8B" w:rsidRPr="004C51E2">
        <w:rPr>
          <w:sz w:val="24"/>
          <w:szCs w:val="24"/>
        </w:rPr>
        <w:t>chaque</w:t>
      </w:r>
      <w:r w:rsidR="009B659C" w:rsidRPr="004C51E2">
        <w:rPr>
          <w:sz w:val="24"/>
          <w:szCs w:val="24"/>
        </w:rPr>
        <w:t xml:space="preserve"> situation</w:t>
      </w:r>
      <w:r w:rsidR="002A3C98" w:rsidRPr="004C51E2">
        <w:rPr>
          <w:sz w:val="24"/>
          <w:szCs w:val="24"/>
        </w:rPr>
        <w:t xml:space="preserve">. </w:t>
      </w:r>
    </w:p>
    <w:p w:rsidR="009B659C" w:rsidRPr="004C51E2" w:rsidRDefault="009B659C" w:rsidP="00EF35EF">
      <w:pPr>
        <w:jc w:val="both"/>
        <w:rPr>
          <w:sz w:val="24"/>
          <w:szCs w:val="24"/>
        </w:rPr>
      </w:pPr>
    </w:p>
    <w:p w:rsidR="009B659C" w:rsidRPr="004C51E2" w:rsidRDefault="009B659C" w:rsidP="009B659C">
      <w:pPr>
        <w:jc w:val="both"/>
        <w:rPr>
          <w:sz w:val="24"/>
          <w:szCs w:val="24"/>
        </w:rPr>
      </w:pPr>
      <w:r w:rsidRPr="004C51E2">
        <w:rPr>
          <w:sz w:val="24"/>
          <w:szCs w:val="24"/>
        </w:rPr>
        <w:t xml:space="preserve">En cas de non attribution d’une AP, nos organisations syndicales demandent également que </w:t>
      </w:r>
      <w:r w:rsidR="00895F8B" w:rsidRPr="004C51E2">
        <w:rPr>
          <w:sz w:val="24"/>
          <w:szCs w:val="24"/>
        </w:rPr>
        <w:t xml:space="preserve">l’agent </w:t>
      </w:r>
      <w:r w:rsidRPr="004C51E2">
        <w:rPr>
          <w:sz w:val="24"/>
          <w:szCs w:val="24"/>
        </w:rPr>
        <w:t>ait connaissance de la décision motivée</w:t>
      </w:r>
      <w:r w:rsidR="00895F8B" w:rsidRPr="004C51E2">
        <w:rPr>
          <w:sz w:val="24"/>
          <w:szCs w:val="24"/>
        </w:rPr>
        <w:t xml:space="preserve"> le concernant</w:t>
      </w:r>
      <w:r w:rsidRPr="004C51E2">
        <w:rPr>
          <w:sz w:val="24"/>
          <w:szCs w:val="24"/>
        </w:rPr>
        <w:t>, avant un entretien préalable avec son manager</w:t>
      </w:r>
      <w:r w:rsidR="00F92CD9" w:rsidRPr="004C51E2">
        <w:rPr>
          <w:sz w:val="24"/>
          <w:szCs w:val="24"/>
        </w:rPr>
        <w:t>,</w:t>
      </w:r>
      <w:r w:rsidRPr="004C51E2">
        <w:rPr>
          <w:sz w:val="24"/>
          <w:szCs w:val="24"/>
        </w:rPr>
        <w:t xml:space="preserve"> au cours duquel il pourra demander à être assisté d’un représentant du personnel de son choix.</w:t>
      </w:r>
    </w:p>
    <w:p w:rsidR="009B659C" w:rsidRPr="004C51E2" w:rsidRDefault="009B659C" w:rsidP="009B659C">
      <w:pPr>
        <w:jc w:val="both"/>
        <w:rPr>
          <w:sz w:val="24"/>
          <w:szCs w:val="24"/>
        </w:rPr>
      </w:pPr>
    </w:p>
    <w:p w:rsidR="009B659C" w:rsidRPr="004C51E2" w:rsidRDefault="009B659C" w:rsidP="009B659C">
      <w:pPr>
        <w:jc w:val="both"/>
        <w:rPr>
          <w:sz w:val="24"/>
          <w:szCs w:val="24"/>
        </w:rPr>
      </w:pPr>
      <w:r w:rsidRPr="004C51E2">
        <w:rPr>
          <w:sz w:val="24"/>
          <w:szCs w:val="24"/>
        </w:rPr>
        <w:t>Nos organisations syndicales insistent sur le fait que la non attribution d’une AP a des conséquences pécuniaires lourdes, puisque celle-ci se répercutera sur l’ensemble de la carrière d’un agent, par exemple une perte de 3.360 euros sur 5 ans. Conformément au Code des relations entre le public et l'administration, un agent peut obtenir la communication de tous les documents produits par l’administration à son sujet.</w:t>
      </w:r>
    </w:p>
    <w:p w:rsidR="009B659C" w:rsidRPr="004C51E2" w:rsidRDefault="009B659C" w:rsidP="00EF35EF">
      <w:pPr>
        <w:jc w:val="both"/>
        <w:rPr>
          <w:sz w:val="24"/>
          <w:szCs w:val="24"/>
        </w:rPr>
      </w:pPr>
    </w:p>
    <w:p w:rsidR="005315A2" w:rsidRPr="004C51E2" w:rsidRDefault="00273F97" w:rsidP="008E65B9">
      <w:pPr>
        <w:jc w:val="both"/>
        <w:rPr>
          <w:b/>
          <w:sz w:val="24"/>
          <w:szCs w:val="24"/>
          <w:u w:val="single"/>
        </w:rPr>
      </w:pPr>
      <w:r w:rsidRPr="004C51E2">
        <w:rPr>
          <w:b/>
          <w:sz w:val="24"/>
          <w:szCs w:val="24"/>
          <w:u w:val="single"/>
        </w:rPr>
        <w:t>Sur les bonifications et les primes d’ancienneté des catégories C et B</w:t>
      </w:r>
    </w:p>
    <w:p w:rsidR="00273F97" w:rsidRPr="004C51E2" w:rsidRDefault="00273F97" w:rsidP="008E65B9">
      <w:pPr>
        <w:jc w:val="both"/>
        <w:rPr>
          <w:sz w:val="24"/>
          <w:szCs w:val="24"/>
        </w:rPr>
      </w:pPr>
    </w:p>
    <w:p w:rsidR="00273F97" w:rsidRPr="004C51E2" w:rsidRDefault="002A3C98" w:rsidP="008E65B9">
      <w:pPr>
        <w:jc w:val="both"/>
        <w:rPr>
          <w:sz w:val="24"/>
          <w:szCs w:val="24"/>
        </w:rPr>
      </w:pPr>
      <w:r w:rsidRPr="004C51E2">
        <w:rPr>
          <w:sz w:val="24"/>
          <w:szCs w:val="24"/>
        </w:rPr>
        <w:t>Nos organisations syndicales ont obtenu que l</w:t>
      </w:r>
      <w:r w:rsidR="00273F97" w:rsidRPr="004C51E2">
        <w:rPr>
          <w:sz w:val="24"/>
          <w:szCs w:val="24"/>
        </w:rPr>
        <w:t>es bonifications so</w:t>
      </w:r>
      <w:r w:rsidRPr="004C51E2">
        <w:rPr>
          <w:sz w:val="24"/>
          <w:szCs w:val="24"/>
        </w:rPr>
        <w:t>ie</w:t>
      </w:r>
      <w:r w:rsidR="00273F97" w:rsidRPr="004C51E2">
        <w:rPr>
          <w:sz w:val="24"/>
          <w:szCs w:val="24"/>
        </w:rPr>
        <w:t>nt revalorisées à 200 € bruts au lieu de 160 €.</w:t>
      </w:r>
    </w:p>
    <w:p w:rsidR="00273F97" w:rsidRPr="004C51E2" w:rsidRDefault="00273F97" w:rsidP="008E65B9">
      <w:pPr>
        <w:jc w:val="both"/>
        <w:rPr>
          <w:sz w:val="24"/>
          <w:szCs w:val="24"/>
        </w:rPr>
      </w:pPr>
    </w:p>
    <w:p w:rsidR="005976E6" w:rsidRPr="004C51E2" w:rsidRDefault="00273F97" w:rsidP="008E65B9">
      <w:pPr>
        <w:jc w:val="both"/>
        <w:rPr>
          <w:sz w:val="24"/>
          <w:szCs w:val="24"/>
        </w:rPr>
      </w:pPr>
      <w:r w:rsidRPr="004C51E2">
        <w:rPr>
          <w:sz w:val="24"/>
          <w:szCs w:val="24"/>
        </w:rPr>
        <w:t xml:space="preserve">Les paliers des primes d’ancienneté seront revus afin qu’un maximum d’agents puissent en bénéficier. </w:t>
      </w:r>
      <w:r w:rsidR="005976E6" w:rsidRPr="004C51E2">
        <w:rPr>
          <w:sz w:val="24"/>
          <w:szCs w:val="24"/>
        </w:rPr>
        <w:t xml:space="preserve">Pour éviter toute différence de traitement, </w:t>
      </w:r>
      <w:r w:rsidR="002A3C98" w:rsidRPr="004C51E2">
        <w:rPr>
          <w:sz w:val="24"/>
          <w:szCs w:val="24"/>
        </w:rPr>
        <w:t xml:space="preserve">nos organisations syndicales ont attiré </w:t>
      </w:r>
      <w:r w:rsidR="005976E6" w:rsidRPr="004C51E2">
        <w:rPr>
          <w:sz w:val="24"/>
          <w:szCs w:val="24"/>
        </w:rPr>
        <w:t>l’attention sur les agents, ayant une grande ancienneté de service</w:t>
      </w:r>
      <w:r w:rsidR="002A3C98" w:rsidRPr="004C51E2">
        <w:rPr>
          <w:sz w:val="24"/>
          <w:szCs w:val="24"/>
        </w:rPr>
        <w:t>,</w:t>
      </w:r>
      <w:r w:rsidR="005976E6" w:rsidRPr="004C51E2">
        <w:rPr>
          <w:sz w:val="24"/>
          <w:szCs w:val="24"/>
        </w:rPr>
        <w:t xml:space="preserve"> et </w:t>
      </w:r>
      <w:r w:rsidR="002A3C98" w:rsidRPr="004C51E2">
        <w:rPr>
          <w:sz w:val="24"/>
          <w:szCs w:val="24"/>
        </w:rPr>
        <w:t>pouvant ne pas bénéficier d’un tel dispositif.</w:t>
      </w:r>
    </w:p>
    <w:p w:rsidR="005976E6" w:rsidRPr="004C51E2" w:rsidRDefault="005976E6" w:rsidP="008E65B9">
      <w:pPr>
        <w:jc w:val="both"/>
        <w:rPr>
          <w:sz w:val="24"/>
          <w:szCs w:val="24"/>
        </w:rPr>
      </w:pPr>
    </w:p>
    <w:p w:rsidR="00E43469" w:rsidRPr="004C51E2" w:rsidRDefault="00E43469" w:rsidP="008E65B9">
      <w:pPr>
        <w:jc w:val="both"/>
        <w:rPr>
          <w:b/>
          <w:sz w:val="24"/>
          <w:szCs w:val="24"/>
          <w:u w:val="single"/>
        </w:rPr>
      </w:pPr>
      <w:r w:rsidRPr="004C51E2">
        <w:rPr>
          <w:b/>
          <w:sz w:val="24"/>
          <w:szCs w:val="24"/>
          <w:u w:val="single"/>
        </w:rPr>
        <w:t>Sur les règles de mobilité</w:t>
      </w:r>
      <w:r w:rsidR="002C3297" w:rsidRPr="004C51E2">
        <w:rPr>
          <w:b/>
          <w:sz w:val="24"/>
          <w:szCs w:val="24"/>
          <w:u w:val="single"/>
        </w:rPr>
        <w:t xml:space="preserve"> et les promotions de carrière</w:t>
      </w:r>
    </w:p>
    <w:p w:rsidR="00E43469" w:rsidRPr="004C51E2" w:rsidRDefault="00E43469" w:rsidP="008E65B9">
      <w:pPr>
        <w:jc w:val="both"/>
        <w:rPr>
          <w:sz w:val="24"/>
          <w:szCs w:val="24"/>
        </w:rPr>
      </w:pPr>
    </w:p>
    <w:p w:rsidR="00E43469" w:rsidRPr="004C51E2" w:rsidRDefault="00F8488C" w:rsidP="008E65B9">
      <w:pPr>
        <w:jc w:val="both"/>
        <w:rPr>
          <w:i/>
          <w:sz w:val="24"/>
          <w:szCs w:val="24"/>
        </w:rPr>
      </w:pPr>
      <w:r w:rsidRPr="004C51E2">
        <w:rPr>
          <w:sz w:val="24"/>
          <w:szCs w:val="24"/>
        </w:rPr>
        <w:t>N</w:t>
      </w:r>
      <w:r w:rsidR="009412C2" w:rsidRPr="004C51E2">
        <w:rPr>
          <w:sz w:val="24"/>
          <w:szCs w:val="24"/>
        </w:rPr>
        <w:t xml:space="preserve">os organisations syndicales ont obtenu la suppression </w:t>
      </w:r>
      <w:r w:rsidRPr="004C51E2">
        <w:rPr>
          <w:sz w:val="24"/>
          <w:szCs w:val="24"/>
        </w:rPr>
        <w:t xml:space="preserve">dans le projet de cadre d’emploi et de rémunération </w:t>
      </w:r>
      <w:r w:rsidR="009412C2" w:rsidRPr="004C51E2">
        <w:rPr>
          <w:sz w:val="24"/>
          <w:szCs w:val="24"/>
        </w:rPr>
        <w:t xml:space="preserve">de </w:t>
      </w:r>
      <w:r w:rsidRPr="004C51E2">
        <w:rPr>
          <w:sz w:val="24"/>
          <w:szCs w:val="24"/>
        </w:rPr>
        <w:t xml:space="preserve">toute référence à une mobilité professionnelle pouvant être contrainte par </w:t>
      </w:r>
      <w:r w:rsidR="009412C2" w:rsidRPr="004C51E2">
        <w:rPr>
          <w:sz w:val="24"/>
          <w:szCs w:val="24"/>
        </w:rPr>
        <w:t xml:space="preserve">la </w:t>
      </w:r>
      <w:r w:rsidRPr="004C51E2">
        <w:rPr>
          <w:sz w:val="24"/>
          <w:szCs w:val="24"/>
        </w:rPr>
        <w:t>Direction générale.</w:t>
      </w:r>
    </w:p>
    <w:p w:rsidR="002C3297" w:rsidRPr="004C51E2" w:rsidRDefault="002C3297" w:rsidP="008E65B9">
      <w:pPr>
        <w:jc w:val="both"/>
        <w:rPr>
          <w:i/>
          <w:sz w:val="24"/>
          <w:szCs w:val="24"/>
        </w:rPr>
      </w:pPr>
    </w:p>
    <w:p w:rsidR="002C3297" w:rsidRPr="004C51E2" w:rsidRDefault="002C3297" w:rsidP="008E65B9">
      <w:pPr>
        <w:jc w:val="both"/>
        <w:rPr>
          <w:sz w:val="24"/>
          <w:szCs w:val="24"/>
        </w:rPr>
      </w:pPr>
      <w:r w:rsidRPr="004C51E2">
        <w:rPr>
          <w:sz w:val="24"/>
          <w:szCs w:val="24"/>
        </w:rPr>
        <w:t xml:space="preserve">Les promotions de carrière (changements de position catégorielle) </w:t>
      </w:r>
      <w:r w:rsidR="00F8488C" w:rsidRPr="004C51E2">
        <w:rPr>
          <w:sz w:val="24"/>
          <w:szCs w:val="24"/>
        </w:rPr>
        <w:t xml:space="preserve">pourront être basées sur les acquis et l’expérience professionnelle et ne </w:t>
      </w:r>
      <w:r w:rsidRPr="004C51E2">
        <w:rPr>
          <w:sz w:val="24"/>
          <w:szCs w:val="24"/>
        </w:rPr>
        <w:t>s</w:t>
      </w:r>
      <w:r w:rsidR="002A3C98" w:rsidRPr="004C51E2">
        <w:rPr>
          <w:sz w:val="24"/>
          <w:szCs w:val="24"/>
        </w:rPr>
        <w:t>er</w:t>
      </w:r>
      <w:r w:rsidRPr="004C51E2">
        <w:rPr>
          <w:sz w:val="24"/>
          <w:szCs w:val="24"/>
        </w:rPr>
        <w:t>ont pas subordonnées uniquement à l’obtention de diplômes ou de certifications professionnelles</w:t>
      </w:r>
      <w:r w:rsidR="00F8488C" w:rsidRPr="004C51E2">
        <w:rPr>
          <w:sz w:val="24"/>
          <w:szCs w:val="24"/>
        </w:rPr>
        <w:t>.</w:t>
      </w:r>
    </w:p>
    <w:p w:rsidR="002C3297" w:rsidRPr="004C51E2" w:rsidRDefault="002C3297" w:rsidP="008E65B9">
      <w:pPr>
        <w:jc w:val="both"/>
        <w:rPr>
          <w:sz w:val="24"/>
          <w:szCs w:val="24"/>
        </w:rPr>
      </w:pPr>
    </w:p>
    <w:p w:rsidR="002C3297" w:rsidRPr="004C51E2" w:rsidRDefault="00026E2F" w:rsidP="008E65B9">
      <w:pPr>
        <w:jc w:val="both"/>
        <w:rPr>
          <w:b/>
          <w:sz w:val="24"/>
          <w:szCs w:val="24"/>
          <w:u w:val="single"/>
        </w:rPr>
      </w:pPr>
      <w:r w:rsidRPr="004C51E2">
        <w:rPr>
          <w:b/>
          <w:sz w:val="24"/>
          <w:szCs w:val="24"/>
          <w:u w:val="single"/>
        </w:rPr>
        <w:t>Autres points</w:t>
      </w:r>
    </w:p>
    <w:p w:rsidR="00026E2F" w:rsidRPr="004C51E2" w:rsidRDefault="00026E2F" w:rsidP="008E65B9">
      <w:pPr>
        <w:jc w:val="both"/>
        <w:rPr>
          <w:sz w:val="24"/>
          <w:szCs w:val="24"/>
        </w:rPr>
      </w:pPr>
    </w:p>
    <w:p w:rsidR="00026E2F" w:rsidRPr="004C51E2" w:rsidRDefault="00026E2F" w:rsidP="008E65B9">
      <w:pPr>
        <w:jc w:val="both"/>
        <w:rPr>
          <w:sz w:val="24"/>
          <w:szCs w:val="24"/>
        </w:rPr>
      </w:pPr>
      <w:r w:rsidRPr="004C51E2">
        <w:rPr>
          <w:sz w:val="24"/>
          <w:szCs w:val="24"/>
        </w:rPr>
        <w:t xml:space="preserve">Nos organisations syndicales demandent le versement de la </w:t>
      </w:r>
      <w:r w:rsidR="004C51E2" w:rsidRPr="004C51E2">
        <w:rPr>
          <w:sz w:val="24"/>
          <w:szCs w:val="24"/>
        </w:rPr>
        <w:t xml:space="preserve">future </w:t>
      </w:r>
      <w:r w:rsidRPr="004C51E2">
        <w:rPr>
          <w:sz w:val="24"/>
          <w:szCs w:val="24"/>
        </w:rPr>
        <w:t xml:space="preserve">prime de performance en deux parties (juin et décembre). Il est noté qu’en cas de départ </w:t>
      </w:r>
      <w:r w:rsidR="00921D3C" w:rsidRPr="004C51E2">
        <w:rPr>
          <w:sz w:val="24"/>
          <w:szCs w:val="24"/>
        </w:rPr>
        <w:t xml:space="preserve">de l’INPI </w:t>
      </w:r>
      <w:r w:rsidRPr="004C51E2">
        <w:rPr>
          <w:sz w:val="24"/>
          <w:szCs w:val="24"/>
        </w:rPr>
        <w:t xml:space="preserve">en cours d’année (démission, retraite, voire licenciement), il </w:t>
      </w:r>
      <w:r w:rsidR="002A3C98" w:rsidRPr="004C51E2">
        <w:rPr>
          <w:sz w:val="24"/>
          <w:szCs w:val="24"/>
        </w:rPr>
        <w:t>sera</w:t>
      </w:r>
      <w:r w:rsidRPr="004C51E2">
        <w:rPr>
          <w:sz w:val="24"/>
          <w:szCs w:val="24"/>
        </w:rPr>
        <w:t xml:space="preserve"> opéré un versement proratisé de cette prime de performance.</w:t>
      </w:r>
    </w:p>
    <w:p w:rsidR="00026E2F" w:rsidRPr="004C51E2" w:rsidRDefault="00026E2F" w:rsidP="008E65B9">
      <w:pPr>
        <w:jc w:val="both"/>
        <w:rPr>
          <w:sz w:val="24"/>
          <w:szCs w:val="24"/>
        </w:rPr>
      </w:pPr>
    </w:p>
    <w:p w:rsidR="00900DA7" w:rsidRPr="004C51E2" w:rsidRDefault="00900DA7" w:rsidP="002A3C98">
      <w:pPr>
        <w:jc w:val="both"/>
        <w:rPr>
          <w:b/>
          <w:sz w:val="24"/>
          <w:szCs w:val="24"/>
          <w:u w:val="single"/>
        </w:rPr>
      </w:pPr>
      <w:r w:rsidRPr="004C51E2">
        <w:rPr>
          <w:b/>
          <w:sz w:val="24"/>
          <w:szCs w:val="24"/>
          <w:u w:val="single"/>
        </w:rPr>
        <w:t xml:space="preserve">Suivi de l’application </w:t>
      </w:r>
      <w:r w:rsidR="009B659C" w:rsidRPr="004C51E2">
        <w:rPr>
          <w:b/>
          <w:sz w:val="24"/>
          <w:szCs w:val="24"/>
          <w:u w:val="single"/>
        </w:rPr>
        <w:t>du nouveau statut</w:t>
      </w:r>
    </w:p>
    <w:p w:rsidR="009B659C" w:rsidRPr="004C51E2" w:rsidRDefault="009B659C" w:rsidP="002A3C98">
      <w:pPr>
        <w:jc w:val="both"/>
        <w:rPr>
          <w:sz w:val="24"/>
          <w:szCs w:val="24"/>
        </w:rPr>
      </w:pPr>
    </w:p>
    <w:p w:rsidR="009B659C" w:rsidRPr="004C51E2" w:rsidRDefault="009B659C" w:rsidP="002A3C98">
      <w:pPr>
        <w:jc w:val="both"/>
        <w:rPr>
          <w:sz w:val="24"/>
          <w:szCs w:val="24"/>
        </w:rPr>
      </w:pPr>
      <w:r w:rsidRPr="004C51E2">
        <w:rPr>
          <w:sz w:val="24"/>
          <w:szCs w:val="24"/>
        </w:rPr>
        <w:t>Nos organisations syndicales demandent que le comité statut continue à se réunir de manière régulière, après l’entrée en vigueur du nouveau statut, de manière à pouvoir traiter de l’ensemble des questions pouvant se présenter. A cet effet, nous demandons la mise en place d’outils de contrôle, notamment sur l’attribution des AP et des bonifications.</w:t>
      </w:r>
    </w:p>
    <w:sectPr w:rsidR="009B659C" w:rsidRPr="004C51E2" w:rsidSect="00CB0FB7">
      <w:footerReference w:type="default" r:id="rId11"/>
      <w:pgSz w:w="11906" w:h="16838"/>
      <w:pgMar w:top="907" w:right="907" w:bottom="907" w:left="907" w:header="70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6D5" w:rsidRDefault="003A46D5" w:rsidP="00921D3C">
      <w:r>
        <w:separator/>
      </w:r>
    </w:p>
  </w:endnote>
  <w:endnote w:type="continuationSeparator" w:id="0">
    <w:p w:rsidR="003A46D5" w:rsidRDefault="003A46D5" w:rsidP="00921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355853"/>
      <w:docPartObj>
        <w:docPartGallery w:val="Page Numbers (Bottom of Page)"/>
        <w:docPartUnique/>
      </w:docPartObj>
    </w:sdtPr>
    <w:sdtEndPr/>
    <w:sdtContent>
      <w:p w:rsidR="00921D3C" w:rsidRDefault="00921D3C">
        <w:pPr>
          <w:pStyle w:val="Pieddepage"/>
          <w:jc w:val="center"/>
        </w:pPr>
        <w:r>
          <w:fldChar w:fldCharType="begin"/>
        </w:r>
        <w:r>
          <w:instrText>PAGE   \* MERGEFORMAT</w:instrText>
        </w:r>
        <w:r>
          <w:fldChar w:fldCharType="separate"/>
        </w:r>
        <w:r w:rsidR="00A4507B">
          <w:rPr>
            <w:noProof/>
          </w:rPr>
          <w:t>1</w:t>
        </w:r>
        <w:r>
          <w:fldChar w:fldCharType="end"/>
        </w:r>
      </w:p>
    </w:sdtContent>
  </w:sdt>
  <w:p w:rsidR="00921D3C" w:rsidRDefault="00921D3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6D5" w:rsidRDefault="003A46D5" w:rsidP="00921D3C">
      <w:r>
        <w:separator/>
      </w:r>
    </w:p>
  </w:footnote>
  <w:footnote w:type="continuationSeparator" w:id="0">
    <w:p w:rsidR="003A46D5" w:rsidRDefault="003A46D5" w:rsidP="00921D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BF7B3C"/>
    <w:multiLevelType w:val="hybridMultilevel"/>
    <w:tmpl w:val="11309AAA"/>
    <w:lvl w:ilvl="0" w:tplc="FAE4BFA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A70"/>
    <w:rsid w:val="00026E2F"/>
    <w:rsid w:val="000315CB"/>
    <w:rsid w:val="00044E00"/>
    <w:rsid w:val="00054DB4"/>
    <w:rsid w:val="00060929"/>
    <w:rsid w:val="0006709E"/>
    <w:rsid w:val="00082BF7"/>
    <w:rsid w:val="000A0EED"/>
    <w:rsid w:val="001A19D4"/>
    <w:rsid w:val="001B13A0"/>
    <w:rsid w:val="001B770E"/>
    <w:rsid w:val="00273F97"/>
    <w:rsid w:val="002838AE"/>
    <w:rsid w:val="002A3C98"/>
    <w:rsid w:val="002C3297"/>
    <w:rsid w:val="002D2730"/>
    <w:rsid w:val="0030641E"/>
    <w:rsid w:val="00394FC8"/>
    <w:rsid w:val="003A46D5"/>
    <w:rsid w:val="003B13AE"/>
    <w:rsid w:val="003C503B"/>
    <w:rsid w:val="003C5F78"/>
    <w:rsid w:val="004147F0"/>
    <w:rsid w:val="00435A49"/>
    <w:rsid w:val="00456F16"/>
    <w:rsid w:val="00461497"/>
    <w:rsid w:val="004863BB"/>
    <w:rsid w:val="00495AAE"/>
    <w:rsid w:val="00497A32"/>
    <w:rsid w:val="004A3AD2"/>
    <w:rsid w:val="004B3209"/>
    <w:rsid w:val="004C0F54"/>
    <w:rsid w:val="004C51E2"/>
    <w:rsid w:val="005208FF"/>
    <w:rsid w:val="005315A2"/>
    <w:rsid w:val="00532419"/>
    <w:rsid w:val="00537F0E"/>
    <w:rsid w:val="0056662D"/>
    <w:rsid w:val="00587F71"/>
    <w:rsid w:val="005976E6"/>
    <w:rsid w:val="005A5E2E"/>
    <w:rsid w:val="00601233"/>
    <w:rsid w:val="006575DB"/>
    <w:rsid w:val="006B2772"/>
    <w:rsid w:val="006B3192"/>
    <w:rsid w:val="00735053"/>
    <w:rsid w:val="00757FDF"/>
    <w:rsid w:val="00760334"/>
    <w:rsid w:val="00763E76"/>
    <w:rsid w:val="007776BC"/>
    <w:rsid w:val="00786160"/>
    <w:rsid w:val="007C524A"/>
    <w:rsid w:val="007C5B43"/>
    <w:rsid w:val="007E09A9"/>
    <w:rsid w:val="00845E0E"/>
    <w:rsid w:val="00874BDE"/>
    <w:rsid w:val="008778F7"/>
    <w:rsid w:val="00895F8B"/>
    <w:rsid w:val="008A60DB"/>
    <w:rsid w:val="008E65B9"/>
    <w:rsid w:val="00900DA7"/>
    <w:rsid w:val="00921D3C"/>
    <w:rsid w:val="009412C2"/>
    <w:rsid w:val="009423C7"/>
    <w:rsid w:val="00966D59"/>
    <w:rsid w:val="009B659C"/>
    <w:rsid w:val="009E655C"/>
    <w:rsid w:val="00A006C7"/>
    <w:rsid w:val="00A162BD"/>
    <w:rsid w:val="00A164D4"/>
    <w:rsid w:val="00A329AE"/>
    <w:rsid w:val="00A337D0"/>
    <w:rsid w:val="00A4507B"/>
    <w:rsid w:val="00A50A70"/>
    <w:rsid w:val="00A523BD"/>
    <w:rsid w:val="00A97DE0"/>
    <w:rsid w:val="00AE0123"/>
    <w:rsid w:val="00B4071C"/>
    <w:rsid w:val="00B91E3C"/>
    <w:rsid w:val="00BD63F4"/>
    <w:rsid w:val="00C432C7"/>
    <w:rsid w:val="00C64DD2"/>
    <w:rsid w:val="00C6557C"/>
    <w:rsid w:val="00CA65CA"/>
    <w:rsid w:val="00CA7E6F"/>
    <w:rsid w:val="00CB0FB7"/>
    <w:rsid w:val="00CD5E83"/>
    <w:rsid w:val="00D44D00"/>
    <w:rsid w:val="00D66B9F"/>
    <w:rsid w:val="00E03DC0"/>
    <w:rsid w:val="00E41B25"/>
    <w:rsid w:val="00E43469"/>
    <w:rsid w:val="00E55DFD"/>
    <w:rsid w:val="00E65D5C"/>
    <w:rsid w:val="00E764C2"/>
    <w:rsid w:val="00EA0C4D"/>
    <w:rsid w:val="00EE6061"/>
    <w:rsid w:val="00EF35EF"/>
    <w:rsid w:val="00EF439E"/>
    <w:rsid w:val="00F0569F"/>
    <w:rsid w:val="00F44591"/>
    <w:rsid w:val="00F44CF1"/>
    <w:rsid w:val="00F8488C"/>
    <w:rsid w:val="00F916AE"/>
    <w:rsid w:val="00F92CD9"/>
    <w:rsid w:val="00FA53B8"/>
    <w:rsid w:val="00FB1247"/>
    <w:rsid w:val="00FB439E"/>
    <w:rsid w:val="00FB77B5"/>
    <w:rsid w:val="00FD0467"/>
    <w:rsid w:val="00FF065A"/>
    <w:rsid w:val="00FF24DB"/>
    <w:rsid w:val="00FF4F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7C456F-1095-4C53-97E9-8ECEA773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A70"/>
    <w:pPr>
      <w:spacing w:after="0" w:line="240"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6662D"/>
    <w:rPr>
      <w:b/>
      <w:bCs/>
    </w:rPr>
  </w:style>
  <w:style w:type="paragraph" w:styleId="Textedebulles">
    <w:name w:val="Balloon Text"/>
    <w:basedOn w:val="Normal"/>
    <w:link w:val="TextedebullesCar"/>
    <w:uiPriority w:val="99"/>
    <w:semiHidden/>
    <w:unhideWhenUsed/>
    <w:rsid w:val="00FD0467"/>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0467"/>
    <w:rPr>
      <w:rFonts w:ascii="Segoe UI" w:eastAsia="Calibri" w:hAnsi="Segoe UI" w:cs="Segoe UI"/>
      <w:sz w:val="18"/>
      <w:szCs w:val="18"/>
    </w:rPr>
  </w:style>
  <w:style w:type="paragraph" w:customStyle="1" w:styleId="Standard">
    <w:name w:val="Standard"/>
    <w:rsid w:val="00F4459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Grilledutableau">
    <w:name w:val="Table Grid"/>
    <w:basedOn w:val="TableauNormal"/>
    <w:uiPriority w:val="39"/>
    <w:rsid w:val="00F4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315A2"/>
    <w:pPr>
      <w:ind w:left="720"/>
    </w:pPr>
    <w:rPr>
      <w:rFonts w:eastAsiaTheme="minorHAnsi"/>
    </w:rPr>
  </w:style>
  <w:style w:type="paragraph" w:styleId="En-tte">
    <w:name w:val="header"/>
    <w:basedOn w:val="Normal"/>
    <w:link w:val="En-tteCar"/>
    <w:uiPriority w:val="99"/>
    <w:unhideWhenUsed/>
    <w:rsid w:val="00921D3C"/>
    <w:pPr>
      <w:tabs>
        <w:tab w:val="center" w:pos="4536"/>
        <w:tab w:val="right" w:pos="9072"/>
      </w:tabs>
    </w:pPr>
  </w:style>
  <w:style w:type="character" w:customStyle="1" w:styleId="En-tteCar">
    <w:name w:val="En-tête Car"/>
    <w:basedOn w:val="Policepardfaut"/>
    <w:link w:val="En-tte"/>
    <w:uiPriority w:val="99"/>
    <w:rsid w:val="00921D3C"/>
    <w:rPr>
      <w:rFonts w:ascii="Calibri" w:eastAsia="Calibri" w:hAnsi="Calibri" w:cs="Times New Roman"/>
    </w:rPr>
  </w:style>
  <w:style w:type="paragraph" w:styleId="Pieddepage">
    <w:name w:val="footer"/>
    <w:basedOn w:val="Normal"/>
    <w:link w:val="PieddepageCar"/>
    <w:uiPriority w:val="99"/>
    <w:unhideWhenUsed/>
    <w:rsid w:val="00921D3C"/>
    <w:pPr>
      <w:tabs>
        <w:tab w:val="center" w:pos="4536"/>
        <w:tab w:val="right" w:pos="9072"/>
      </w:tabs>
    </w:pPr>
  </w:style>
  <w:style w:type="character" w:customStyle="1" w:styleId="PieddepageCar">
    <w:name w:val="Pied de page Car"/>
    <w:basedOn w:val="Policepardfaut"/>
    <w:link w:val="Pieddepage"/>
    <w:uiPriority w:val="99"/>
    <w:rsid w:val="00921D3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7716">
      <w:bodyDiv w:val="1"/>
      <w:marLeft w:val="0"/>
      <w:marRight w:val="0"/>
      <w:marTop w:val="0"/>
      <w:marBottom w:val="0"/>
      <w:divBdr>
        <w:top w:val="none" w:sz="0" w:space="0" w:color="auto"/>
        <w:left w:val="none" w:sz="0" w:space="0" w:color="auto"/>
        <w:bottom w:val="none" w:sz="0" w:space="0" w:color="auto"/>
        <w:right w:val="none" w:sz="0" w:space="0" w:color="auto"/>
      </w:divBdr>
    </w:div>
    <w:div w:id="2057774048">
      <w:bodyDiv w:val="1"/>
      <w:marLeft w:val="0"/>
      <w:marRight w:val="0"/>
      <w:marTop w:val="0"/>
      <w:marBottom w:val="0"/>
      <w:divBdr>
        <w:top w:val="none" w:sz="0" w:space="0" w:color="auto"/>
        <w:left w:val="none" w:sz="0" w:space="0" w:color="auto"/>
        <w:bottom w:val="none" w:sz="0" w:space="0" w:color="auto"/>
        <w:right w:val="none" w:sz="0" w:space="0" w:color="auto"/>
      </w:divBdr>
    </w:div>
    <w:div w:id="208676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2F0C1.2AAB9D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809</Words>
  <Characters>4450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INPI</Company>
  <LinksUpToDate>false</LinksUpToDate>
  <CharactersWithSpaces>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Bernos Bruno</dc:creator>
  <cp:lastModifiedBy>Ihaddadene Hocine</cp:lastModifiedBy>
  <cp:revision>2</cp:revision>
  <cp:lastPrinted>2017-10-12T13:41:00Z</cp:lastPrinted>
  <dcterms:created xsi:type="dcterms:W3CDTF">2019-04-17T14:17:00Z</dcterms:created>
  <dcterms:modified xsi:type="dcterms:W3CDTF">2019-04-17T14:17:00Z</dcterms:modified>
</cp:coreProperties>
</file>