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160"/>
      </w:tblGrid>
      <w:tr w:rsidR="00AE22B4" w:rsidRPr="003D3270" w:rsidTr="004112CA">
        <w:trPr>
          <w:trHeight w:val="956"/>
        </w:trPr>
        <w:tc>
          <w:tcPr>
            <w:tcW w:w="1696" w:type="dxa"/>
          </w:tcPr>
          <w:p w:rsidR="00AE22B4" w:rsidRPr="003D3270" w:rsidRDefault="00AE22B4" w:rsidP="004112CA">
            <w:pPr>
              <w:jc w:val="both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-123825</wp:posOffset>
                  </wp:positionV>
                  <wp:extent cx="790513" cy="790513"/>
                  <wp:effectExtent l="0" t="0" r="0" b="0"/>
                  <wp:wrapNone/>
                  <wp:docPr id="2" name="Image 2" descr="http://inpi.reference-syndicale.fr/files/2017/03/CGT-inpi-jaune-00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inpi.reference-syndicale.fr/files/2017/03/CGT-inpi-jaune-00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13" cy="79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AE22B4" w:rsidRPr="003D3270" w:rsidRDefault="00AE22B4" w:rsidP="004112CA">
            <w:pPr>
              <w:jc w:val="both"/>
              <w:rPr>
                <w:noProof/>
                <w:lang w:eastAsia="fr-FR"/>
              </w:rPr>
            </w:pPr>
          </w:p>
          <w:p w:rsidR="00AE22B4" w:rsidRPr="003D3270" w:rsidRDefault="00AE22B4" w:rsidP="004112CA">
            <w:pPr>
              <w:jc w:val="both"/>
            </w:pPr>
          </w:p>
        </w:tc>
        <w:tc>
          <w:tcPr>
            <w:tcW w:w="5160" w:type="dxa"/>
          </w:tcPr>
          <w:p w:rsidR="00AE22B4" w:rsidRPr="003D3270" w:rsidRDefault="00AE22B4" w:rsidP="004112CA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6C05E291" wp14:editId="38D1C837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2540</wp:posOffset>
                  </wp:positionV>
                  <wp:extent cx="1403350" cy="491490"/>
                  <wp:effectExtent l="0" t="0" r="635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62FAC36A" wp14:editId="4927A6C1">
                  <wp:simplePos x="0" y="0"/>
                  <wp:positionH relativeFrom="margin">
                    <wp:posOffset>1898650</wp:posOffset>
                  </wp:positionH>
                  <wp:positionV relativeFrom="paragraph">
                    <wp:posOffset>-169545</wp:posOffset>
                  </wp:positionV>
                  <wp:extent cx="2019300" cy="752475"/>
                  <wp:effectExtent l="0" t="0" r="0" b="9525"/>
                  <wp:wrapNone/>
                  <wp:docPr id="6" name="Image 6" descr="http://www.cfdt-madeinpi.org/s/misc/logo.jpg?t=144108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http://www.cfdt-madeinpi.org/s/misc/logo.jpg?t=1441087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22B4" w:rsidRPr="003D3270" w:rsidRDefault="00AE22B4" w:rsidP="004112CA">
            <w:pPr>
              <w:jc w:val="both"/>
            </w:pPr>
          </w:p>
        </w:tc>
      </w:tr>
    </w:tbl>
    <w:p w:rsidR="00AE22B4" w:rsidRPr="003662A2" w:rsidRDefault="00AE22B4" w:rsidP="00AE22B4">
      <w:pPr>
        <w:jc w:val="right"/>
        <w:rPr>
          <w:i/>
          <w:sz w:val="24"/>
          <w:szCs w:val="24"/>
        </w:rPr>
      </w:pPr>
      <w:r w:rsidRPr="003662A2">
        <w:rPr>
          <w:i/>
          <w:sz w:val="24"/>
          <w:szCs w:val="24"/>
        </w:rPr>
        <w:t xml:space="preserve">Courbevoie, le </w:t>
      </w:r>
      <w:r w:rsidR="00304EC5">
        <w:rPr>
          <w:i/>
          <w:sz w:val="24"/>
          <w:szCs w:val="24"/>
        </w:rPr>
        <w:t>4 juillet</w:t>
      </w:r>
      <w:r w:rsidR="00494B2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2019</w:t>
      </w:r>
    </w:p>
    <w:p w:rsidR="00AE22B4" w:rsidRDefault="00AE22B4" w:rsidP="00A71E68">
      <w:pPr>
        <w:spacing w:before="240" w:after="120"/>
        <w:jc w:val="center"/>
        <w:rPr>
          <w:b/>
          <w:sz w:val="28"/>
          <w:szCs w:val="24"/>
        </w:rPr>
      </w:pPr>
      <w:r w:rsidRPr="00AE22B4">
        <w:rPr>
          <w:b/>
          <w:sz w:val="28"/>
          <w:szCs w:val="24"/>
        </w:rPr>
        <w:t>Plateforme de revendications adressée au Directeur général de l’INPI</w:t>
      </w:r>
    </w:p>
    <w:p w:rsidR="00304EC5" w:rsidRDefault="00304EC5" w:rsidP="00304EC5">
      <w:pPr>
        <w:spacing w:before="120" w:after="120"/>
        <w:jc w:val="both"/>
      </w:pPr>
    </w:p>
    <w:p w:rsidR="00304EC5" w:rsidRDefault="00304EC5" w:rsidP="00304EC5">
      <w:pPr>
        <w:spacing w:before="240" w:after="240"/>
        <w:jc w:val="both"/>
      </w:pPr>
      <w:r w:rsidRPr="00304EC5">
        <w:t>Chers collègues,</w:t>
      </w:r>
    </w:p>
    <w:p w:rsidR="00304EC5" w:rsidRDefault="00304EC5" w:rsidP="00304EC5">
      <w:pPr>
        <w:spacing w:before="240" w:after="240"/>
        <w:jc w:val="both"/>
      </w:pPr>
      <w:r>
        <w:t>Veuillez trouver ci-dessous le résumé des revendications de l’intersyndicale remises au Directeur général le 27 juin 2019.</w:t>
      </w:r>
    </w:p>
    <w:p w:rsidR="00B6741E" w:rsidRPr="00AE22B4" w:rsidRDefault="00AE22B4" w:rsidP="00F6740C">
      <w:pPr>
        <w:spacing w:before="240"/>
        <w:jc w:val="both"/>
        <w:rPr>
          <w:b/>
          <w:sz w:val="28"/>
          <w:szCs w:val="24"/>
        </w:rPr>
      </w:pPr>
      <w:r w:rsidRPr="00AE22B4">
        <w:rPr>
          <w:b/>
          <w:sz w:val="28"/>
          <w:szCs w:val="24"/>
        </w:rPr>
        <w:t>I – Dialogue social</w:t>
      </w:r>
    </w:p>
    <w:p w:rsidR="000321F4" w:rsidRDefault="000640B4" w:rsidP="00AE22B4">
      <w:pPr>
        <w:spacing w:before="120" w:after="120"/>
        <w:jc w:val="both"/>
      </w:pPr>
      <w:r w:rsidRPr="000640B4">
        <w:t xml:space="preserve">Nos organisations syndicales constatent le non-respect des règles de concertation devant prévaloir au niveau des instances et ont remarqué un détournement des attributions </w:t>
      </w:r>
      <w:r w:rsidR="00304EC5">
        <w:t xml:space="preserve">réglementaires </w:t>
      </w:r>
      <w:r w:rsidRPr="000640B4">
        <w:t xml:space="preserve">de celles-ci par le biais des groupes de travail existants (35h, RPPI, statuts), ce qui permet à l’administration de bloquer ou de ne pas traiter certains sujets (exemple : refus de traiter au CHSCT les risques </w:t>
      </w:r>
      <w:r w:rsidR="00304EC5">
        <w:t>psycho-sociaux</w:t>
      </w:r>
      <w:r w:rsidRPr="000640B4">
        <w:t xml:space="preserve"> dans le cadre </w:t>
      </w:r>
      <w:r w:rsidR="00304EC5">
        <w:t>de la dématérialisation</w:t>
      </w:r>
      <w:r w:rsidRPr="000640B4">
        <w:t>). C’est pourquoi nous demandons :</w:t>
      </w:r>
    </w:p>
    <w:p w:rsidR="00241810" w:rsidRPr="00241810" w:rsidRDefault="00A71E68" w:rsidP="002C12B4">
      <w:pPr>
        <w:pStyle w:val="Paragraphedeliste"/>
        <w:numPr>
          <w:ilvl w:val="0"/>
          <w:numId w:val="1"/>
        </w:numPr>
        <w:spacing w:after="120"/>
        <w:jc w:val="both"/>
      </w:pPr>
      <w:r w:rsidRPr="00304EC5">
        <w:rPr>
          <w:b/>
        </w:rPr>
        <w:t>Le r</w:t>
      </w:r>
      <w:r w:rsidR="00B6741E" w:rsidRPr="00304EC5">
        <w:rPr>
          <w:b/>
        </w:rPr>
        <w:t xml:space="preserve">espect </w:t>
      </w:r>
      <w:r w:rsidR="00304EC5" w:rsidRPr="00304EC5">
        <w:rPr>
          <w:b/>
        </w:rPr>
        <w:t xml:space="preserve">et la mise à jour </w:t>
      </w:r>
      <w:r w:rsidR="00B6741E" w:rsidRPr="00304EC5">
        <w:rPr>
          <w:b/>
        </w:rPr>
        <w:t>de la charte du dialogue social signée le 23 avril 2015</w:t>
      </w:r>
      <w:r w:rsidR="00B6741E" w:rsidRPr="00241810">
        <w:t xml:space="preserve">, </w:t>
      </w:r>
    </w:p>
    <w:p w:rsidR="00304EC5" w:rsidRDefault="00A71E68" w:rsidP="00304EC5">
      <w:pPr>
        <w:pStyle w:val="Paragraphedeliste"/>
        <w:numPr>
          <w:ilvl w:val="0"/>
          <w:numId w:val="1"/>
        </w:numPr>
        <w:spacing w:after="120" w:line="257" w:lineRule="auto"/>
        <w:jc w:val="both"/>
      </w:pPr>
      <w:r>
        <w:rPr>
          <w:b/>
        </w:rPr>
        <w:t>Le r</w:t>
      </w:r>
      <w:r w:rsidR="00304EC5">
        <w:rPr>
          <w:b/>
        </w:rPr>
        <w:t>espect de la réglementation des instances</w:t>
      </w:r>
      <w:r w:rsidR="00241810" w:rsidRPr="00AE22B4">
        <w:rPr>
          <w:b/>
        </w:rPr>
        <w:t xml:space="preserve"> de concertation et de dialogue social</w:t>
      </w:r>
      <w:r w:rsidR="00304EC5">
        <w:t>.</w:t>
      </w:r>
    </w:p>
    <w:p w:rsidR="00241810" w:rsidRDefault="000321F4" w:rsidP="00AE22B4">
      <w:pPr>
        <w:spacing w:after="120" w:line="257" w:lineRule="auto"/>
        <w:jc w:val="both"/>
      </w:pPr>
      <w:r>
        <w:t>De plus,</w:t>
      </w:r>
      <w:r w:rsidR="009B769C" w:rsidRPr="009B769C">
        <w:t xml:space="preserve"> </w:t>
      </w:r>
      <w:r w:rsidRPr="00AE22B4">
        <w:rPr>
          <w:b/>
        </w:rPr>
        <w:t>e</w:t>
      </w:r>
      <w:r w:rsidR="009B769C" w:rsidRPr="00AE22B4">
        <w:rPr>
          <w:b/>
        </w:rPr>
        <w:t xml:space="preserve">n cas de conflit social, </w:t>
      </w:r>
      <w:r w:rsidRPr="00AE22B4">
        <w:rPr>
          <w:b/>
        </w:rPr>
        <w:t>l</w:t>
      </w:r>
      <w:r w:rsidR="009B769C" w:rsidRPr="00AE22B4">
        <w:rPr>
          <w:b/>
        </w:rPr>
        <w:t>es réunions des instances et des groupes de travail</w:t>
      </w:r>
      <w:r w:rsidRPr="00AE22B4">
        <w:rPr>
          <w:b/>
        </w:rPr>
        <w:t xml:space="preserve"> doivent être suspendues</w:t>
      </w:r>
      <w:r w:rsidR="009B769C">
        <w:t>, durant le temps nécessaire aux négociations pour parvenir à un accord.</w:t>
      </w:r>
    </w:p>
    <w:p w:rsidR="009B769C" w:rsidRPr="00AE22B4" w:rsidRDefault="009B06EA" w:rsidP="00F6740C">
      <w:pPr>
        <w:spacing w:before="120"/>
        <w:jc w:val="both"/>
        <w:rPr>
          <w:b/>
          <w:sz w:val="28"/>
          <w:szCs w:val="24"/>
        </w:rPr>
      </w:pPr>
      <w:r w:rsidRPr="00AE22B4">
        <w:rPr>
          <w:b/>
          <w:sz w:val="28"/>
          <w:szCs w:val="24"/>
        </w:rPr>
        <w:t>II – Souffrance au travail</w:t>
      </w:r>
    </w:p>
    <w:p w:rsidR="000321F4" w:rsidRDefault="000321F4" w:rsidP="00AE22B4">
      <w:pPr>
        <w:spacing w:before="120" w:after="120"/>
        <w:jc w:val="both"/>
      </w:pPr>
      <w:r>
        <w:t xml:space="preserve">Depuis quelques années, les agents de l’INPI voient leurs conditions de travail se dégrader et les relations entre </w:t>
      </w:r>
      <w:r w:rsidR="00AE22B4">
        <w:t xml:space="preserve">les </w:t>
      </w:r>
      <w:r>
        <w:t>personnes se tendre. C’est pourquoi nous demandons :</w:t>
      </w:r>
    </w:p>
    <w:p w:rsidR="00304EC5" w:rsidRDefault="00DC63B7" w:rsidP="002549B7">
      <w:pPr>
        <w:pStyle w:val="Paragraphedeliste"/>
        <w:numPr>
          <w:ilvl w:val="0"/>
          <w:numId w:val="4"/>
        </w:numPr>
        <w:spacing w:line="257" w:lineRule="auto"/>
        <w:jc w:val="both"/>
      </w:pPr>
      <w:r w:rsidRPr="00304EC5">
        <w:rPr>
          <w:b/>
        </w:rPr>
        <w:t>La m</w:t>
      </w:r>
      <w:r w:rsidR="00DB6947" w:rsidRPr="00304EC5">
        <w:rPr>
          <w:b/>
        </w:rPr>
        <w:t>ise en place d’une véritable politique de prévention</w:t>
      </w:r>
    </w:p>
    <w:p w:rsidR="009B06EA" w:rsidRDefault="00DC63B7" w:rsidP="002549B7">
      <w:pPr>
        <w:pStyle w:val="Paragraphedeliste"/>
        <w:numPr>
          <w:ilvl w:val="0"/>
          <w:numId w:val="4"/>
        </w:numPr>
        <w:spacing w:line="257" w:lineRule="auto"/>
        <w:jc w:val="both"/>
      </w:pPr>
      <w:r w:rsidRPr="00304EC5">
        <w:rPr>
          <w:b/>
        </w:rPr>
        <w:t>Une r</w:t>
      </w:r>
      <w:r w:rsidR="009B06EA" w:rsidRPr="00304EC5">
        <w:rPr>
          <w:b/>
        </w:rPr>
        <w:t>éponse</w:t>
      </w:r>
      <w:r w:rsidR="00AE22B4" w:rsidRPr="00304EC5">
        <w:rPr>
          <w:b/>
        </w:rPr>
        <w:t xml:space="preserve"> systématique de l’administration</w:t>
      </w:r>
      <w:r w:rsidR="009B06EA" w:rsidRPr="00304EC5">
        <w:rPr>
          <w:b/>
        </w:rPr>
        <w:t xml:space="preserve"> aux organisations syndicales</w:t>
      </w:r>
      <w:r w:rsidR="009B06EA">
        <w:t xml:space="preserve"> en cas d’interpellation sur des problématiques </w:t>
      </w:r>
      <w:r w:rsidR="00DB6947">
        <w:t xml:space="preserve">particulières de </w:t>
      </w:r>
      <w:r w:rsidR="00304EC5">
        <w:t>risques psycho-sociaux</w:t>
      </w:r>
      <w:r w:rsidR="009B06EA">
        <w:t> ;</w:t>
      </w:r>
    </w:p>
    <w:p w:rsidR="00DB6947" w:rsidRDefault="00DC63B7" w:rsidP="000321F4">
      <w:pPr>
        <w:pStyle w:val="Paragraphedeliste"/>
        <w:numPr>
          <w:ilvl w:val="0"/>
          <w:numId w:val="4"/>
        </w:numPr>
        <w:spacing w:line="257" w:lineRule="auto"/>
        <w:jc w:val="both"/>
      </w:pPr>
      <w:r>
        <w:rPr>
          <w:b/>
        </w:rPr>
        <w:t>La m</w:t>
      </w:r>
      <w:r w:rsidR="00DB6947" w:rsidRPr="00AE22B4">
        <w:rPr>
          <w:b/>
        </w:rPr>
        <w:t>ise en place d’audits en cas de situation à risques avérés</w:t>
      </w:r>
      <w:r w:rsidR="00DB6947">
        <w:t>, avec établissement d’un plan d’actions et le suivi des mesures prises ;</w:t>
      </w:r>
    </w:p>
    <w:p w:rsidR="003F53F6" w:rsidRPr="00AE22B4" w:rsidRDefault="003F53F6" w:rsidP="00A71E68">
      <w:pPr>
        <w:spacing w:before="120" w:after="120" w:line="259" w:lineRule="auto"/>
        <w:rPr>
          <w:b/>
          <w:sz w:val="28"/>
          <w:szCs w:val="24"/>
        </w:rPr>
      </w:pPr>
      <w:r w:rsidRPr="00AE22B4">
        <w:rPr>
          <w:b/>
          <w:sz w:val="28"/>
          <w:szCs w:val="24"/>
        </w:rPr>
        <w:t>III - Arrêt des démantèlements de service</w:t>
      </w:r>
    </w:p>
    <w:p w:rsidR="00B83DFD" w:rsidRDefault="00AE22B4" w:rsidP="00B83DFD">
      <w:pPr>
        <w:spacing w:before="120" w:after="120"/>
        <w:jc w:val="both"/>
      </w:pPr>
      <w:r w:rsidRPr="00AE22B4">
        <w:t>Trois Directeurs généraux se sont succédé</w:t>
      </w:r>
      <w:r>
        <w:t>s</w:t>
      </w:r>
      <w:r w:rsidRPr="00AE22B4">
        <w:t xml:space="preserve"> en moins de trois ans</w:t>
      </w:r>
      <w:r>
        <w:t xml:space="preserve"> à l’INPI, chacun </w:t>
      </w:r>
      <w:r w:rsidR="00B83DFD">
        <w:t xml:space="preserve">impulsant des réorganisations avec des pertes d’emplois et d’activités à la clé, sans qu’un travail d’analyse des impacts </w:t>
      </w:r>
      <w:r w:rsidR="000640B4">
        <w:lastRenderedPageBreak/>
        <w:t xml:space="preserve">n’ait été effectué </w:t>
      </w:r>
      <w:r w:rsidR="00B83DFD">
        <w:t xml:space="preserve">et </w:t>
      </w:r>
      <w:r w:rsidR="000640B4">
        <w:t xml:space="preserve">en l’absence </w:t>
      </w:r>
      <w:r w:rsidR="00B83DFD">
        <w:t>de dialogue</w:t>
      </w:r>
      <w:r>
        <w:t xml:space="preserve"> </w:t>
      </w:r>
      <w:r w:rsidR="00B83DFD">
        <w:t>constructif avec les représentants du personnel. C’est pourquoi nous demandons :</w:t>
      </w:r>
    </w:p>
    <w:p w:rsidR="000E05CD" w:rsidRPr="0011084B" w:rsidRDefault="0011084B" w:rsidP="008A609A">
      <w:pPr>
        <w:pStyle w:val="Paragraphedeliste"/>
        <w:numPr>
          <w:ilvl w:val="0"/>
          <w:numId w:val="6"/>
        </w:numPr>
        <w:spacing w:after="120" w:line="257" w:lineRule="auto"/>
        <w:ind w:left="714" w:hanging="357"/>
        <w:jc w:val="both"/>
      </w:pPr>
      <w:r w:rsidRPr="0011084B">
        <w:rPr>
          <w:b/>
        </w:rPr>
        <w:t>Une concertation en amont des organisations syndicales et du personnel concerné</w:t>
      </w:r>
      <w:r w:rsidRPr="00304EC5">
        <w:rPr>
          <w:b/>
        </w:rPr>
        <w:t xml:space="preserve"> </w:t>
      </w:r>
      <w:r w:rsidRPr="00304EC5">
        <w:t xml:space="preserve">sur la base </w:t>
      </w:r>
      <w:r>
        <w:t>de documents</w:t>
      </w:r>
      <w:r w:rsidRPr="00304EC5">
        <w:t xml:space="preserve"> détaillé</w:t>
      </w:r>
      <w:r>
        <w:t>s</w:t>
      </w:r>
      <w:r w:rsidRPr="00304EC5">
        <w:t xml:space="preserve"> et précis</w:t>
      </w:r>
      <w:r w:rsidRPr="00B83DFD">
        <w:rPr>
          <w:b/>
        </w:rPr>
        <w:t xml:space="preserve"> </w:t>
      </w:r>
      <w:r w:rsidRPr="0011084B">
        <w:t>a</w:t>
      </w:r>
      <w:r w:rsidR="000E05CD" w:rsidRPr="0011084B">
        <w:t xml:space="preserve">vant toute réorganisation </w:t>
      </w:r>
      <w:r w:rsidR="00AE5AA9" w:rsidRPr="0011084B">
        <w:t>d</w:t>
      </w:r>
      <w:r w:rsidR="000E05CD" w:rsidRPr="0011084B">
        <w:t>e service</w:t>
      </w:r>
      <w:r>
        <w:rPr>
          <w:b/>
        </w:rPr>
        <w:t> </w:t>
      </w:r>
      <w:r w:rsidR="00304EC5" w:rsidRPr="0011084B">
        <w:t>;</w:t>
      </w:r>
    </w:p>
    <w:p w:rsidR="00AE5AA9" w:rsidRPr="00B83DFD" w:rsidRDefault="00CF5598" w:rsidP="008A609A">
      <w:pPr>
        <w:pStyle w:val="Paragraphedeliste"/>
        <w:numPr>
          <w:ilvl w:val="0"/>
          <w:numId w:val="6"/>
        </w:numPr>
        <w:spacing w:before="120" w:after="120" w:line="257" w:lineRule="auto"/>
        <w:ind w:hanging="357"/>
        <w:jc w:val="both"/>
        <w:rPr>
          <w:b/>
        </w:rPr>
      </w:pPr>
      <w:r w:rsidRPr="00B83DFD">
        <w:rPr>
          <w:b/>
        </w:rPr>
        <w:t xml:space="preserve">Lors de la phase de décision d’une </w:t>
      </w:r>
      <w:r w:rsidR="00F6093F" w:rsidRPr="00B83DFD">
        <w:rPr>
          <w:b/>
        </w:rPr>
        <w:t>réorganisation de service</w:t>
      </w:r>
      <w:r w:rsidRPr="00B83DFD">
        <w:rPr>
          <w:b/>
        </w:rPr>
        <w:t xml:space="preserve"> </w:t>
      </w:r>
      <w:r w:rsidR="00AE5AA9" w:rsidRPr="00B83DFD">
        <w:rPr>
          <w:b/>
        </w:rPr>
        <w:t>:</w:t>
      </w:r>
    </w:p>
    <w:p w:rsidR="00AE5AA9" w:rsidRPr="00B83DFD" w:rsidRDefault="00DC63B7" w:rsidP="00B83DFD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>
        <w:rPr>
          <w:u w:val="single"/>
        </w:rPr>
        <w:t>La réalisation de c</w:t>
      </w:r>
      <w:r w:rsidR="00AE5AA9" w:rsidRPr="00B83DFD">
        <w:rPr>
          <w:u w:val="single"/>
        </w:rPr>
        <w:t>ompte-rendu et conclusions</w:t>
      </w:r>
      <w:r w:rsidR="00AE5AA9" w:rsidRPr="00B83DFD">
        <w:t xml:space="preserve"> de la concertation menée en amont ;</w:t>
      </w:r>
    </w:p>
    <w:p w:rsidR="00AE5AA9" w:rsidRPr="00B83DFD" w:rsidRDefault="00DC63B7" w:rsidP="00B83DFD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>
        <w:rPr>
          <w:u w:val="single"/>
        </w:rPr>
        <w:t>La p</w:t>
      </w:r>
      <w:r w:rsidR="00B83DFD" w:rsidRPr="00B83DFD">
        <w:rPr>
          <w:u w:val="single"/>
        </w:rPr>
        <w:t>ossibilité d’a</w:t>
      </w:r>
      <w:r w:rsidR="00AE5AA9" w:rsidRPr="00B83DFD">
        <w:rPr>
          <w:u w:val="single"/>
        </w:rPr>
        <w:t>rrêt</w:t>
      </w:r>
      <w:r w:rsidR="00B83DFD" w:rsidRPr="00B83DFD">
        <w:rPr>
          <w:u w:val="single"/>
        </w:rPr>
        <w:t>er</w:t>
      </w:r>
      <w:r w:rsidR="00AE5AA9" w:rsidRPr="00B83DFD">
        <w:rPr>
          <w:u w:val="single"/>
        </w:rPr>
        <w:t xml:space="preserve"> ou </w:t>
      </w:r>
      <w:r w:rsidR="00B83DFD" w:rsidRPr="00B83DFD">
        <w:rPr>
          <w:u w:val="single"/>
        </w:rPr>
        <w:t>d’</w:t>
      </w:r>
      <w:r w:rsidR="00AE5AA9" w:rsidRPr="00B83DFD">
        <w:rPr>
          <w:u w:val="single"/>
        </w:rPr>
        <w:t>aménage</w:t>
      </w:r>
      <w:r w:rsidR="00B83DFD" w:rsidRPr="00B83DFD">
        <w:rPr>
          <w:u w:val="single"/>
        </w:rPr>
        <w:t>r</w:t>
      </w:r>
      <w:r w:rsidR="00AE5AA9" w:rsidRPr="00B83DFD">
        <w:t xml:space="preserve"> </w:t>
      </w:r>
      <w:r w:rsidR="00B83DFD" w:rsidRPr="00B83DFD">
        <w:t>le</w:t>
      </w:r>
      <w:r w:rsidR="00AE5AA9" w:rsidRPr="00B83DFD">
        <w:t xml:space="preserve"> projet de réorganisation ;</w:t>
      </w:r>
    </w:p>
    <w:p w:rsidR="0011084B" w:rsidRDefault="00DC63B7" w:rsidP="00071828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 w:rsidRPr="0011084B">
        <w:rPr>
          <w:u w:val="single"/>
        </w:rPr>
        <w:t>La c</w:t>
      </w:r>
      <w:r w:rsidR="00AE5AA9" w:rsidRPr="0011084B">
        <w:rPr>
          <w:u w:val="single"/>
        </w:rPr>
        <w:t xml:space="preserve">onsultation </w:t>
      </w:r>
      <w:r w:rsidRPr="0011084B">
        <w:rPr>
          <w:u w:val="single"/>
        </w:rPr>
        <w:t xml:space="preserve">systématique </w:t>
      </w:r>
      <w:r w:rsidR="00AE5AA9" w:rsidRPr="0011084B">
        <w:rPr>
          <w:u w:val="single"/>
        </w:rPr>
        <w:t>du CTEP et du CHSCT</w:t>
      </w:r>
      <w:r w:rsidR="0068755E" w:rsidRPr="00B83DFD">
        <w:t xml:space="preserve"> </w:t>
      </w:r>
    </w:p>
    <w:p w:rsidR="00FD0AB0" w:rsidRPr="00B83DFD" w:rsidRDefault="00DC63B7" w:rsidP="00071828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 w:rsidRPr="0011084B">
        <w:rPr>
          <w:u w:val="single"/>
        </w:rPr>
        <w:t>La r</w:t>
      </w:r>
      <w:r w:rsidR="0068755E" w:rsidRPr="0011084B">
        <w:rPr>
          <w:u w:val="single"/>
        </w:rPr>
        <w:t>éouverture de discussions</w:t>
      </w:r>
      <w:r w:rsidR="0011084B">
        <w:t xml:space="preserve">, </w:t>
      </w:r>
      <w:r w:rsidR="0068755E" w:rsidRPr="00B83DFD">
        <w:t>en cas de vote unanime négatif lors d’une première réunion de cette instance ;</w:t>
      </w:r>
    </w:p>
    <w:p w:rsidR="00CF5598" w:rsidRPr="00B83DFD" w:rsidRDefault="0011084B" w:rsidP="008A609A">
      <w:pPr>
        <w:pStyle w:val="Paragraphedeliste"/>
        <w:numPr>
          <w:ilvl w:val="0"/>
          <w:numId w:val="5"/>
        </w:numPr>
        <w:spacing w:after="120" w:line="257" w:lineRule="auto"/>
        <w:ind w:left="1066" w:hanging="357"/>
        <w:jc w:val="both"/>
      </w:pPr>
      <w:r>
        <w:rPr>
          <w:u w:val="single"/>
        </w:rPr>
        <w:t>La mise en place d’u</w:t>
      </w:r>
      <w:r w:rsidR="00DC63B7">
        <w:rPr>
          <w:u w:val="single"/>
        </w:rPr>
        <w:t>n p</w:t>
      </w:r>
      <w:r w:rsidR="00CF5598" w:rsidRPr="00B83DFD">
        <w:rPr>
          <w:u w:val="single"/>
        </w:rPr>
        <w:t>lan d’accompagnement social systématique</w:t>
      </w:r>
      <w:r>
        <w:t>,</w:t>
      </w:r>
    </w:p>
    <w:p w:rsidR="00CF5598" w:rsidRPr="00B83DFD" w:rsidRDefault="00CF5598" w:rsidP="008A609A">
      <w:pPr>
        <w:pStyle w:val="Paragraphedeliste"/>
        <w:numPr>
          <w:ilvl w:val="0"/>
          <w:numId w:val="6"/>
        </w:numPr>
        <w:spacing w:before="120" w:after="120" w:line="257" w:lineRule="auto"/>
        <w:ind w:hanging="357"/>
        <w:jc w:val="both"/>
        <w:rPr>
          <w:b/>
        </w:rPr>
      </w:pPr>
      <w:r w:rsidRPr="00B83DFD">
        <w:rPr>
          <w:b/>
        </w:rPr>
        <w:t>En cas de réorganisation de service décidée :</w:t>
      </w:r>
    </w:p>
    <w:p w:rsidR="00BF0C61" w:rsidRDefault="00DC63B7" w:rsidP="00B83DFD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>
        <w:rPr>
          <w:u w:val="single"/>
        </w:rPr>
        <w:t>Le s</w:t>
      </w:r>
      <w:r w:rsidR="00CF5598" w:rsidRPr="00B83DFD">
        <w:rPr>
          <w:u w:val="single"/>
        </w:rPr>
        <w:t>uivi de l’opération</w:t>
      </w:r>
      <w:r w:rsidR="00CF5598">
        <w:t xml:space="preserve"> sur le plan fonctionnel (bilan) et social (plan d’accompagnement social</w:t>
      </w:r>
      <w:r w:rsidR="00BF0C61">
        <w:t>, conditions de travail et RPS) ;</w:t>
      </w:r>
    </w:p>
    <w:p w:rsidR="00397F61" w:rsidRDefault="00DC63B7" w:rsidP="00B83DFD">
      <w:pPr>
        <w:pStyle w:val="Paragraphedeliste"/>
        <w:numPr>
          <w:ilvl w:val="0"/>
          <w:numId w:val="5"/>
        </w:numPr>
        <w:spacing w:after="120" w:line="257" w:lineRule="auto"/>
        <w:ind w:hanging="357"/>
        <w:jc w:val="both"/>
      </w:pPr>
      <w:r>
        <w:rPr>
          <w:u w:val="single"/>
        </w:rPr>
        <w:t>La mise en place d’un a</w:t>
      </w:r>
      <w:r w:rsidR="00397F61" w:rsidRPr="00B83DFD">
        <w:rPr>
          <w:u w:val="single"/>
        </w:rPr>
        <w:t>ccompagnement personnalisé</w:t>
      </w:r>
      <w:r w:rsidR="00397F61">
        <w:t>, si demandé, avec saisine de la CAS restreinte en cas de nécessité.</w:t>
      </w:r>
    </w:p>
    <w:p w:rsidR="00397F61" w:rsidRPr="0029409F" w:rsidRDefault="00397F61" w:rsidP="00241810">
      <w:pPr>
        <w:spacing w:line="257" w:lineRule="auto"/>
        <w:jc w:val="both"/>
        <w:rPr>
          <w:b/>
          <w:sz w:val="28"/>
          <w:szCs w:val="24"/>
        </w:rPr>
      </w:pPr>
      <w:r w:rsidRPr="0029409F">
        <w:rPr>
          <w:b/>
          <w:sz w:val="28"/>
          <w:szCs w:val="24"/>
        </w:rPr>
        <w:t>IV – Dématérialisation</w:t>
      </w:r>
    </w:p>
    <w:p w:rsidR="00DE7F49" w:rsidRDefault="00DE7F49" w:rsidP="0029409F">
      <w:pPr>
        <w:spacing w:before="120" w:after="120"/>
        <w:jc w:val="both"/>
      </w:pPr>
      <w:r>
        <w:t>La mise en place des outils informatiques relatifs au traitement des procédures PI est un enjeu majeur pour l’INPI. Or le développement de ces outils se déroule à cadence forcée, sans gouvernance adaptée, et avec des moyens qui ne sont pas à la hauteur. A ce jour, aucun outil n’est finalisé, et certains présentent même de grave</w:t>
      </w:r>
      <w:r w:rsidR="00645ECA">
        <w:t>s</w:t>
      </w:r>
      <w:r>
        <w:t xml:space="preserve"> dysfonctionnement</w:t>
      </w:r>
      <w:r w:rsidR="00645ECA">
        <w:t>s</w:t>
      </w:r>
      <w:r>
        <w:t xml:space="preserve">, empêchant les agents de </w:t>
      </w:r>
      <w:r w:rsidR="0029409F">
        <w:t>travailler dans de bonnes condi</w:t>
      </w:r>
      <w:r>
        <w:t>tions. C’est pourquoi nous demandons :</w:t>
      </w:r>
    </w:p>
    <w:p w:rsidR="00463301" w:rsidRDefault="00DE7F49" w:rsidP="000640B4">
      <w:pPr>
        <w:pStyle w:val="Paragraphedeliste"/>
        <w:numPr>
          <w:ilvl w:val="0"/>
          <w:numId w:val="9"/>
        </w:numPr>
        <w:spacing w:after="120"/>
        <w:jc w:val="both"/>
      </w:pPr>
      <w:r w:rsidRPr="00DE7F49">
        <w:rPr>
          <w:b/>
        </w:rPr>
        <w:t>La réalisation d’un b</w:t>
      </w:r>
      <w:r w:rsidR="00463301" w:rsidRPr="00DE7F49">
        <w:rPr>
          <w:b/>
        </w:rPr>
        <w:t>ilan opérationnel des outils mis en place</w:t>
      </w:r>
      <w:r w:rsidR="000640B4">
        <w:t xml:space="preserve"> : </w:t>
      </w:r>
      <w:r w:rsidR="000640B4" w:rsidRPr="000640B4">
        <w:t>le lancement d’un audit externe sur tous les e-services et outils de procédure PI ces 5 dernières années (qualité des développements, urbanisation du SI,</w:t>
      </w:r>
      <w:r w:rsidR="0011084B">
        <w:t xml:space="preserve"> documentation, conformité à la réglementation, sécurisation….)</w:t>
      </w:r>
    </w:p>
    <w:p w:rsidR="0029409F" w:rsidRDefault="0029409F" w:rsidP="0029409F">
      <w:pPr>
        <w:pStyle w:val="Paragraphedeliste"/>
        <w:numPr>
          <w:ilvl w:val="0"/>
          <w:numId w:val="9"/>
        </w:numPr>
        <w:spacing w:after="120"/>
        <w:jc w:val="both"/>
      </w:pPr>
      <w:r>
        <w:rPr>
          <w:b/>
        </w:rPr>
        <w:t xml:space="preserve">La mise en place d’un planning de réalisation, </w:t>
      </w:r>
      <w:r>
        <w:t>aussi bien du reste à faire que pour les nouveaux outils ;</w:t>
      </w:r>
    </w:p>
    <w:p w:rsidR="009F3851" w:rsidRDefault="00DE7F49" w:rsidP="0029409F">
      <w:pPr>
        <w:pStyle w:val="Paragraphedeliste"/>
        <w:numPr>
          <w:ilvl w:val="0"/>
          <w:numId w:val="9"/>
        </w:numPr>
        <w:spacing w:after="120"/>
        <w:jc w:val="both"/>
      </w:pPr>
      <w:r w:rsidRPr="00DE7F49">
        <w:rPr>
          <w:b/>
        </w:rPr>
        <w:t>La m</w:t>
      </w:r>
      <w:r w:rsidR="009F3851" w:rsidRPr="00DE7F49">
        <w:rPr>
          <w:b/>
        </w:rPr>
        <w:t xml:space="preserve">esure et </w:t>
      </w:r>
      <w:r w:rsidRPr="00DE7F49">
        <w:rPr>
          <w:b/>
        </w:rPr>
        <w:t>l’</w:t>
      </w:r>
      <w:r w:rsidR="009F3851" w:rsidRPr="00DE7F49">
        <w:rPr>
          <w:b/>
        </w:rPr>
        <w:t>analyse des RPS</w:t>
      </w:r>
      <w:r>
        <w:t xml:space="preserve"> liés à l’utilisation de ces outils</w:t>
      </w:r>
      <w:r w:rsidR="009F3851">
        <w:t>;</w:t>
      </w:r>
    </w:p>
    <w:p w:rsidR="009F3851" w:rsidRPr="0029409F" w:rsidRDefault="00A71E68" w:rsidP="0029409F">
      <w:pPr>
        <w:pStyle w:val="Paragraphedeliste"/>
        <w:numPr>
          <w:ilvl w:val="0"/>
          <w:numId w:val="9"/>
        </w:numPr>
        <w:spacing w:after="120"/>
        <w:jc w:val="both"/>
        <w:rPr>
          <w:b/>
        </w:rPr>
      </w:pPr>
      <w:r>
        <w:rPr>
          <w:b/>
        </w:rPr>
        <w:t>La m</w:t>
      </w:r>
      <w:r w:rsidR="0029409F" w:rsidRPr="0029409F">
        <w:rPr>
          <w:b/>
        </w:rPr>
        <w:t xml:space="preserve">ise en place d’un </w:t>
      </w:r>
      <w:r w:rsidR="00F8365E" w:rsidRPr="0029409F">
        <w:rPr>
          <w:b/>
        </w:rPr>
        <w:t>archivage électronique</w:t>
      </w:r>
      <w:r w:rsidR="009F3851" w:rsidRPr="0029409F">
        <w:rPr>
          <w:b/>
        </w:rPr>
        <w:t> </w:t>
      </w:r>
      <w:r w:rsidR="0029409F" w:rsidRPr="0029409F">
        <w:rPr>
          <w:b/>
        </w:rPr>
        <w:t>conforme à la réglementation ;</w:t>
      </w:r>
    </w:p>
    <w:p w:rsidR="00825B77" w:rsidRPr="00825B77" w:rsidRDefault="00DE7F49" w:rsidP="0029409F">
      <w:pPr>
        <w:pStyle w:val="Paragraphedeliste"/>
        <w:numPr>
          <w:ilvl w:val="0"/>
          <w:numId w:val="9"/>
        </w:numPr>
        <w:spacing w:after="120"/>
        <w:jc w:val="both"/>
        <w:rPr>
          <w:u w:val="single"/>
        </w:rPr>
      </w:pPr>
      <w:r w:rsidRPr="0029409F">
        <w:rPr>
          <w:b/>
        </w:rPr>
        <w:t>La réalisation et la présentation aux OS d’une analyse des r</w:t>
      </w:r>
      <w:r w:rsidR="009F3851" w:rsidRPr="0029409F">
        <w:rPr>
          <w:b/>
        </w:rPr>
        <w:t>isques juridiques</w:t>
      </w:r>
      <w:r w:rsidR="0029409F" w:rsidRPr="0029409F">
        <w:rPr>
          <w:b/>
        </w:rPr>
        <w:t xml:space="preserve"> liés aux outils informatiques</w:t>
      </w:r>
      <w:r w:rsidR="000640B4">
        <w:rPr>
          <w:b/>
        </w:rPr>
        <w:t> </w:t>
      </w:r>
      <w:r w:rsidR="00825B77">
        <w:t>;</w:t>
      </w:r>
    </w:p>
    <w:p w:rsidR="009F3851" w:rsidRPr="00825B77" w:rsidRDefault="000640B4" w:rsidP="00825B77">
      <w:pPr>
        <w:pStyle w:val="Paragraphedeliste"/>
        <w:numPr>
          <w:ilvl w:val="0"/>
          <w:numId w:val="9"/>
        </w:numPr>
        <w:spacing w:after="120"/>
        <w:jc w:val="both"/>
        <w:rPr>
          <w:u w:val="single"/>
        </w:rPr>
      </w:pPr>
      <w:r w:rsidRPr="000640B4">
        <w:t> </w:t>
      </w:r>
      <w:r w:rsidR="00825B77" w:rsidRPr="00825B77">
        <w:rPr>
          <w:b/>
        </w:rPr>
        <w:t xml:space="preserve">La </w:t>
      </w:r>
      <w:r w:rsidR="00A71E68">
        <w:rPr>
          <w:b/>
        </w:rPr>
        <w:t>m</w:t>
      </w:r>
      <w:r w:rsidR="00825B77" w:rsidRPr="00825B77">
        <w:rPr>
          <w:b/>
        </w:rPr>
        <w:t>ise en place d’un comité de suivi de tous les contrats de maintenance informatique</w:t>
      </w:r>
      <w:r w:rsidR="00825B77" w:rsidRPr="00825B77">
        <w:t xml:space="preserve"> non renouvelés ces derniers mois</w:t>
      </w:r>
      <w:r w:rsidR="00825B77">
        <w:t xml:space="preserve"> ou arrivant à échéance</w:t>
      </w:r>
      <w:r w:rsidR="00825B77" w:rsidRPr="00825B77">
        <w:t>.</w:t>
      </w:r>
    </w:p>
    <w:p w:rsidR="009F3851" w:rsidRPr="00F6740C" w:rsidRDefault="009F3851" w:rsidP="009F3851">
      <w:pPr>
        <w:jc w:val="both"/>
        <w:rPr>
          <w:b/>
          <w:sz w:val="28"/>
          <w:szCs w:val="24"/>
        </w:rPr>
      </w:pPr>
      <w:r w:rsidRPr="00F6740C">
        <w:rPr>
          <w:b/>
          <w:sz w:val="28"/>
          <w:szCs w:val="24"/>
        </w:rPr>
        <w:t>V</w:t>
      </w:r>
      <w:r w:rsidR="00901E8F" w:rsidRPr="0029409F">
        <w:rPr>
          <w:b/>
          <w:sz w:val="28"/>
          <w:szCs w:val="24"/>
        </w:rPr>
        <w:t xml:space="preserve"> – </w:t>
      </w:r>
      <w:r w:rsidRPr="00F6740C">
        <w:rPr>
          <w:b/>
          <w:sz w:val="28"/>
          <w:szCs w:val="24"/>
        </w:rPr>
        <w:t>Mise en œuvre de la loi Pacte</w:t>
      </w:r>
    </w:p>
    <w:p w:rsidR="009F3851" w:rsidRDefault="0029409F" w:rsidP="0029409F">
      <w:pPr>
        <w:spacing w:before="120" w:after="120"/>
        <w:jc w:val="both"/>
      </w:pPr>
      <w:r>
        <w:lastRenderedPageBreak/>
        <w:t>La loi PACTE va profondément élargir le champ de compétence et d’activité de l’INPI. Or il ne semble pas que l’administration ait décidé d’y mettre les moyens et cherche à mettre en place des solutions « à minima ».</w:t>
      </w:r>
      <w:r w:rsidRPr="0029409F">
        <w:t xml:space="preserve"> </w:t>
      </w:r>
      <w:r>
        <w:t>C’est pourquoi nous demandons :</w:t>
      </w:r>
    </w:p>
    <w:p w:rsidR="0011084B" w:rsidRPr="0029409F" w:rsidRDefault="0011084B" w:rsidP="0011084B">
      <w:pPr>
        <w:pStyle w:val="Paragraphedeliste"/>
        <w:numPr>
          <w:ilvl w:val="0"/>
          <w:numId w:val="10"/>
        </w:numPr>
        <w:spacing w:after="120"/>
        <w:jc w:val="both"/>
      </w:pPr>
      <w:r>
        <w:rPr>
          <w:b/>
        </w:rPr>
        <w:t>Le m</w:t>
      </w:r>
      <w:r w:rsidRPr="003E3B68">
        <w:rPr>
          <w:b/>
        </w:rPr>
        <w:t>aintien d’une entité indépendante pour la procédure d’annulation/déchéance des marques</w:t>
      </w:r>
      <w:r w:rsidRPr="0029409F">
        <w:t xml:space="preserve">, tel que demandé par les </w:t>
      </w:r>
      <w:r w:rsidR="008A609A">
        <w:t xml:space="preserve">agents de l’INPI ainsi que les </w:t>
      </w:r>
      <w:r w:rsidRPr="0029409F">
        <w:t>professionnels de la PI ;</w:t>
      </w:r>
    </w:p>
    <w:p w:rsidR="0011084B" w:rsidRPr="0029409F" w:rsidRDefault="0011084B" w:rsidP="0011084B">
      <w:pPr>
        <w:pStyle w:val="Paragraphedeliste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b/>
        </w:rPr>
        <w:t>Une présentation régulière de l’é</w:t>
      </w:r>
      <w:r w:rsidRPr="003E3B68">
        <w:rPr>
          <w:b/>
        </w:rPr>
        <w:t xml:space="preserve">volution du RNCS dans le cadre de la mise en place du registre </w:t>
      </w:r>
      <w:r w:rsidRPr="00A71E68">
        <w:rPr>
          <w:b/>
        </w:rPr>
        <w:t>unique</w:t>
      </w:r>
      <w:r w:rsidRPr="00A71E68">
        <w:t> :</w:t>
      </w:r>
      <w:r w:rsidRPr="0029409F">
        <w:t xml:space="preserve"> transparence demandée sur le sujet et analyse des risques, sur les plans budgétaire, fonctionnel</w:t>
      </w:r>
      <w:r>
        <w:t>s et sociaux</w:t>
      </w:r>
      <w:r w:rsidRPr="0029409F">
        <w:t>.</w:t>
      </w:r>
    </w:p>
    <w:p w:rsidR="0011084B" w:rsidRPr="00290CCB" w:rsidRDefault="0029409F" w:rsidP="00827194">
      <w:pPr>
        <w:pStyle w:val="Paragraphedeliste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11084B">
        <w:rPr>
          <w:b/>
        </w:rPr>
        <w:t>L</w:t>
      </w:r>
      <w:r w:rsidR="00645ECA" w:rsidRPr="0011084B">
        <w:rPr>
          <w:b/>
        </w:rPr>
        <w:t xml:space="preserve">’organisation </w:t>
      </w:r>
      <w:r w:rsidR="009F3851" w:rsidRPr="0011084B">
        <w:rPr>
          <w:b/>
        </w:rPr>
        <w:t>d’un séminaire spécifique</w:t>
      </w:r>
      <w:r w:rsidR="009F3851" w:rsidRPr="0029409F">
        <w:t xml:space="preserve"> </w:t>
      </w:r>
      <w:r w:rsidR="003428B9" w:rsidRPr="0029409F">
        <w:t xml:space="preserve">sur les </w:t>
      </w:r>
      <w:r w:rsidRPr="0029409F">
        <w:t xml:space="preserve">modalités de mise </w:t>
      </w:r>
      <w:r w:rsidR="004C3979">
        <w:t xml:space="preserve">en </w:t>
      </w:r>
      <w:r w:rsidR="00645ECA">
        <w:t>œuvre</w:t>
      </w:r>
      <w:r w:rsidRPr="0029409F">
        <w:t xml:space="preserve"> des nouvelles </w:t>
      </w:r>
      <w:r w:rsidR="003428B9" w:rsidRPr="0029409F">
        <w:t xml:space="preserve">procédures, </w:t>
      </w:r>
      <w:r w:rsidRPr="0029409F">
        <w:t>non seulement en terme</w:t>
      </w:r>
      <w:r w:rsidR="003428B9" w:rsidRPr="0029409F">
        <w:t xml:space="preserve"> </w:t>
      </w:r>
      <w:r w:rsidRPr="0029409F">
        <w:t>d’</w:t>
      </w:r>
      <w:r w:rsidR="003428B9" w:rsidRPr="0029409F">
        <w:t>effectif</w:t>
      </w:r>
      <w:r w:rsidRPr="0029409F">
        <w:t xml:space="preserve">, mais aussi au niveau de l’organisation du travail et des ressources allouées (infrastructures et outils informatiques) ; </w:t>
      </w:r>
    </w:p>
    <w:p w:rsidR="00290CCB" w:rsidRDefault="00290CCB" w:rsidP="00290CCB">
      <w:pPr>
        <w:spacing w:after="120"/>
        <w:jc w:val="both"/>
        <w:rPr>
          <w:sz w:val="24"/>
          <w:szCs w:val="24"/>
        </w:rPr>
      </w:pPr>
    </w:p>
    <w:p w:rsidR="00290CCB" w:rsidRPr="00290CCB" w:rsidRDefault="00290CCB" w:rsidP="00290CCB">
      <w:pPr>
        <w:spacing w:before="120" w:after="120"/>
        <w:jc w:val="both"/>
      </w:pPr>
    </w:p>
    <w:p w:rsidR="00290CCB" w:rsidRPr="0079702B" w:rsidRDefault="00290CCB" w:rsidP="00290CCB">
      <w:pPr>
        <w:spacing w:before="120" w:after="120"/>
        <w:jc w:val="both"/>
        <w:rPr>
          <w:sz w:val="24"/>
        </w:rPr>
      </w:pPr>
      <w:r w:rsidRPr="0079702B">
        <w:rPr>
          <w:sz w:val="24"/>
        </w:rPr>
        <w:t>Nous espérons obtenir rapidement une position de la part de la Direction Générale concernant les différents sujets présentés dans cette plateforme de revendications.</w:t>
      </w:r>
    </w:p>
    <w:p w:rsidR="0079702B" w:rsidRDefault="00290CCB" w:rsidP="00290CCB">
      <w:pPr>
        <w:spacing w:before="120" w:after="120"/>
        <w:jc w:val="both"/>
        <w:rPr>
          <w:sz w:val="24"/>
        </w:rPr>
      </w:pPr>
      <w:r w:rsidRPr="0079702B">
        <w:rPr>
          <w:sz w:val="24"/>
        </w:rPr>
        <w:t xml:space="preserve">En effet, la plupart de ces sujets ont été remontés par les </w:t>
      </w:r>
      <w:r w:rsidR="0079702B" w:rsidRPr="0079702B">
        <w:rPr>
          <w:sz w:val="24"/>
        </w:rPr>
        <w:t xml:space="preserve">organisations syndicales ou vous-même depuis </w:t>
      </w:r>
      <w:r w:rsidRPr="0079702B">
        <w:rPr>
          <w:sz w:val="24"/>
        </w:rPr>
        <w:t>des</w:t>
      </w:r>
      <w:r w:rsidR="0079702B">
        <w:rPr>
          <w:sz w:val="24"/>
        </w:rPr>
        <w:t xml:space="preserve"> mois, si ce n’est des années !</w:t>
      </w:r>
    </w:p>
    <w:p w:rsidR="00290CCB" w:rsidRPr="0079702B" w:rsidRDefault="00290CCB" w:rsidP="00290CCB">
      <w:pPr>
        <w:spacing w:before="120" w:after="120"/>
        <w:jc w:val="both"/>
        <w:rPr>
          <w:sz w:val="24"/>
        </w:rPr>
      </w:pPr>
      <w:r w:rsidRPr="0079702B">
        <w:rPr>
          <w:sz w:val="24"/>
        </w:rPr>
        <w:t>Le fait de les réunir da</w:t>
      </w:r>
      <w:r w:rsidR="0079702B" w:rsidRPr="0079702B">
        <w:rPr>
          <w:sz w:val="24"/>
        </w:rPr>
        <w:t>ns une même plateforme montre l’</w:t>
      </w:r>
      <w:r w:rsidRPr="0079702B">
        <w:rPr>
          <w:sz w:val="24"/>
        </w:rPr>
        <w:t>accumulation de ces sujets écartés (souvent sous prétexte de délais contraints) ces dernières années et dont certaines conséquences ne font que commencer à apparaitre.</w:t>
      </w:r>
    </w:p>
    <w:p w:rsidR="00290CCB" w:rsidRPr="00290CCB" w:rsidRDefault="0079702B" w:rsidP="00290CCB">
      <w:pPr>
        <w:spacing w:after="120"/>
        <w:jc w:val="both"/>
        <w:rPr>
          <w:sz w:val="24"/>
          <w:szCs w:val="24"/>
        </w:rPr>
      </w:pPr>
      <w:r w:rsidRPr="0079702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1" wp14:anchorId="0651B235" wp14:editId="072E4106">
            <wp:simplePos x="0" y="0"/>
            <wp:positionH relativeFrom="margin">
              <wp:align>center</wp:align>
            </wp:positionH>
            <wp:positionV relativeFrom="paragraph">
              <wp:posOffset>2441575</wp:posOffset>
            </wp:positionV>
            <wp:extent cx="1403350" cy="491490"/>
            <wp:effectExtent l="0" t="0" r="635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02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397FBAB5" wp14:editId="742A8825">
            <wp:simplePos x="0" y="0"/>
            <wp:positionH relativeFrom="margin">
              <wp:posOffset>4900295</wp:posOffset>
            </wp:positionH>
            <wp:positionV relativeFrom="paragraph">
              <wp:posOffset>2322830</wp:posOffset>
            </wp:positionV>
            <wp:extent cx="2019300" cy="752475"/>
            <wp:effectExtent l="0" t="0" r="0" b="9525"/>
            <wp:wrapNone/>
            <wp:docPr id="3" name="Image 3" descr="http://www.cfdt-madeinpi.org/s/misc/logo.jpg?t=144108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www.cfdt-madeinpi.org/s/misc/logo.jpg?t=14410873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02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420C583F" wp14:editId="6EA24C3D">
            <wp:simplePos x="0" y="0"/>
            <wp:positionH relativeFrom="column">
              <wp:posOffset>9525</wp:posOffset>
            </wp:positionH>
            <wp:positionV relativeFrom="paragraph">
              <wp:posOffset>2273935</wp:posOffset>
            </wp:positionV>
            <wp:extent cx="790513" cy="790513"/>
            <wp:effectExtent l="0" t="0" r="0" b="0"/>
            <wp:wrapNone/>
            <wp:docPr id="4" name="Image 4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3" cy="7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0CCB" w:rsidRPr="00290CCB" w:rsidSect="005E4E8C">
      <w:pgSz w:w="11906" w:h="16838"/>
      <w:pgMar w:top="720" w:right="737" w:bottom="720" w:left="73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05" w:rsidRDefault="00934E05" w:rsidP="00254F7D">
      <w:r>
        <w:separator/>
      </w:r>
    </w:p>
  </w:endnote>
  <w:endnote w:type="continuationSeparator" w:id="0">
    <w:p w:rsidR="00934E05" w:rsidRDefault="00934E05" w:rsidP="0025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05" w:rsidRDefault="00934E05" w:rsidP="00254F7D">
      <w:r>
        <w:separator/>
      </w:r>
    </w:p>
  </w:footnote>
  <w:footnote w:type="continuationSeparator" w:id="0">
    <w:p w:rsidR="00934E05" w:rsidRDefault="00934E05" w:rsidP="0025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137"/>
    <w:multiLevelType w:val="hybridMultilevel"/>
    <w:tmpl w:val="402C6360"/>
    <w:lvl w:ilvl="0" w:tplc="2814E9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272F5"/>
    <w:multiLevelType w:val="hybridMultilevel"/>
    <w:tmpl w:val="4A0AE9D2"/>
    <w:lvl w:ilvl="0" w:tplc="2814E9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478"/>
    <w:multiLevelType w:val="hybridMultilevel"/>
    <w:tmpl w:val="264A3C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36C4"/>
    <w:multiLevelType w:val="hybridMultilevel"/>
    <w:tmpl w:val="A0E85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C94"/>
    <w:multiLevelType w:val="hybridMultilevel"/>
    <w:tmpl w:val="12C0CC0A"/>
    <w:lvl w:ilvl="0" w:tplc="2814E9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45D"/>
    <w:multiLevelType w:val="hybridMultilevel"/>
    <w:tmpl w:val="B01CA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18F1"/>
    <w:multiLevelType w:val="hybridMultilevel"/>
    <w:tmpl w:val="589A9052"/>
    <w:lvl w:ilvl="0" w:tplc="142C482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4447"/>
    <w:multiLevelType w:val="hybridMultilevel"/>
    <w:tmpl w:val="A0E85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C32F1"/>
    <w:multiLevelType w:val="hybridMultilevel"/>
    <w:tmpl w:val="18ACD11C"/>
    <w:lvl w:ilvl="0" w:tplc="2814E9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575A"/>
    <w:multiLevelType w:val="hybridMultilevel"/>
    <w:tmpl w:val="D524418C"/>
    <w:lvl w:ilvl="0" w:tplc="2814E9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0"/>
    <w:rsid w:val="0000334C"/>
    <w:rsid w:val="000321F4"/>
    <w:rsid w:val="00044E00"/>
    <w:rsid w:val="00060929"/>
    <w:rsid w:val="000640B4"/>
    <w:rsid w:val="0006709E"/>
    <w:rsid w:val="000E05CD"/>
    <w:rsid w:val="000E278C"/>
    <w:rsid w:val="000F0106"/>
    <w:rsid w:val="0011084B"/>
    <w:rsid w:val="00110BA5"/>
    <w:rsid w:val="001730E2"/>
    <w:rsid w:val="00191D87"/>
    <w:rsid w:val="001A19D4"/>
    <w:rsid w:val="001A6642"/>
    <w:rsid w:val="001B13A0"/>
    <w:rsid w:val="001D6C75"/>
    <w:rsid w:val="00241810"/>
    <w:rsid w:val="00250E46"/>
    <w:rsid w:val="00254F7D"/>
    <w:rsid w:val="002608D3"/>
    <w:rsid w:val="002756E4"/>
    <w:rsid w:val="00290CCB"/>
    <w:rsid w:val="0029409F"/>
    <w:rsid w:val="002A026F"/>
    <w:rsid w:val="002A4C89"/>
    <w:rsid w:val="002D2730"/>
    <w:rsid w:val="00304EC5"/>
    <w:rsid w:val="00326F5D"/>
    <w:rsid w:val="003428B9"/>
    <w:rsid w:val="003662A2"/>
    <w:rsid w:val="00371790"/>
    <w:rsid w:val="00380763"/>
    <w:rsid w:val="00394FC8"/>
    <w:rsid w:val="00397F61"/>
    <w:rsid w:val="003B13AE"/>
    <w:rsid w:val="003D6318"/>
    <w:rsid w:val="003E3B68"/>
    <w:rsid w:val="003F53F6"/>
    <w:rsid w:val="004147F0"/>
    <w:rsid w:val="00421450"/>
    <w:rsid w:val="00435A49"/>
    <w:rsid w:val="004401B6"/>
    <w:rsid w:val="00456F16"/>
    <w:rsid w:val="00461497"/>
    <w:rsid w:val="00463301"/>
    <w:rsid w:val="004863BB"/>
    <w:rsid w:val="00494B2C"/>
    <w:rsid w:val="00497A32"/>
    <w:rsid w:val="00497A6E"/>
    <w:rsid w:val="004B40E5"/>
    <w:rsid w:val="004C0F54"/>
    <w:rsid w:val="004C3979"/>
    <w:rsid w:val="00537F0E"/>
    <w:rsid w:val="0056662D"/>
    <w:rsid w:val="00587F71"/>
    <w:rsid w:val="005A1C99"/>
    <w:rsid w:val="005A5E2E"/>
    <w:rsid w:val="005E4E8C"/>
    <w:rsid w:val="00601233"/>
    <w:rsid w:val="00615452"/>
    <w:rsid w:val="00645ECA"/>
    <w:rsid w:val="006575DB"/>
    <w:rsid w:val="0068755E"/>
    <w:rsid w:val="006B096D"/>
    <w:rsid w:val="006B2772"/>
    <w:rsid w:val="006C5EFD"/>
    <w:rsid w:val="007075C7"/>
    <w:rsid w:val="007216D1"/>
    <w:rsid w:val="007441D0"/>
    <w:rsid w:val="00760334"/>
    <w:rsid w:val="00786160"/>
    <w:rsid w:val="0079702B"/>
    <w:rsid w:val="007C374D"/>
    <w:rsid w:val="007C4232"/>
    <w:rsid w:val="007E09A9"/>
    <w:rsid w:val="00803CF4"/>
    <w:rsid w:val="00825B77"/>
    <w:rsid w:val="00845E0E"/>
    <w:rsid w:val="00854DD8"/>
    <w:rsid w:val="008778F7"/>
    <w:rsid w:val="008A609A"/>
    <w:rsid w:val="008A60DB"/>
    <w:rsid w:val="00901E8F"/>
    <w:rsid w:val="00934E05"/>
    <w:rsid w:val="00966245"/>
    <w:rsid w:val="00966D59"/>
    <w:rsid w:val="009B06EA"/>
    <w:rsid w:val="009B769C"/>
    <w:rsid w:val="009E0EB8"/>
    <w:rsid w:val="009E31DD"/>
    <w:rsid w:val="009F3851"/>
    <w:rsid w:val="00A006C7"/>
    <w:rsid w:val="00A162BD"/>
    <w:rsid w:val="00A329AE"/>
    <w:rsid w:val="00A50A70"/>
    <w:rsid w:val="00A523BD"/>
    <w:rsid w:val="00A71E68"/>
    <w:rsid w:val="00A92A07"/>
    <w:rsid w:val="00AB4FCA"/>
    <w:rsid w:val="00AC52AE"/>
    <w:rsid w:val="00AE22B4"/>
    <w:rsid w:val="00AE5AA9"/>
    <w:rsid w:val="00B02CC5"/>
    <w:rsid w:val="00B53056"/>
    <w:rsid w:val="00B6741E"/>
    <w:rsid w:val="00B83DFD"/>
    <w:rsid w:val="00B91E3C"/>
    <w:rsid w:val="00BA014D"/>
    <w:rsid w:val="00BF0C61"/>
    <w:rsid w:val="00C432C7"/>
    <w:rsid w:val="00C748C2"/>
    <w:rsid w:val="00C81956"/>
    <w:rsid w:val="00CA4A8E"/>
    <w:rsid w:val="00CA65CA"/>
    <w:rsid w:val="00CA7E6F"/>
    <w:rsid w:val="00CC0A2C"/>
    <w:rsid w:val="00CD5E83"/>
    <w:rsid w:val="00CE4253"/>
    <w:rsid w:val="00CF5598"/>
    <w:rsid w:val="00D5155D"/>
    <w:rsid w:val="00DB6947"/>
    <w:rsid w:val="00DC63B7"/>
    <w:rsid w:val="00DE124A"/>
    <w:rsid w:val="00DE7F49"/>
    <w:rsid w:val="00E03DC0"/>
    <w:rsid w:val="00E11629"/>
    <w:rsid w:val="00E4052F"/>
    <w:rsid w:val="00E41B25"/>
    <w:rsid w:val="00E461C0"/>
    <w:rsid w:val="00E465FA"/>
    <w:rsid w:val="00E55DFD"/>
    <w:rsid w:val="00EC257A"/>
    <w:rsid w:val="00ED20C7"/>
    <w:rsid w:val="00EE6061"/>
    <w:rsid w:val="00EF439E"/>
    <w:rsid w:val="00F04B85"/>
    <w:rsid w:val="00F0569F"/>
    <w:rsid w:val="00F1354A"/>
    <w:rsid w:val="00F44CF1"/>
    <w:rsid w:val="00F6093F"/>
    <w:rsid w:val="00F6740C"/>
    <w:rsid w:val="00F8365E"/>
    <w:rsid w:val="00F839D3"/>
    <w:rsid w:val="00F916AE"/>
    <w:rsid w:val="00F91C63"/>
    <w:rsid w:val="00FA53B8"/>
    <w:rsid w:val="00FB77B5"/>
    <w:rsid w:val="00FD0467"/>
    <w:rsid w:val="00FD0AB0"/>
    <w:rsid w:val="00FF24DB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456F-1095-4C53-97E9-8ECEA77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66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4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467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A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4F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4F7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54F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4F7D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3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2F0C1.2AAB9D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166F-7D0F-4E89-933E-7326759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Bernos Bruno</dc:creator>
  <cp:lastModifiedBy>Ihaddadene Hocine</cp:lastModifiedBy>
  <cp:revision>2</cp:revision>
  <cp:lastPrinted>2019-06-25T09:22:00Z</cp:lastPrinted>
  <dcterms:created xsi:type="dcterms:W3CDTF">2019-07-03T13:24:00Z</dcterms:created>
  <dcterms:modified xsi:type="dcterms:W3CDTF">2019-07-03T13:24:00Z</dcterms:modified>
</cp:coreProperties>
</file>