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p>
    <w:p>
      <w:pPr>
        <w:spacing w:after="240"/>
      </w:pPr>
    </w:p>
    <w:p>
      <w:pPr>
        <w:spacing w:after="240"/>
      </w:pPr>
    </w:p>
    <w:p>
      <w:pPr>
        <w:spacing w:after="240"/>
      </w:pPr>
    </w:p>
    <w:p>
      <w:pPr>
        <w:spacing w:after="240"/>
      </w:pPr>
    </w:p>
    <w:p>
      <w:pPr>
        <w:spacing w:after="360"/>
        <w:jc w:val="center"/>
      </w:pPr>
      <w:r>
        <w:rPr>
          <w:b/>
          <w:color w:val="666666"/>
          <w:sz w:val="20"/>
        </w:rPr>
        <w:t>BOARD RECOMMENDATION REPORT</w:t>
      </w:r>
    </w:p>
    <w:p>
      <w:pPr>
        <w:spacing w:after="160"/>
        <w:jc w:val="center"/>
      </w:pPr>
      <w:r>
        <w:rPr>
          <w:b/>
          <w:color w:val="000000"/>
          <w:sz w:val="60"/>
        </w:rPr>
        <w:t>Community Pool Evaluation</w:t>
      </w:r>
    </w:p>
    <w:p>
      <w:pPr>
        <w:spacing w:after="80"/>
        <w:jc w:val="center"/>
      </w:pPr>
      <w:r>
        <w:rPr>
          <w:color w:val="333333"/>
          <w:sz w:val="30"/>
        </w:rPr>
        <w:t>Chestnut Creek Homeowners Association</w:t>
      </w:r>
    </w:p>
    <w:p>
      <w:pPr>
        <w:spacing w:after="1400"/>
        <w:jc w:val="center"/>
      </w:pPr>
      <w:r>
        <w:rPr>
          <w:i/>
          <w:color w:val="666666"/>
          <w:sz w:val="22"/>
        </w:rPr>
        <w:t>A homeowner report on facility condition, alternatives,</w:t>
        <w:br/>
        <w:t>financing, and member approval</w:t>
      </w:r>
    </w:p>
    <w:p>
      <w:pPr>
        <w:spacing w:after="60"/>
        <w:jc w:val="center"/>
      </w:pPr>
      <w:r>
        <w:rPr>
          <w:strike w:val="0"/>
        </w:rPr>
        <w:t>VERSION 4.6</w:t>
      </w:r>
    </w:p>
    <w:p>
      <w:r>
        <w:rPr/>
        <w:br w:type="page"/>
      </w:r>
    </w:p>
    <w:p>
      <w:pPr>
        <w:pStyle w:val="Heading1"/>
        <w:keepNext/>
      </w:pPr>
      <w:r>
        <w:rPr/>
        <w:t>Table of Contents</w:t>
      </w:r>
    </w:p>
    <w:p>
      <w:pPr>
        <w:spacing w:after="80"/>
        <w:ind w:left="216"/>
      </w:pPr>
      <w:r>
        <w:rPr>
          <w:color w:val="000000"/>
          <w:sz w:val="21"/>
        </w:rPr>
        <w:t>Letter from the Board</w:t>
      </w:r>
    </w:p>
    <w:p>
      <w:pPr>
        <w:spacing w:after="80"/>
        <w:ind w:left="216"/>
      </w:pPr>
      <w:r>
        <w:rPr>
          <w:color w:val="000000"/>
          <w:sz w:val="21"/>
        </w:rPr>
        <w:t>Executive Summary</w:t>
      </w:r>
    </w:p>
    <w:p>
      <w:pPr>
        <w:spacing w:after="80"/>
        <w:ind w:left="216"/>
      </w:pPr>
      <w:r>
        <w:rPr>
          <w:color w:val="000000"/>
          <w:sz w:val="21"/>
        </w:rPr>
        <w:t>1. Background</w:t>
      </w:r>
    </w:p>
    <w:p>
      <w:pPr>
        <w:spacing w:after="80"/>
        <w:ind w:left="216"/>
      </w:pPr>
      <w:r>
        <w:rPr>
          <w:color w:val="000000"/>
          <w:sz w:val="21"/>
        </w:rPr>
        <w:t>2. Professional Evaluation</w:t>
      </w:r>
    </w:p>
    <w:p>
      <w:pPr>
        <w:spacing w:after="80"/>
        <w:ind w:left="216"/>
      </w:pPr>
      <w:r>
        <w:rPr>
          <w:color w:val="000000"/>
          <w:sz w:val="21"/>
        </w:rPr>
        <w:t>3. Key Findings</w:t>
      </w:r>
    </w:p>
    <w:p>
      <w:pPr>
        <w:spacing w:after="80"/>
        <w:ind w:left="216"/>
      </w:pPr>
      <w:r>
        <w:rPr>
          <w:color w:val="000000"/>
          <w:sz w:val="21"/>
        </w:rPr>
        <w:t>4. Rehabilitation Cost Evaluation</w:t>
      </w:r>
    </w:p>
    <w:p>
      <w:pPr>
        <w:spacing w:after="80"/>
        <w:ind w:left="216"/>
      </w:pPr>
      <w:r>
        <w:rPr>
          <w:color w:val="000000"/>
          <w:sz w:val="21"/>
        </w:rPr>
        <w:t>5. Comparison of Alternatives</w:t>
      </w:r>
    </w:p>
    <w:p>
      <w:pPr>
        <w:spacing w:after="80"/>
        <w:ind w:left="216"/>
      </w:pPr>
      <w:r>
        <w:rPr>
          <w:color w:val="000000"/>
          <w:sz w:val="21"/>
        </w:rPr>
        <w:t>6. Board Recommendation</w:t>
      </w:r>
    </w:p>
    <w:p>
      <w:pPr>
        <w:spacing w:after="80"/>
        <w:ind w:left="216"/>
      </w:pPr>
      <w:r>
        <w:rPr>
          <w:color w:val="000000"/>
          <w:sz w:val="21"/>
        </w:rPr>
        <w:t>7. Proposed Project</w:t>
      </w:r>
    </w:p>
    <w:p>
      <w:pPr>
        <w:spacing w:after="80"/>
        <w:ind w:left="216"/>
      </w:pPr>
      <w:r>
        <w:rPr>
          <w:color w:val="000000"/>
          <w:sz w:val="21"/>
        </w:rPr>
        <w:t>8. Funding Plan</w:t>
      </w:r>
    </w:p>
    <w:p>
      <w:pPr>
        <w:spacing w:after="80"/>
        <w:ind w:left="216"/>
      </w:pPr>
      <w:r>
        <w:rPr>
          <w:color w:val="000000"/>
          <w:sz w:val="21"/>
        </w:rPr>
        <w:t>9. Member Approval</w:t>
      </w:r>
    </w:p>
    <w:p>
      <w:pPr>
        <w:spacing w:after="80"/>
        <w:ind w:left="216"/>
      </w:pPr>
      <w:r>
        <w:rPr>
          <w:color w:val="000000"/>
          <w:sz w:val="21"/>
        </w:rPr>
        <w:t>10. Frequently Asked Questions</w:t>
      </w:r>
    </w:p>
    <w:p>
      <w:pPr>
        <w:spacing w:after="80"/>
        <w:ind w:left="216"/>
      </w:pPr>
      <w:r>
        <w:rPr>
          <w:color w:val="000000"/>
          <w:sz w:val="21"/>
        </w:rPr>
        <w:t>Appendix A - Sources of Information</w:t>
      </w:r>
    </w:p>
    <w:p>
      <w:pPr>
        <w:pStyle w:val="Heading2"/>
        <w:keepNext/>
        <w:spacing w:before="320"/>
      </w:pPr>
      <w:r>
        <w:rPr>
          <w:strike w:val="0"/>
        </w:rPr>
        <w:t>About This Report</w:t>
      </w:r>
    </w:p>
    <w:p>
      <w:pPr>
        <w:keepNext/>
      </w:pPr>
      <w:r>
        <w:rPr>
          <w:strike w:val="0"/>
        </w:rPr>
        <w:t>This report was prepared by the Board to summarize the information it considered and explain its recommendation. It is not itself an engineering report, appraisal, construction bid, lender commitment, or legal opinion. The underlying source documents retain their own scopes, assumptions, exclusions, and limitations.</w:t>
      </w:r>
    </w:p>
    <w:p>
      <w:pPr>
        <w:keepNext/>
      </w:pPr>
      <w:r>
        <w:t>Replacement design, full-scope competitive pricing, and final loan documents remain in development. Dollar amounts and schedules identified as estimates or planning allowances are not guarantees. The homeowner information meeting will be held Sunday, August 30, 2026, at 4:00 p.m., and the membership vote will be held Sunday, September 13, 2026, at 4:00 p.m.; both meetings will take place at the Chestnut Creek pool pavilion. Members may vote in person at the September 13 meeting or submit a signed directed proxy in advance or through an authorized proxy holder. The accompanying ballot, proxy, and meeting notice provide the controlling instructions.</w:t>
      </w:r>
    </w:p>
    <w:p>
      <w:r>
        <w:rPr/>
        <w:br w:type="page"/>
      </w:r>
    </w:p>
    <w:p>
      <w:pPr>
        <w:pStyle w:val="Heading1"/>
        <w:keepNext/>
      </w:pPr>
      <w:r>
        <w:rPr/>
        <w:t>Letter From The Board</w:t>
      </w:r>
    </w:p>
    <w:p>
      <w:r>
        <w:rPr>
          <w:b/>
        </w:rPr>
        <w:t>Dear Homeowners,</w:t>
      </w:r>
    </w:p>
    <w:p>
      <w:r>
        <w:rPr/>
        <w:t>For approximately 45 years, the Chestnut Creek pool has been a gathering place for our neighborhood. It has served generations of families and remains an important part of our community.</w:t>
      </w:r>
    </w:p>
    <w:p>
      <w:r>
        <w:rPr>
          <w:strike w:val="0"/>
        </w:rPr>
        <w:t>The age and condition of the facility now require the Association to make a significant long-term decision. The Board evaluated rehabilitation and replacement of the pool based on cost, uncertainty, expected service life, and other long-term implications.</w:t>
      </w:r>
    </w:p>
    <w:p>
      <w:r>
        <w:rPr/>
        <w:t>This report presents the information considered by the Board and explains why the Board recommends replacement of the existing pool. It also describes the proposed project, the maximum assessment authorization, available payment options, and the member approval process.</w:t>
      </w:r>
    </w:p>
    <w:p>
      <w:r>
        <w:rPr/>
        <w:t>We recognize that this is a substantial investment. We encourage every member to review the report, attend the homeowner information meeting on Sunday, August 30, 2026, at 4:00 p.m. at the Chestnut Creek pool pavilion, ask questions, and participate in the member vote on Sunday, September 13, 2026, at 4:00 p.m. at the same location.</w:t>
      </w:r>
    </w:p>
    <w:p>
      <w:r>
        <w:rPr/>
        <w:t>Thank you for taking the time to help determine the future of this community asset.</w:t>
      </w:r>
    </w:p>
    <w:p>
      <w:pPr>
        <w:spacing w:before="240"/>
      </w:pPr>
      <w:r>
        <w:rPr>
          <w:b/>
          <w:color w:val="000000"/>
          <w:sz w:val="22"/>
        </w:rPr>
        <w:t>Chestnut Creek Board of Directors</w:t>
      </w:r>
    </w:p>
    <w:p>
      <w:r>
        <w:rPr/>
        <w:br w:type="page"/>
      </w:r>
    </w:p>
    <w:p>
      <w:pPr>
        <w:pStyle w:val="Heading1"/>
        <w:keepNext/>
      </w:pPr>
      <w:r>
        <w:rPr/>
        <w:t>Executive Summary</w:t>
      </w:r>
    </w:p>
    <w:p>
      <w:r>
        <w:rPr>
          <w:b/>
          <w:strike w:val="0"/>
        </w:rPr>
        <w:t>The Board recommends replacing the existing Chestnut Creek community pool and pool deck with a new facility.</w:t>
      </w:r>
      <w:r>
        <w:rPr>
          <w:strike w:val="0"/>
        </w:rPr>
        <w:t xml:space="preserve"> This recommendation follows a multi-year evaluation of the pool's structural condition, rehabilitation options, replacement alternatives, project financing, and legal requirements.</w:t>
      </w:r>
    </w:p>
    <w:p>
      <w:r>
        <w:rPr>
          <w:strike w:val="0"/>
        </w:rPr>
        <w:t>The principal conclusions are summarized below and discussed in detail in Chapters 3 through 8:</w:t>
      </w:r>
    </w:p>
    <w:p>
      <w:pPr>
        <w:spacing w:after="80" w:line="290" w:lineRule="auto"/>
        <w:numPr>
          <w:ilvl w:val="0"/>
          <w:numId w:val="10"/>
        </w:numPr>
      </w:pPr>
      <w:r>
        <w:rPr/>
        <w:t>The existing pool can be rehabilitated, but doing so would retain much of an approximately 45-year-old structure.</w:t>
      </w:r>
    </w:p>
    <w:p>
      <w:pPr>
        <w:spacing w:after="80" w:line="290" w:lineRule="auto"/>
        <w:numPr>
          <w:ilvl w:val="0"/>
          <w:numId w:val="10"/>
        </w:numPr>
      </w:pPr>
      <w:r>
        <w:rPr>
          <w:strike w:val="0"/>
        </w:rPr>
        <w:t>The structural engineer observed cracking indicating settlement of the pool shell and concluded that the concrete deck had reached the end of its useful life.</w:t>
      </w:r>
    </w:p>
    <w:p>
      <w:pPr>
        <w:spacing w:after="80" w:line="290" w:lineRule="auto"/>
        <w:numPr>
          <w:ilvl w:val="0"/>
          <w:numId w:val="10"/>
        </w:numPr>
      </w:pPr>
      <w:r>
        <w:rPr/>
        <w:t>The engineer recommended removal and replacement of the pool and deck. If the Association instead rehabilitates the pool, the engineer identified substantial work, including removal of the existing plaster, installation of approximately 22 foundation piles, crack repair, replastering, new tile, and replacement of the deck.</w:t>
      </w:r>
    </w:p>
    <w:p>
      <w:pPr>
        <w:spacing w:after="80" w:line="290" w:lineRule="auto"/>
        <w:numPr>
          <w:ilvl w:val="0"/>
          <w:numId w:val="10"/>
        </w:numPr>
      </w:pPr>
      <w:r>
        <w:rPr>
          <w:strike w:val="0"/>
        </w:rPr>
        <w:t>Contractor proposal totals for rehabilitation of the pool ranged from approximately $218,000 to $342,000, but the proposal scopes were materially different. The two lower-priced proposals did not include the foundation-pile stabilization identified by the engineer; the two proposals that expressly included pile stabilization totaled approximately $294,000 and $342,000. None should be treated as a current bid for a common scope.</w:t>
      </w:r>
    </w:p>
    <w:p>
      <w:pPr>
        <w:spacing w:after="80" w:line="290" w:lineRule="auto"/>
        <w:numPr>
          <w:ilvl w:val="0"/>
          <w:numId w:val="10"/>
        </w:numPr>
      </w:pPr>
      <w:r>
        <w:rPr>
          <w:strike w:val="0"/>
        </w:rPr>
        <w:t>Complete replacement would provide a new structural system, modern infrastructure, improved accessibility, and a new expected service life. A specific service-life estimate will be requested from the selected design and construction professionals and will depend on final materials, systems, maintenance, and operating conditions.</w:t>
      </w:r>
    </w:p>
    <w:p>
      <w:pPr>
        <w:spacing w:after="80" w:line="290" w:lineRule="auto"/>
        <w:pageBreakBefore/>
        <w:numPr>
          <w:ilvl w:val="0"/>
          <w:numId w:val="10"/>
        </w:numPr>
      </w:pPr>
      <w:r>
        <w:rPr>
          <w:strike w:val="0"/>
        </w:rPr>
        <w:t>The Board anticipates requesting authorization for a special assessment not to exceed $1.1 million. Based on 140 members, the illustrated payment for a member financing their full share for ten years ranges from approximately $75 per month for a $900,000 project to approximately $91 per month at the maximum authorization, assuming 120 monthly payments at 7% and excluding administrative charges. The complete funding plan appears in Chapter 8.</w:t>
      </w:r>
    </w:p>
    <w:p>
      <w:pPr>
        <w:numPr>
          <w:ilvl w:val="0"/>
          <w:numId w:val="10"/>
        </w:numPr>
      </w:pPr>
      <w:r>
        <w:rPr>
          <w:strike w:val="0"/>
        </w:rPr>
        <w:t>According to the Board's current financing information, the Association's bank has provided preliminary approval for borrowing up to $750,000, subject to final underwriting, documentation, and lender conditions. Additional capacity up to $1 million has been discussed but is not yet a binding commitment. Upfront member payments are expected to reduce the amount the Association would need to borrow.</w:t>
      </w:r>
    </w:p>
    <w:p>
      <w:pPr>
        <w:spacing w:after="80" w:line="290" w:lineRule="auto"/>
        <w:numPr>
          <w:ilvl w:val="0"/>
          <w:numId w:val="10"/>
        </w:numPr>
      </w:pPr>
      <w:r>
        <w:rPr>
          <w:strike w:val="0"/>
        </w:rPr>
        <w:t>If construction begins after the pool closes in September 2027, assessment payments are anticipated to begin July 1, 2027. Before members select a payment option, the Board intends to establish the final assessment from the approved project scope, then-current pricing, financing requirements, and expected project obligations. The assessment will not exceed the amount authorized by the membership. The preliminary sequence and treatment of any later project savings are described in Chapter 8.</w:t>
      </w:r>
    </w:p>
    <w:p>
      <w:pPr>
        <w:numPr>
          <w:ilvl w:val="0"/>
          <w:numId w:val="10"/>
        </w:numPr>
      </w:pPr>
      <w:r>
        <w:rPr/>
        <w:t>Members will vote on authorization of the special assessment at a membership meeting on Sunday, September 13, 2026, at 4:00 p.m. at the Chestnut Creek pool pavilion. Signed directed proxies will be accepted in advance or may be presented by an authorized proxy holder at the meeting. An information meeting will be held on Sunday, August 30, 2026, at 4:00 p.m. at the pool pavilion. Final design, contracting, construction, timing, and financing decisions will remain within the Board's reasonable discretion, subject to the approved authorization and the Association's governing documents.</w:t>
      </w:r>
    </w:p>
    <w:p>
      <w:pPr>
        <w:pStyle w:val="Heading1"/>
        <w:spacing w:before="0"/>
        <w:keepNext/>
        <w:pageBreakBefore/>
      </w:pPr>
      <w:r>
        <w:rPr/>
        <w:t>1. Background</w:t>
      </w:r>
    </w:p>
    <w:p>
      <w:r>
        <w:rPr/>
        <w:t>The Chestnut Creek community pool was constructed at approximately the same time as the surrounding neighborhood and has served residents for approximately 45 years. Routine maintenance, repairs, and periodic improvements have kept the pool in operation, but the age of the pool shell, deck, and supporting systems has created increasingly significant capital needs.</w:t>
      </w:r>
    </w:p>
    <w:p>
      <w:r>
        <w:rPr>
          <w:strike w:val="0"/>
        </w:rPr>
        <w:t>The Board's objective was not simply to determine whether another repair could be made. It sought to compare the alternatives by considering initial cost, retained structural risk, construction risk, expected service life, reliability, accessibility, and stewardship. The Association has not commissioned a formal life-cycle-cost or net-present-value analysis.</w:t>
      </w:r>
    </w:p>
    <w:p>
      <w:r>
        <w:rPr/>
        <w:t>The evaluation was guided by four principles:</w:t>
      </w:r>
    </w:p>
    <w:p>
      <w:pPr>
        <w:spacing w:after="80" w:line="290" w:lineRule="auto"/>
        <w:numPr>
          <w:ilvl w:val="0"/>
          <w:numId w:val="10"/>
        </w:numPr>
      </w:pPr>
      <w:r>
        <w:rPr/>
        <w:t>Base decisions on professional information.</w:t>
      </w:r>
    </w:p>
    <w:p>
      <w:pPr>
        <w:spacing w:after="80" w:line="290" w:lineRule="auto"/>
        <w:numPr>
          <w:ilvl w:val="0"/>
          <w:numId w:val="10"/>
        </w:numPr>
      </w:pPr>
      <w:r>
        <w:rPr/>
        <w:t>Evaluate reasonable alternatives.</w:t>
      </w:r>
    </w:p>
    <w:p>
      <w:pPr>
        <w:spacing w:after="80" w:line="290" w:lineRule="auto"/>
        <w:numPr>
          <w:ilvl w:val="0"/>
          <w:numId w:val="10"/>
        </w:numPr>
      </w:pPr>
      <w:r>
        <w:rPr/>
        <w:t>Consider both immediate cost and long-term stewardship.</w:t>
      </w:r>
    </w:p>
    <w:p>
      <w:pPr>
        <w:spacing w:after="80" w:line="290" w:lineRule="auto"/>
        <w:numPr>
          <w:ilvl w:val="0"/>
          <w:numId w:val="10"/>
        </w:numPr>
      </w:pPr>
      <w:r>
        <w:rPr/>
        <w:t>Provide members with enough information to make an informed decision.</w:t>
      </w:r>
    </w:p>
    <w:p>
      <w:r>
        <w:rPr/>
        <w:br w:type="page"/>
      </w:r>
    </w:p>
    <w:p>
      <w:pPr>
        <w:pStyle w:val="Heading1"/>
        <w:keepNext/>
        <w:spacing w:before="0"/>
      </w:pPr>
      <w:r>
        <w:rPr/>
        <w:t>2. Professional Evaluation</w:t>
      </w:r>
    </w:p>
    <w:p>
      <w:r>
        <w:t xml:space="preserve">The Board's investigation developed over several years. Each source addressed a different question, and no single document was treated as the sole basis for the recommendation. The principal engineering, inspection, reserve-planning, and contractor materials will be available at </w:t>
      </w:r>
      <w:hyperlink r:id="rId13">
        <w:r>
          <w:rPr>
            <w:color w:val="000000"/>
            <w:u w:val="single"/>
          </w:rPr>
          <w:t>chestnutcreek.org/hoa-documents</w:t>
        </w:r>
      </w:hyperlink>
      <w:r>
        <w:t>.</w:t>
      </w:r>
    </w:p>
    <w:p>
      <w:pPr>
        <w:pStyle w:val="Heading2"/>
        <w:keepNext/>
      </w:pPr>
      <w:r>
        <w:rPr/>
        <w:t>Reserve Planning</w:t>
      </w:r>
    </w:p>
    <w:p>
      <w:r>
        <w:rPr/>
        <w:t>The 2023 reserve study and subsequent addendum evaluated the Association's long-term capital responsibilities, including pool-related components. These documents helped place the pool decision within the Association's broader responsibility to plan for major repair and replacement of common assets.</w:t>
      </w:r>
    </w:p>
    <w:p>
      <w:pPr>
        <w:pStyle w:val="Heading2"/>
        <w:keepNext/>
      </w:pPr>
      <w:r>
        <w:rPr/>
        <w:t>Structural Engineering Review</w:t>
      </w:r>
    </w:p>
    <w:p>
      <w:r>
        <w:rPr/>
        <w:t>On October 29, 2025, G&amp;M Engineering, Inc. issued its review of the swimming pool and concrete deck. The engineer observed cracks indicating settlement of the pool shell and stated that eliminating the settlement was critical. The report also found that the approximately 45-year-old concrete deck had reached the end of its useful life and identified deterioration, cracking, and unsafe walking-surface conditions.</w:t>
      </w:r>
    </w:p>
    <w:p>
      <w:r>
        <w:rPr/>
        <w:t>G&amp;M Engineering recommended that the pool and concrete deck be removed and replaced. The recommendation was based on the age of the amenity and the cost of restoring it to a condition expected to provide more than ten additional years of service.</w:t>
      </w:r>
    </w:p>
    <w:p>
      <w:r>
        <w:rPr/>
        <w:t>The engineer also described the work that would be necessary if the Association chose rehabilitation. That work included:</w:t>
      </w:r>
    </w:p>
    <w:p>
      <w:pPr>
        <w:spacing w:after="80" w:line="290" w:lineRule="auto"/>
        <w:numPr>
          <w:ilvl w:val="0"/>
          <w:numId w:val="10"/>
        </w:numPr>
      </w:pPr>
      <w:r>
        <w:rPr/>
        <w:t>Removing the existing plaster to expose the original pool walls.</w:t>
      </w:r>
    </w:p>
    <w:p>
      <w:pPr>
        <w:spacing w:after="80" w:line="290" w:lineRule="auto"/>
        <w:numPr>
          <w:ilvl w:val="0"/>
          <w:numId w:val="10"/>
        </w:numPr>
      </w:pPr>
      <w:r>
        <w:rPr/>
        <w:t>Installing approximately 22 foundation piles to stabilize the settling pool shell.</w:t>
      </w:r>
    </w:p>
    <w:p>
      <w:pPr>
        <w:spacing w:after="80" w:line="290" w:lineRule="auto"/>
        <w:numPr>
          <w:ilvl w:val="0"/>
          <w:numId w:val="10"/>
        </w:numPr>
      </w:pPr>
      <w:r>
        <w:rPr/>
        <w:t>Repairing cracks in the pool shell with structural staples.</w:t>
      </w:r>
    </w:p>
    <w:p>
      <w:pPr>
        <w:spacing w:after="80" w:line="290" w:lineRule="auto"/>
        <w:numPr>
          <w:ilvl w:val="0"/>
          <w:numId w:val="10"/>
        </w:numPr>
      </w:pPr>
      <w:r>
        <w:rPr/>
        <w:t>Installing new plaster and waterline tile.</w:t>
      </w:r>
    </w:p>
    <w:p>
      <w:pPr>
        <w:spacing w:after="80" w:line="290" w:lineRule="auto"/>
        <w:numPr>
          <w:ilvl w:val="0"/>
          <w:numId w:val="10"/>
        </w:numPr>
      </w:pPr>
      <w:r>
        <w:rPr/>
        <w:t>Removing and replacing the concrete deck under engineered plans and a land-disturbance permit.</w:t>
      </w:r>
    </w:p>
    <w:p>
      <w:r>
        <w:rPr>
          <w:b/>
          <w:strike w:val="0"/>
        </w:rPr>
        <w:t>The engineer cautioned that removing the existing plaster could reveal additional cracks or damage that are not currently visible.</w:t>
      </w:r>
      <w:r>
        <w:rPr>
          <w:strike w:val="0"/>
        </w:rPr>
      </w:r>
    </w:p>
    <w:p>
      <w:pPr>
        <w:pStyle w:val="Heading2"/>
        <w:keepNext/>
      </w:pPr>
      <w:r>
        <w:rPr/>
        <w:t>County Inspection</w:t>
      </w:r>
    </w:p>
    <w:p>
      <w:r>
        <w:rPr/>
        <w:t>On April 24, 2026, Cobb County completed its seasonal public swimming pool inspection. The facility received a satisfactory rating and was approved to operate for the 2026 season. The inspection also identified cracks in the pool deck and required the deck to be maintained in good repair.</w:t>
      </w:r>
    </w:p>
    <w:p>
      <w:r>
        <w:rPr/>
        <w:t>The county inspection and the structural engineering evaluation served different purposes. The county determined whether the facility met the operating and public-health requirements applicable to the 2026 season. The engineer evaluated structural condition, settlement, remaining service life, and the work necessary for long-term restoration. Seasonal operating approval does not constitute an engineering opinion about the facility's long-term structural performance, and the two evaluations are not contradictory.</w:t>
      </w:r>
    </w:p>
    <w:p>
      <w:pPr>
        <w:pStyle w:val="Heading2"/>
        <w:keepNext/>
      </w:pPr>
      <w:r>
        <w:rPr>
          <w:strike w:val="0"/>
        </w:rPr>
        <w:t>Renovation Proposals</w:t>
      </w:r>
    </w:p>
    <w:p>
      <w:r>
        <w:rPr>
          <w:strike w:val="0"/>
        </w:rPr>
        <w:t>To understand the potential cost of rehabilitating the existing pool, the Board and renovation committee obtained proposals from four commercial pool contractors.</w:t>
      </w:r>
    </w:p>
    <w:p>
      <w:pPr/>
      <w:r>
        <w:rPr>
          <w:strike w:val="0"/>
        </w:rPr>
        <w:t>The contractors did not price the same scope of work. The Pool Supply Atlanta and Sweetwater proposals focused primarily on pool finishes, deck work, and selected repairs and did not include the foundation-pile stabilization described by the structural engineer. The Sears and Dynamo proposals included structural stabilization but used different assumptions regarding the number, depth, and cost of the piles.</w:t>
      </w:r>
    </w:p>
    <w:p>
      <w:pPr/>
      <w:r>
        <w:rPr>
          <w:strike w:val="0"/>
        </w:rPr>
        <w:t>Because the scopes differed materially, the proposal totals should not be treated as competing bids for the same renovation project. They provide useful planning information, but an updated common scope and current pricing would be required before the Association could proceed with rehabilitation.</w:t>
      </w:r>
    </w:p>
    <w:p>
      <w:pPr>
        <w:pStyle w:val="Heading2"/>
        <w:keepNext/>
      </w:pPr>
      <w:r>
        <w:rPr>
          <w:strike w:val="0"/>
        </w:rPr>
        <w:t>Preliminary Replacement Estimates</w:t>
      </w:r>
    </w:p>
    <w:p>
      <w:r>
        <w:rPr>
          <w:strike w:val="0"/>
        </w:rPr>
        <w:t>The Board also consulted pool builders, general contractors, demolition contractors, and site-work professionals regarding complete replacement of the facility. Based on those discussions, preliminary verbal estimates for the complete project generally ranged from approximately $700,000 to $1 million.</w:t>
      </w:r>
    </w:p>
    <w:p>
      <w:pPr/>
      <w:r>
        <w:rPr>
          <w:strike w:val="0"/>
        </w:rPr>
        <w:t>These figures are planning estimates rather than written bids or guaranteed prices. No contractor has yet priced the complete replacement project using a final design and common scope of work. The ultimate cost will depend on the completed design and the requirements for demolition, the new pool and pool house, deck construction, site access, drainage, utilities, permitting, accessibility, and restoration of areas affected by construction.</w:t>
      </w:r>
    </w:p>
    <w:p>
      <w:pPr/>
      <w:r>
        <w:rPr>
          <w:strike w:val="0"/>
        </w:rPr>
        <w:t>Before awarding the principal construction contract, the Board intends to complete sufficient design and permitting work to define the project scope and obtain formal written proposals.</w:t>
      </w:r>
    </w:p>
    <w:p>
      <w:pPr>
        <w:pStyle w:val="Heading2"/>
        <w:keepNext/>
      </w:pPr>
      <w:r>
        <w:rPr/>
        <w:t>Financial and Legal Review</w:t>
      </w:r>
    </w:p>
    <w:p>
      <w:r>
        <w:rPr/>
        <w:t>The Association consulted its bank regarding financing and obtained legal guidance regarding the special assessment, voting requirements, member classes, proxies, and the Board's authority after approval. These discussions informed the funding and member-approval chapters of this report.</w:t>
      </w:r>
    </w:p>
    <w:p>
      <w:pPr>
        <w:pStyle w:val="Heading2"/>
        <w:keepNext/>
      </w:pPr>
      <w:r>
        <w:rPr/>
        <w:t>Community Market Perspective</w:t>
      </w:r>
    </w:p>
    <w:p>
      <w:r>
        <w:rPr/>
        <w:t>The Board requested input from a local East Cobb real estate professional regarding the role of swim and tennis amenities in neighborhood marketability. That perspective is summarized in Chapter 5.</w:t>
      </w:r>
    </w:p>
    <w:p>
      <w:pPr>
        <w:pStyle w:val="Heading1"/>
        <w:keepNext/>
        <w:spacing w:before="0"/>
      </w:pPr>
      <w:r>
        <w:rPr/>
        <w:t>3. Key Findings</w:t>
      </w:r>
    </w:p>
    <w:p>
      <w:r>
        <w:rPr>
          <w:strike w:val="0"/>
        </w:rPr>
        <w:t>The source materials support several recurring observations. Where this chapter expresses a comparative judgment rather than a documented professional conclusion, that judgment is identified as the Board's assessment:</w:t>
      </w:r>
    </w:p>
    <w:p>
      <w:pPr>
        <w:spacing w:after="80" w:line="290" w:lineRule="auto"/>
        <w:numPr>
          <w:ilvl w:val="0"/>
          <w:numId w:val="10"/>
        </w:numPr>
      </w:pPr>
      <w:r>
        <w:rPr/>
        <w:t>Major rehabilitation of the existing facility is technically feasible.</w:t>
      </w:r>
    </w:p>
    <w:p>
      <w:pPr>
        <w:spacing w:after="80" w:line="290" w:lineRule="auto"/>
        <w:numPr>
          <w:ilvl w:val="0"/>
          <w:numId w:val="10"/>
        </w:numPr>
      </w:pPr>
      <w:r>
        <w:rPr/>
        <w:t>The pool shell is experiencing settlement that would need to be stabilized as part of a meaningful rehabilitation.</w:t>
      </w:r>
    </w:p>
    <w:p>
      <w:pPr>
        <w:spacing w:after="80" w:line="290" w:lineRule="auto"/>
        <w:numPr>
          <w:ilvl w:val="0"/>
          <w:numId w:val="10"/>
        </w:numPr>
      </w:pPr>
      <w:r>
        <w:rPr/>
        <w:t>The existing concrete deck has reached the end of its useful life and requires replacement.</w:t>
      </w:r>
    </w:p>
    <w:p>
      <w:pPr>
        <w:spacing w:after="80" w:line="290" w:lineRule="auto"/>
        <w:numPr>
          <w:ilvl w:val="0"/>
          <w:numId w:val="10"/>
        </w:numPr>
      </w:pPr>
      <w:r>
        <w:rPr/>
        <w:t>Unknown conditions may not become visible until plaster, concrete, or other portions of the existing facility are removed.</w:t>
      </w:r>
    </w:p>
    <w:p>
      <w:pPr>
        <w:spacing w:after="80" w:line="290" w:lineRule="auto"/>
        <w:numPr>
          <w:ilvl w:val="0"/>
          <w:numId w:val="10"/>
        </w:numPr>
      </w:pPr>
      <w:r>
        <w:rPr/>
        <w:t>Rehabilitation would retain much of the original pool structure.</w:t>
      </w:r>
    </w:p>
    <w:p>
      <w:pPr>
        <w:spacing w:after="80" w:line="290" w:lineRule="auto"/>
        <w:numPr>
          <w:ilvl w:val="0"/>
          <w:numId w:val="10"/>
        </w:numPr>
      </w:pPr>
      <w:r>
        <w:rPr>
          <w:strike w:val="0"/>
        </w:rPr>
        <w:t>A rehabilitated facility would continue to rely on the original pool shell. The engineer did not guarantee a rehabilitation service life, and the Association has not obtained a quantified life-cycle analysis comparing rehabilitation with replacement.</w:t>
      </w:r>
    </w:p>
    <w:p>
      <w:pPr>
        <w:spacing w:after="80" w:line="290" w:lineRule="auto"/>
        <w:numPr>
          <w:ilvl w:val="0"/>
          <w:numId w:val="10"/>
        </w:numPr>
      </w:pPr>
      <w:r>
        <w:rPr>
          <w:strike w:val="0"/>
        </w:rPr>
        <w:t>Complete replacement would avoid continued reliance on the existing pool shell and would provide new systems designed under then-applicable requirements. It would not eliminate ordinary new-construction risks, and no specific service-life estimate has yet been obtained for the proposed replacement facility.</w:t>
      </w:r>
    </w:p>
    <w:p>
      <w:r>
        <w:rPr/>
        <w:t>These findings formed the basis for the Board's comparison of rehabilitation and replacement.</w:t>
      </w:r>
    </w:p>
    <w:p>
      <w:r>
        <w:rPr/>
        <w:br w:type="page"/>
      </w:r>
    </w:p>
    <w:p>
      <w:pPr>
        <w:pStyle w:val="Heading1"/>
        <w:keepNext/>
        <w:spacing w:before="0"/>
      </w:pPr>
      <w:r>
        <w:rPr/>
        <w:t>4. Rehabilitation Cost Evaluation</w:t>
      </w:r>
    </w:p>
    <w:p>
      <w:r>
        <w:rPr>
          <w:strike w:val="0"/>
        </w:rPr>
        <w:t>The proposed scopes varied considerably. Some contractors focused on pool finishes and selected repairs, while others included structural stabilization, deck replacement, engineering, drainage, plumbing allowances, and other infrastructure work. The figures should therefore not be interpreted as competing bids for an identical project. The proposals will be included among the materials made available for member review. Because the proposals are planning documents with differing scopes and limited validity periods, any warranty provisions they contain should not be treated as warranties for work that has not been contracted.</w:t>
      </w:r>
    </w:p>
    <w:tbl>
      <w:tblPr>
        <w:tblStyle w:val="TableGrid"/>
        <w:tblW w:type="dxa" w:w="9360"/>
        <w:jc w:val="left"/>
        <w:tblLayout w:type="fixed"/>
        <w:tblLook w:firstColumn="1" w:firstRow="1" w:lastColumn="0" w:lastRow="0" w:noHBand="0" w:noVBand="1" w:val="04A0"/>
        <w:tblInd w:type="dxa" w:w="0"/>
      </w:tblPr>
      <w:tblGrid>
        <w:gridCol w:w="1800"/>
        <w:gridCol w:w="4104"/>
        <w:gridCol w:w="1800"/>
        <w:gridCol w:w="1655"/>
      </w:tblGrid>
      <w:tr>
        <w:trPr>
          <w:tblHeader w:val="true"/>
          <w:cantSplit/>
          <w:tblHeader w:val="true"/>
          <w:tblHeader w:val="true"/>
        </w:trPr>
        <w:tc>
          <w:tcPr>
            <w:tcW w:type="dxa" w:w="1800"/>
            <w:vAlign w:val="center"/>
            <w:shd w:fill="E6E6E6"/>
            <w:tcMar>
              <w:top w:w="100" w:type="dxa"/>
              <w:bottom w:w="100" w:type="dxa"/>
              <w:start w:w="120" w:type="dxa"/>
              <w:end w:w="120" w:type="dxa"/>
              <w:left w:w="100" w:type="dxa"/>
              <w:right w:w="100" w:type="dxa"/>
            </w:tcMar>
          </w:tcPr>
          <w:p>
            <w:pPr>
              <w:spacing w:before="0" w:after="0" w:line="240" w:lineRule="auto"/>
              <w:jc w:val="center"/>
            </w:pPr>
            <w:r>
              <w:rPr>
                <w:sz w:val="17"/>
              </w:rPr>
            </w:r>
            <w:r>
              <w:rPr>
                <w:b/>
                <w:strike w:val="0"/>
                <w:sz w:val="17"/>
              </w:rPr>
              <w:t>Contractor</w:t>
            </w:r>
          </w:p>
        </w:tc>
        <w:tc>
          <w:tcPr>
            <w:tcW w:type="dxa" w:w="4104"/>
            <w:vAlign w:val="center"/>
            <w:shd w:fill="E6E6E6"/>
            <w:tcMar>
              <w:top w:w="100" w:type="dxa"/>
              <w:bottom w:w="100" w:type="dxa"/>
              <w:start w:w="120" w:type="dxa"/>
              <w:end w:w="120" w:type="dxa"/>
              <w:left w:w="100" w:type="dxa"/>
              <w:right w:w="100" w:type="dxa"/>
            </w:tcMar>
          </w:tcPr>
          <w:p>
            <w:pPr>
              <w:spacing w:before="0" w:after="0" w:line="240" w:lineRule="auto"/>
              <w:jc w:val="center"/>
            </w:pPr>
            <w:r>
              <w:rPr>
                <w:sz w:val="17"/>
              </w:rPr>
            </w:r>
            <w:r>
              <w:rPr>
                <w:b/>
                <w:strike w:val="0"/>
                <w:sz w:val="17"/>
              </w:rPr>
              <w:t>Material quoted scope</w:t>
            </w:r>
          </w:p>
        </w:tc>
        <w:tc>
          <w:tcPr>
            <w:tcW w:type="dxa" w:w="1800"/>
            <w:vAlign w:val="center"/>
            <w:shd w:fill="E6E6E6"/>
            <w:tcMar>
              <w:top w:w="100" w:type="dxa"/>
              <w:bottom w:w="100" w:type="dxa"/>
              <w:start w:w="120" w:type="dxa"/>
              <w:end w:w="120" w:type="dxa"/>
              <w:left w:w="100" w:type="dxa"/>
              <w:right w:w="100" w:type="dxa"/>
            </w:tcMar>
          </w:tcPr>
          <w:p>
            <w:pPr>
              <w:spacing w:before="0" w:after="0" w:line="240" w:lineRule="auto"/>
              <w:jc w:val="center"/>
            </w:pPr>
            <w:r>
              <w:rPr>
                <w:sz w:val="17"/>
              </w:rPr>
            </w:r>
            <w:r>
              <w:rPr>
                <w:b/>
                <w:strike w:val="0"/>
                <w:sz w:val="17"/>
              </w:rPr>
              <w:t>Foundation-pile stabilization in quoted scope</w:t>
            </w:r>
          </w:p>
        </w:tc>
        <w:tc>
          <w:tcPr>
            <w:tcW w:type="dxa" w:w="1655"/>
            <w:vAlign w:val="center"/>
            <w:tcMar>
              <w:top w:w="100" w:type="dxa"/>
              <w:left w:w="100" w:type="dxa"/>
              <w:bottom w:w="100" w:type="dxa"/>
              <w:right w:w="100" w:type="dxa"/>
            </w:tcMar>
            <w:shd w:fill="E6E6E6"/>
          </w:tcPr>
          <w:p>
            <w:pPr>
              <w:spacing w:before="0" w:after="0" w:line="240" w:lineRule="auto"/>
              <w:jc w:val="center"/>
            </w:pPr>
            <w:r>
              <w:rPr>
                <w:sz w:val="17"/>
              </w:rPr>
            </w:r>
            <w:r>
              <w:rPr>
                <w:b/>
                <w:strike w:val="0"/>
                <w:sz w:val="17"/>
              </w:rPr>
              <w:t>Quoted total</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Pool Supply Atlanta</w:t>
            </w:r>
          </w:p>
        </w:tc>
        <w:tc>
          <w:tcPr>
            <w:tcW w:type="dxa" w:w="4104"/>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Pool finishes, coping/tile, selected deck and repair work</w:t>
            </w:r>
          </w:p>
        </w:tc>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No</w:t>
            </w:r>
          </w:p>
        </w:tc>
        <w:tc>
          <w:tcPr>
            <w:tcW w:type="dxa" w:w="1655"/>
            <w:vAlign w:val="center"/>
            <w:tcMar>
              <w:top w:w="100" w:type="dxa"/>
              <w:left w:w="100" w:type="dxa"/>
              <w:bottom w:w="100" w:type="dxa"/>
              <w:right w:w="100" w:type="dxa"/>
            </w:tcMar>
          </w:tcPr>
          <w:p>
            <w:pPr>
              <w:spacing w:before="0" w:after="0" w:line="240" w:lineRule="auto"/>
              <w:jc w:val="center"/>
            </w:pPr>
            <w:r>
              <w:rPr>
                <w:sz w:val="17"/>
              </w:rPr>
            </w:r>
            <w:r>
              <w:rPr>
                <w:strike w:val="0"/>
                <w:sz w:val="17"/>
              </w:rPr>
              <w:t>$217,828</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Sweetwater Pools</w:t>
            </w:r>
          </w:p>
        </w:tc>
        <w:tc>
          <w:tcPr>
            <w:tcW w:type="dxa" w:w="4104"/>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Pool finishes, coping/tile, deck removal/replacement and coating</w:t>
            </w:r>
          </w:p>
        </w:tc>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No</w:t>
            </w:r>
          </w:p>
        </w:tc>
        <w:tc>
          <w:tcPr>
            <w:tcW w:type="dxa" w:w="1655"/>
            <w:vAlign w:val="center"/>
            <w:tcMar>
              <w:top w:w="100" w:type="dxa"/>
              <w:left w:w="100" w:type="dxa"/>
              <w:bottom w:w="100" w:type="dxa"/>
              <w:right w:w="100" w:type="dxa"/>
            </w:tcMar>
          </w:tcPr>
          <w:p>
            <w:pPr>
              <w:spacing w:before="0" w:after="0" w:line="240" w:lineRule="auto"/>
              <w:jc w:val="center"/>
            </w:pPr>
            <w:r>
              <w:rPr>
                <w:sz w:val="17"/>
              </w:rPr>
            </w:r>
            <w:r>
              <w:rPr>
                <w:strike w:val="0"/>
                <w:sz w:val="17"/>
              </w:rPr>
              <w:t>$230,529</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Sears Pool Management</w:t>
            </w:r>
          </w:p>
        </w:tc>
        <w:tc>
          <w:tcPr>
            <w:tcW w:type="dxa" w:w="4104"/>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Deck and infrastructure work plus 31 assumed helical piles</w:t>
            </w:r>
          </w:p>
        </w:tc>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Yes</w:t>
            </w:r>
          </w:p>
        </w:tc>
        <w:tc>
          <w:tcPr>
            <w:tcW w:type="dxa" w:w="1655"/>
            <w:vAlign w:val="center"/>
            <w:tcMar>
              <w:top w:w="100" w:type="dxa"/>
              <w:left w:w="100" w:type="dxa"/>
              <w:bottom w:w="100" w:type="dxa"/>
              <w:right w:w="100" w:type="dxa"/>
            </w:tcMar>
          </w:tcPr>
          <w:p>
            <w:pPr>
              <w:spacing w:before="0" w:after="0" w:line="240" w:lineRule="auto"/>
              <w:jc w:val="center"/>
            </w:pPr>
            <w:r>
              <w:rPr>
                <w:sz w:val="17"/>
              </w:rPr>
            </w:r>
            <w:r>
              <w:rPr>
                <w:strike w:val="0"/>
                <w:sz w:val="17"/>
              </w:rPr>
              <w:t>$293,660</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Dynamo Pool Management</w:t>
            </w:r>
          </w:p>
        </w:tc>
        <w:tc>
          <w:tcPr>
            <w:tcW w:type="dxa" w:w="4104"/>
            <w:vAlign w:val="center"/>
            <w:tcMar>
              <w:top w:w="100" w:type="dxa"/>
              <w:bottom w:w="100" w:type="dxa"/>
              <w:start w:w="120" w:type="dxa"/>
              <w:end w:w="120" w:type="dxa"/>
              <w:left w:w="100" w:type="dxa"/>
              <w:right w:w="100" w:type="dxa"/>
            </w:tcMar>
          </w:tcPr>
          <w:p>
            <w:pPr>
              <w:spacing w:before="0" w:after="0" w:line="240" w:lineRule="auto"/>
              <w:jc w:val="left"/>
            </w:pPr>
            <w:r>
              <w:rPr>
                <w:sz w:val="17"/>
              </w:rPr>
            </w:r>
            <w:r>
              <w:rPr>
                <w:strike w:val="0"/>
                <w:sz w:val="17"/>
              </w:rPr>
              <w:t>Engineering, shell repair, deck work and 22 assumed helical piles</w:t>
            </w:r>
          </w:p>
        </w:tc>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Yes</w:t>
            </w:r>
          </w:p>
        </w:tc>
        <w:tc>
          <w:tcPr>
            <w:tcW w:type="dxa" w:w="1655"/>
            <w:vAlign w:val="center"/>
            <w:tcMar>
              <w:top w:w="100" w:type="dxa"/>
              <w:left w:w="100" w:type="dxa"/>
              <w:bottom w:w="100" w:type="dxa"/>
              <w:right w:w="100" w:type="dxa"/>
            </w:tcMar>
          </w:tcPr>
          <w:p>
            <w:pPr>
              <w:spacing w:before="0" w:after="0" w:line="240" w:lineRule="auto"/>
              <w:jc w:val="center"/>
            </w:pPr>
            <w:r>
              <w:rPr>
                <w:sz w:val="17"/>
              </w:rPr>
            </w:r>
            <w:r>
              <w:rPr>
                <w:strike w:val="0"/>
                <w:sz w:val="17"/>
              </w:rPr>
              <w:t>$341,806</w:t>
            </w:r>
          </w:p>
        </w:tc>
      </w:tr>
    </w:tbl>
    <w:p>
      <w:pPr>
        <w:spacing w:after="40"/>
      </w:pPr>
    </w:p>
    <w:p>
      <w:r>
        <w:rPr>
          <w:strike w:val="0"/>
        </w:rPr>
        <w:t>The quoted totals ranged from approximately $218,000 to $342,000, but the lower end of that range did not include the foundation-pile stabilization identified by the engineer. The two proposals expressly including pile stabilization totaled approximately $294,000 and $342,000 and still contained assumptions, allowances, exclusions, unit pricing, or unknown quantities that could change during construction.</w:t>
      </w:r>
    </w:p>
    <w:p>
      <w:r>
        <w:rPr/>
        <w:t>The proposals were also prepared at different times and were generally valid for limited periods. They should be understood as planning information rather than current executable bids. Updated pricing and a unified scope would be required before undertaking rehabilitation.</w:t>
      </w:r>
    </w:p>
    <w:p>
      <w:pPr>
        <w:pStyle w:val="Heading2"/>
        <w:keepNext/>
      </w:pPr>
      <w:r>
        <w:rPr/>
        <w:t>Why Several Evaluations Mention Helical Piles</w:t>
      </w:r>
    </w:p>
    <w:p>
      <w:pPr>
        <w:keepNext/>
      </w:pPr>
      <w:r>
        <w:rPr/>
        <w:t>Helical piles are deep steel supports installed beneath a structure to transfer weight to more stable soil and limit continued movement. The engineer identified approximately 22 foundation piles as part of a rehabilitation approach, and structural stabilization also appeared in contractor evaluations.</w:t>
      </w:r>
    </w:p>
    <w:p>
      <w:r>
        <w:rPr>
          <w:strike w:val="0"/>
        </w:rPr>
        <w:t>Pile quantity, depth, layout, access, and final cost cannot be established with certainty before final engineering and field conditions are known. The engineer identified 22 piles; Sears assumed 31 piles, and Dynamo assumed 22 with additional per-foot pricing beyond its estimated depth. These differences are another reason the proposals cannot be compared by total price alone.</w:t>
      </w:r>
    </w:p>
    <w:p>
      <w:pPr>
        <w:pStyle w:val="Heading1"/>
        <w:keepNext/>
        <w:spacing w:before="0"/>
      </w:pPr>
      <w:r>
        <w:rPr/>
        <w:t>5. Comparison Of Alternatives</w:t>
      </w:r>
    </w:p>
    <w:p>
      <w:pPr>
        <w:pStyle w:val="Heading2"/>
        <w:keepNext/>
      </w:pPr>
      <w:r>
        <w:rPr/>
        <w:t>Alternative A - Major Rehabilitation</w:t>
      </w:r>
    </w:p>
    <w:p>
      <w:r>
        <w:rPr/>
        <w:t>This option would repair structural deficiencies and replace selected components while retaining the original pool shell and portions of the existing facility.</w:t>
      </w:r>
    </w:p>
    <w:p>
      <w:r>
        <w:rPr/>
        <w:t>Potential advantages:</w:t>
      </w:r>
    </w:p>
    <w:p>
      <w:pPr>
        <w:spacing w:after="80" w:line="290" w:lineRule="auto"/>
        <w:numPr>
          <w:ilvl w:val="0"/>
          <w:numId w:val="10"/>
        </w:numPr>
      </w:pPr>
      <w:r>
        <w:rPr/>
        <w:t>Lower initial construction cost.</w:t>
      </w:r>
    </w:p>
    <w:p>
      <w:pPr>
        <w:spacing w:after="80" w:line="290" w:lineRule="auto"/>
        <w:numPr>
          <w:ilvl w:val="0"/>
          <w:numId w:val="10"/>
        </w:numPr>
      </w:pPr>
      <w:r>
        <w:rPr/>
        <w:t>Continued use of portions of the existing infrastructure.</w:t>
      </w:r>
    </w:p>
    <w:p>
      <w:pPr>
        <w:spacing w:after="80" w:line="290" w:lineRule="auto"/>
        <w:numPr>
          <w:ilvl w:val="0"/>
          <w:numId w:val="10"/>
        </w:numPr>
      </w:pPr>
      <w:r>
        <w:rPr/>
        <w:t>Less extensive demolition than complete replacement.</w:t>
      </w:r>
    </w:p>
    <w:p>
      <w:r>
        <w:rPr/>
        <w:t>Key considerations:</w:t>
      </w:r>
    </w:p>
    <w:p>
      <w:pPr>
        <w:spacing w:after="80" w:line="290" w:lineRule="auto"/>
        <w:numPr>
          <w:ilvl w:val="0"/>
          <w:numId w:val="10"/>
        </w:numPr>
      </w:pPr>
      <w:r>
        <w:rPr/>
        <w:t>The settling pool shell would require stabilization.</w:t>
      </w:r>
    </w:p>
    <w:p>
      <w:pPr>
        <w:spacing w:after="80" w:line="290" w:lineRule="auto"/>
        <w:numPr>
          <w:ilvl w:val="0"/>
          <w:numId w:val="10"/>
        </w:numPr>
      </w:pPr>
      <w:r>
        <w:rPr/>
        <w:t>Unknown conditions could be discovered during demolition.</w:t>
      </w:r>
    </w:p>
    <w:p>
      <w:pPr>
        <w:spacing w:after="80" w:line="290" w:lineRule="auto"/>
        <w:numPr>
          <w:ilvl w:val="0"/>
          <w:numId w:val="10"/>
        </w:numPr>
      </w:pPr>
      <w:r>
        <w:rPr/>
        <w:t>Existing structural components would remain in service.</w:t>
      </w:r>
    </w:p>
    <w:p>
      <w:pPr>
        <w:spacing w:after="80" w:line="290" w:lineRule="auto"/>
        <w:numPr>
          <w:ilvl w:val="0"/>
          <w:numId w:val="10"/>
        </w:numPr>
      </w:pPr>
      <w:r>
        <w:rPr/>
        <w:t>Long-term performance would continue to depend partly on the original structure.</w:t>
      </w:r>
    </w:p>
    <w:p>
      <w:pPr>
        <w:spacing w:after="80" w:line="290" w:lineRule="auto"/>
        <w:numPr>
          <w:ilvl w:val="0"/>
          <w:numId w:val="10"/>
        </w:numPr>
      </w:pPr>
      <w:r>
        <w:rPr/>
        <w:t>Contractor proposals are no longer current bids and would require updated scopes and pricing.</w:t>
      </w:r>
    </w:p>
    <w:p>
      <w:pPr>
        <w:pStyle w:val="Heading2"/>
        <w:keepNext/>
      </w:pPr>
      <w:r>
        <w:rPr/>
        <w:t>Alternative B - Complete Replacement</w:t>
      </w:r>
    </w:p>
    <w:p>
      <w:r>
        <w:rPr>
          <w:strike w:val="0"/>
        </w:rPr>
        <w:t>This option would remove the existing pool and construct a new facility under then-applicable engineering, accessibility, health, and construction requirements. Before awarding the principal construction contract, the Board expects to complete sufficient design and permitting work to define the bid scope, solicit competitive proposals where practicable, document its selection, and evaluate licensing, insurance, bonding, warranty, indemnity, lien-waiver, payment, and change-order protections with its professional advisers.</w:t>
      </w:r>
    </w:p>
    <w:p>
      <w:r>
        <w:rPr/>
        <w:t>Potential advantages:</w:t>
      </w:r>
    </w:p>
    <w:p>
      <w:pPr>
        <w:spacing w:after="80" w:line="290" w:lineRule="auto"/>
        <w:numPr>
          <w:ilvl w:val="0"/>
          <w:numId w:val="10"/>
        </w:numPr>
      </w:pPr>
      <w:r>
        <w:rPr/>
        <w:t>New pool structure.</w:t>
      </w:r>
    </w:p>
    <w:p>
      <w:pPr>
        <w:spacing w:after="80" w:line="290" w:lineRule="auto"/>
        <w:numPr>
          <w:ilvl w:val="0"/>
          <w:numId w:val="10"/>
        </w:numPr>
      </w:pPr>
      <w:r>
        <w:rPr/>
        <w:t>New plumbing, circulation, filtration, mechanical, and electrical systems.</w:t>
      </w:r>
    </w:p>
    <w:p>
      <w:pPr>
        <w:spacing w:after="80" w:line="290" w:lineRule="auto"/>
        <w:numPr>
          <w:ilvl w:val="0"/>
          <w:numId w:val="10"/>
        </w:numPr>
      </w:pPr>
      <w:r>
        <w:rPr/>
        <w:t>Improved accessibility and code compliance.</w:t>
      </w:r>
    </w:p>
    <w:p>
      <w:pPr>
        <w:spacing w:after="80" w:line="290" w:lineRule="auto"/>
        <w:numPr>
          <w:ilvl w:val="0"/>
          <w:numId w:val="10"/>
        </w:numPr>
      </w:pPr>
      <w:r>
        <w:rPr>
          <w:strike w:val="0"/>
        </w:rPr>
        <w:t>New pool shell and systems that do not depend on the existing shell.</w:t>
      </w:r>
    </w:p>
    <w:p>
      <w:pPr>
        <w:spacing w:after="80" w:line="290" w:lineRule="auto"/>
        <w:numPr>
          <w:ilvl w:val="0"/>
          <w:numId w:val="10"/>
        </w:numPr>
      </w:pPr>
      <w:r>
        <w:rPr>
          <w:strike w:val="0"/>
        </w:rPr>
        <w:t>Potential for more predictable long-term performance, subject to final design, construction, operation, and maintenance.</w:t>
      </w:r>
    </w:p>
    <w:p>
      <w:r>
        <w:rPr/>
        <w:t>Key consideration:</w:t>
      </w:r>
    </w:p>
    <w:p>
      <w:pPr>
        <w:spacing w:after="80" w:line="290" w:lineRule="auto"/>
        <w:numPr>
          <w:ilvl w:val="0"/>
          <w:numId w:val="10"/>
        </w:numPr>
      </w:pPr>
      <w:r>
        <w:rPr/>
        <w:t>Higher initial construction cost.</w:t>
      </w:r>
    </w:p>
    <w:p>
      <w:pPr>
        <w:pStyle w:val="Heading2"/>
        <w:keepNext/>
      </w:pPr>
      <w:r>
        <w:rPr/>
        <w:t>Comparative Evaluation</w:t>
      </w:r>
    </w:p>
    <w:tbl>
      <w:tblPr>
        <w:tblStyle w:val="TableGrid"/>
        <w:tblW w:type="dxa" w:w="9360"/>
        <w:jc w:val="left"/>
        <w:tblLayout w:type="fixed"/>
        <w:tblLook w:firstColumn="1" w:firstRow="1" w:lastColumn="0" w:lastRow="0" w:noHBand="0" w:noVBand="1" w:val="04A0"/>
        <w:tblInd w:type="dxa" w:w="0"/>
      </w:tblPr>
      <w:tblGrid>
        <w:gridCol w:w="1944"/>
        <w:gridCol w:w="3671"/>
        <w:gridCol w:w="3744"/>
      </w:tblGrid>
      <w:tr>
        <w:trPr>
          <w:tblHeader w:val="true"/>
          <w:cantSplit/>
          <w:tblHeader w:val="true"/>
          <w:tblHeader w:val="true"/>
        </w:trPr>
        <w:tc>
          <w:tcPr>
            <w:tcW w:type="dxa" w:w="1944"/>
            <w:vAlign w:val="center"/>
            <w:shd w:fill="333333"/>
            <w:tcMar>
              <w:top w:w="100" w:type="dxa"/>
              <w:bottom w:w="100" w:type="dxa"/>
              <w:start w:w="120" w:type="dxa"/>
              <w:end w:w="120" w:type="dxa"/>
            </w:tcMar>
          </w:tcPr>
          <w:p>
            <w:pPr>
              <w:spacing w:after="0" w:line="240" w:lineRule="auto" w:before="0"/>
              <w:jc w:val="left"/>
            </w:pPr>
            <w:r>
              <w:rPr>
                <w:b/>
                <w:color w:val="FFFFFF"/>
                <w:sz w:val="18"/>
              </w:rPr>
              <w:t>Evaluation Factor</w:t>
            </w:r>
          </w:p>
        </w:tc>
        <w:tc>
          <w:tcPr>
            <w:tcW w:type="dxa" w:w="3671"/>
            <w:vAlign w:val="center"/>
            <w:shd w:fill="333333"/>
            <w:tcMar>
              <w:top w:w="100" w:type="dxa"/>
              <w:bottom w:w="100" w:type="dxa"/>
              <w:start w:w="120" w:type="dxa"/>
              <w:end w:w="120" w:type="dxa"/>
            </w:tcMar>
          </w:tcPr>
          <w:p>
            <w:pPr>
              <w:spacing w:after="0" w:line="240" w:lineRule="auto" w:before="0"/>
              <w:jc w:val="left"/>
            </w:pPr>
            <w:r>
              <w:rPr>
                <w:b/>
                <w:color w:val="FFFFFF"/>
                <w:sz w:val="18"/>
              </w:rPr>
              <w:t>Major Rehabilitation</w:t>
            </w:r>
          </w:p>
        </w:tc>
        <w:tc>
          <w:tcPr>
            <w:tcW w:type="dxa" w:w="3744"/>
            <w:vAlign w:val="center"/>
            <w:shd w:fill="333333"/>
            <w:tcMar>
              <w:top w:w="100" w:type="dxa"/>
              <w:bottom w:w="100" w:type="dxa"/>
              <w:start w:w="120" w:type="dxa"/>
              <w:end w:w="120" w:type="dxa"/>
            </w:tcMar>
          </w:tcPr>
          <w:p>
            <w:pPr>
              <w:spacing w:after="0" w:line="240" w:lineRule="auto" w:before="0"/>
              <w:jc w:val="left"/>
            </w:pPr>
            <w:r>
              <w:rPr>
                <w:b/>
                <w:color w:val="FFFFFF"/>
                <w:sz w:val="18"/>
              </w:rPr>
              <w:t>Complete Replacement</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Planning Cost</w:t>
            </w:r>
          </w:p>
        </w:tc>
        <w:tc>
          <w:tcPr>
            <w:tcW w:type="dxa" w:w="3671"/>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$218,000-$342,000 in differing, expired proposal scopes; approximately $294,000-$342,000 for the two scopes expressly including piles</w:t>
            </w:r>
          </w:p>
        </w:tc>
        <w:tc>
          <w:tcPr>
            <w:tcW w:type="dxa" w:w="3744"/>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Up to $1.1 million authorization; no unified full-scope construction bid yet</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Existing Pool Shell</w:t>
            </w:r>
          </w:p>
        </w:tc>
        <w:tc>
          <w:tcPr>
            <w:tcW w:type="dxa" w:w="3671"/>
            <w:vAlign w:val="center"/>
            <w:tcMar>
              <w:top w:w="100" w:type="dxa"/>
              <w:bottom w:w="100" w:type="dxa"/>
              <w:start w:w="120" w:type="dxa"/>
              <w:end w:w="120" w:type="dxa"/>
            </w:tcMar>
          </w:tcPr>
          <w:p>
            <w:pPr>
              <w:spacing w:after="0" w:line="240" w:lineRule="auto" w:before="0"/>
              <w:jc w:val="left"/>
            </w:pPr>
            <w:r>
              <w:rPr>
                <w:sz w:val="17"/>
              </w:rPr>
              <w:t>Retained and stabilized</w:t>
            </w:r>
          </w:p>
        </w:tc>
        <w:tc>
          <w:tcPr>
            <w:tcW w:type="dxa" w:w="3744"/>
            <w:vAlign w:val="center"/>
            <w:tcMar>
              <w:top w:w="100" w:type="dxa"/>
              <w:bottom w:w="100" w:type="dxa"/>
              <w:start w:w="120" w:type="dxa"/>
              <w:end w:w="120" w:type="dxa"/>
            </w:tcMar>
          </w:tcPr>
          <w:p>
            <w:pPr>
              <w:spacing w:after="0" w:line="240" w:lineRule="auto" w:before="0"/>
              <w:jc w:val="left"/>
            </w:pPr>
            <w:r>
              <w:rPr>
                <w:sz w:val="17"/>
              </w:rPr>
              <w:t>Replaced with new structure</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Pool Deck</w:t>
            </w:r>
          </w:p>
        </w:tc>
        <w:tc>
          <w:tcPr>
            <w:tcW w:type="dxa" w:w="3671"/>
            <w:vAlign w:val="center"/>
            <w:tcMar>
              <w:top w:w="100" w:type="dxa"/>
              <w:bottom w:w="100" w:type="dxa"/>
              <w:start w:w="120" w:type="dxa"/>
              <w:end w:w="120" w:type="dxa"/>
            </w:tcMar>
          </w:tcPr>
          <w:p>
            <w:pPr>
              <w:spacing w:after="0" w:line="240" w:lineRule="auto" w:before="0"/>
              <w:jc w:val="left"/>
            </w:pPr>
            <w:r>
              <w:rPr>
                <w:sz w:val="17"/>
              </w:rPr>
              <w:t>Removed and replaced</w:t>
            </w:r>
          </w:p>
        </w:tc>
        <w:tc>
          <w:tcPr>
            <w:tcW w:type="dxa" w:w="3744"/>
            <w:vAlign w:val="center"/>
            <w:tcMar>
              <w:top w:w="100" w:type="dxa"/>
              <w:bottom w:w="100" w:type="dxa"/>
              <w:start w:w="120" w:type="dxa"/>
              <w:end w:w="120" w:type="dxa"/>
            </w:tcMar>
          </w:tcPr>
          <w:p>
            <w:pPr>
              <w:spacing w:after="0" w:line="240" w:lineRule="auto" w:before="0"/>
              <w:jc w:val="left"/>
            </w:pPr>
            <w:r>
              <w:rPr>
                <w:sz w:val="17"/>
              </w:rPr>
              <w:t>New construction</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Unknown Conditions</w:t>
            </w:r>
          </w:p>
        </w:tc>
        <w:tc>
          <w:tcPr>
            <w:tcW w:type="dxa" w:w="3671"/>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Retained-shell and concealed-condition risk remains</w:t>
            </w:r>
          </w:p>
        </w:tc>
        <w:tc>
          <w:tcPr>
            <w:tcW w:type="dxa" w:w="3744"/>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Old-shell risk avoided; ordinary site, subsurface, permitting, and construction risks remain</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Expected Service Life</w:t>
            </w:r>
          </w:p>
        </w:tc>
        <w:tc>
          <w:tcPr>
            <w:tcW w:type="dxa" w:w="3671"/>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No guaranteed service life; dependent partly on retained shell and final rehabilitation scope</w:t>
            </w:r>
          </w:p>
        </w:tc>
        <w:tc>
          <w:tcPr>
            <w:tcW w:type="dxa" w:w="3744"/>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New service-life cycle; no quantified estimate yet</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Mechanical Systems</w:t>
            </w:r>
          </w:p>
        </w:tc>
        <w:tc>
          <w:tcPr>
            <w:tcW w:type="dxa" w:w="3671"/>
            <w:vAlign w:val="center"/>
            <w:tcMar>
              <w:top w:w="100" w:type="dxa"/>
              <w:bottom w:w="100" w:type="dxa"/>
              <w:start w:w="120" w:type="dxa"/>
              <w:end w:w="120" w:type="dxa"/>
            </w:tcMar>
          </w:tcPr>
          <w:p>
            <w:pPr>
              <w:spacing w:after="0" w:line="240" w:lineRule="auto" w:before="0"/>
              <w:jc w:val="left"/>
            </w:pPr>
            <w:r>
              <w:rPr>
                <w:sz w:val="17"/>
              </w:rPr>
              <w:t>Mix of retained and replaced components, depending on scope</w:t>
            </w:r>
          </w:p>
        </w:tc>
        <w:tc>
          <w:tcPr>
            <w:tcW w:type="dxa" w:w="3744"/>
            <w:vAlign w:val="center"/>
            <w:tcMar>
              <w:top w:w="100" w:type="dxa"/>
              <w:bottom w:w="100" w:type="dxa"/>
              <w:start w:w="120" w:type="dxa"/>
              <w:end w:w="120" w:type="dxa"/>
            </w:tcMar>
          </w:tcPr>
          <w:p>
            <w:pPr>
              <w:spacing w:after="0" w:line="240" w:lineRule="auto" w:before="0"/>
              <w:jc w:val="left"/>
            </w:pPr>
            <w:r>
              <w:rPr>
                <w:sz w:val="17"/>
              </w:rPr>
              <w:t>New systems</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Accessibility</w:t>
            </w:r>
          </w:p>
        </w:tc>
        <w:tc>
          <w:tcPr>
            <w:tcW w:type="dxa" w:w="3671"/>
            <w:vAlign w:val="center"/>
            <w:tcMar>
              <w:top w:w="100" w:type="dxa"/>
              <w:bottom w:w="100" w:type="dxa"/>
              <w:start w:w="120" w:type="dxa"/>
              <w:end w:w="120" w:type="dxa"/>
            </w:tcMar>
          </w:tcPr>
          <w:p>
            <w:pPr>
              <w:spacing w:after="0" w:line="240" w:lineRule="auto" w:before="0"/>
              <w:jc w:val="left"/>
            </w:pPr>
            <w:r>
              <w:rPr>
                <w:sz w:val="17"/>
              </w:rPr>
              <w:t>Improvements constrained by existing layout</w:t>
            </w:r>
          </w:p>
        </w:tc>
        <w:tc>
          <w:tcPr>
            <w:tcW w:type="dxa" w:w="3744"/>
            <w:vAlign w:val="center"/>
            <w:tcMar>
              <w:top w:w="100" w:type="dxa"/>
              <w:bottom w:w="100" w:type="dxa"/>
              <w:start w:w="120" w:type="dxa"/>
              <w:end w:w="120" w:type="dxa"/>
            </w:tcMar>
          </w:tcPr>
          <w:p>
            <w:pPr>
              <w:spacing w:after="0" w:line="240" w:lineRule="auto" w:before="0"/>
              <w:jc w:val="left"/>
            </w:pPr>
            <w:r>
              <w:rPr>
                <w:sz w:val="17"/>
              </w:rPr>
              <w:t>Designed under current requirements</w:t>
            </w:r>
          </w:p>
        </w:tc>
      </w:tr>
      <w:tr>
        <w:trPr>
          <w:cantSplit/>
        </w:trPr>
        <w:tc>
          <w:tcPr>
            <w:tcW w:type="dxa" w:w="1944"/>
            <w:vAlign w:val="center"/>
            <w:tcMar>
              <w:top w:w="100" w:type="dxa"/>
              <w:bottom w:w="100" w:type="dxa"/>
              <w:start w:w="120" w:type="dxa"/>
              <w:end w:w="120" w:type="dxa"/>
            </w:tcMar>
          </w:tcPr>
          <w:p>
            <w:pPr>
              <w:spacing w:after="0" w:line="240" w:lineRule="auto" w:before="0"/>
              <w:jc w:val="left"/>
            </w:pPr>
            <w:r>
              <w:rPr>
                <w:sz w:val="17"/>
              </w:rPr>
              <w:t>Long-Term Predictability</w:t>
            </w:r>
          </w:p>
        </w:tc>
        <w:tc>
          <w:tcPr>
            <w:tcW w:type="dxa" w:w="3671"/>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Greater dependence on existing conditions</w:t>
            </w:r>
          </w:p>
        </w:tc>
        <w:tc>
          <w:tcPr>
            <w:tcW w:type="dxa" w:w="3744"/>
            <w:vAlign w:val="center"/>
            <w:tcMar>
              <w:top w:w="100" w:type="dxa"/>
              <w:bottom w:w="100" w:type="dxa"/>
              <w:start w:w="120" w:type="dxa"/>
              <w:end w:w="120" w:type="dxa"/>
              <w:left w:w="100" w:type="dxa"/>
              <w:right w:w="100" w:type="dxa"/>
            </w:tcMar>
          </w:tcPr>
          <w:p>
            <w:pPr>
              <w:spacing w:before="0" w:after="0" w:line="240" w:lineRule="auto"/>
            </w:pPr>
            <w:r>
              <w:rPr>
                <w:sz w:val="17"/>
              </w:rPr>
            </w:r>
            <w:r>
              <w:rPr>
                <w:strike w:val="0"/>
                <w:sz w:val="17"/>
              </w:rPr>
              <w:t>Less dependence on existing pool components; performance still depends on design, construction, operation, and maintenance</w:t>
            </w:r>
          </w:p>
        </w:tc>
      </w:tr>
    </w:tbl>
    <w:p>
      <w:pPr>
        <w:keepLines/>
      </w:pPr>
      <w:r>
        <w:rPr>
          <w:i/>
          <w:strike w:val="0"/>
        </w:rPr>
        <w:t>No formal life-cycle-cost analysis, net-present-value analysis, or quantified comparison of maintenance costs has been completed. The Board's recommendation therefore reflects a qualitative judgment using the available engineering, proposal, operational, and planning information.</w:t>
      </w:r>
    </w:p>
    <w:p>
      <w:pPr>
        <w:spacing w:after="40"/>
      </w:pPr>
    </w:p>
    <w:p>
      <w:r>
        <w:rPr/>
        <w:t>Both alternatives are technically feasible. They differ substantially in initial cost, construction uncertainty, retained infrastructure, expected service life, and long-term predictability.</w:t>
      </w:r>
    </w:p>
    <w:p>
      <w:pPr>
        <w:pStyle w:val="Heading2"/>
        <w:keepNext/>
        <w:pageBreakBefore/>
      </w:pPr>
      <w:r>
        <w:rPr>
          <w:strike w:val="0"/>
        </w:rPr>
        <w:t>Community Amenities and Marketability</w:t>
      </w:r>
    </w:p>
    <w:p>
      <w:r>
        <w:rPr>
          <w:strike w:val="0"/>
        </w:rPr>
        <w:t>A local East Cobb real estate professional reviewed the question qualitatively and reported that the available neighborhood sales data did not establish a strong direct correlation between swim and tennis amenities, average sale price, or days on market.</w:t>
      </w:r>
    </w:p>
    <w:p>
      <w:r>
        <w:rPr>
          <w:strike w:val="0"/>
        </w:rPr>
        <w:t>The real estate professional nevertheless stated that some buyers, particularly relocating families, actively seek swim and tennis communities and may consider maintained amenities when selecting a neighborhood. This is anecdotal market perspective rather than an appraisal or statistical conclusion.</w:t>
      </w:r>
    </w:p>
    <w:p>
      <w:pPr/>
      <w:r>
        <w:rPr>
          <w:strike w:val="0"/>
        </w:rPr>
        <w:t>Because no formal appraisal or supporting market study was provided, this report does not assign a dollar premium or projected increase in value to the pool project.</w:t>
      </w:r>
    </w:p>
    <w:p>
      <w:r>
        <w:rPr>
          <w:strike w:val="0"/>
        </w:rPr>
        <w:t>The Board considers amenity condition relevant to neighborhood marketability, but it did not treat an assumed increase in property value as an offset to the assessment or as a quantified basis for the recommendation.</w:t>
      </w:r>
    </w:p>
    <w:p>
      <w:r>
        <w:rPr/>
        <w:br w:type="page"/>
      </w:r>
    </w:p>
    <w:p>
      <w:pPr>
        <w:pStyle w:val="Heading1"/>
        <w:keepNext/>
        <w:spacing w:before="0"/>
      </w:pPr>
      <w:r>
        <w:rPr/>
        <w:t>6. Board Recommendation</w:t>
      </w:r>
    </w:p>
    <w:p>
      <w:r>
        <w:rPr>
          <w:strike w:val="0"/>
        </w:rPr>
        <w:t>After reviewing the engineering report, county inspection, reserve-planning information, contractor proposals, replacement-planning information, preliminary financing information, and legal guidance, the Board recommends complete replacement of the existing pool and deck. The marketability discussion in Chapter 5 is supplementary and is not a quantified financial justification for the project.</w:t>
      </w:r>
    </w:p>
    <w:p>
      <w:r>
        <w:rPr>
          <w:strike w:val="0"/>
        </w:rPr>
        <w:t>The Board recognizes that rehabilitation is technically feasible and has a substantially lower quoted initial cost. The quoted scope most comparable to the engineer's stabilization recommendations, however, was approximately $294,000-$342,000 before updating prices and resolving assumptions, allowances, exclusions, and concealed conditions. Rehabilitation would retain the original pool shell and would not provide a guaranteed service life.</w:t>
      </w:r>
    </w:p>
    <w:p>
      <w:r>
        <w:rPr>
          <w:strike w:val="0"/>
        </w:rPr>
        <w:t>Replacement requires a substantially larger initial investment and remains subject to design, pricing, permitting, site, and construction risks. It would eliminate reliance on the existing pool shell and provide new infrastructure. Based on those considerations—not on a formal life-cycle-cost study or guaranteed property-value increase—the Board concluded that replacement is its preferred long-term course.</w:t>
      </w:r>
    </w:p>
    <w:p>
      <w:r>
        <w:rPr/>
        <w:br w:type="page"/>
      </w:r>
    </w:p>
    <w:p>
      <w:pPr>
        <w:pStyle w:val="Heading1"/>
        <w:keepNext/>
        <w:spacing w:before="0"/>
      </w:pPr>
      <w:r>
        <w:rPr/>
        <w:t>7. Proposed Project</w:t>
      </w:r>
    </w:p>
    <w:p>
      <w:r>
        <w:rPr>
          <w:strike w:val="0"/>
        </w:rPr>
        <w:t>Subject to the final counsel-approved ballot language, the Board currently proposes the following as the minimum project scope to be delivered within the authorized assessment:</w:t>
      </w:r>
    </w:p>
    <w:p>
      <w:pPr>
        <w:spacing w:after="80" w:line="290" w:lineRule="auto"/>
        <w:numPr>
          <w:ilvl w:val="0"/>
          <w:numId w:val="10"/>
        </w:numPr>
      </w:pPr>
      <w:r>
        <w:rPr/>
        <w:t>A new swimming pool of approximately the same size and general capacity as the existing pool.</w:t>
      </w:r>
    </w:p>
    <w:p>
      <w:pPr>
        <w:spacing w:after="80" w:line="290" w:lineRule="auto"/>
        <w:numPr>
          <w:ilvl w:val="0"/>
          <w:numId w:val="10"/>
        </w:numPr>
      </w:pPr>
      <w:r>
        <w:rPr/>
        <w:t>A new pool house and pump room.</w:t>
      </w:r>
    </w:p>
    <w:p>
      <w:pPr>
        <w:spacing w:after="80" w:line="290" w:lineRule="auto"/>
        <w:numPr>
          <w:ilvl w:val="0"/>
          <w:numId w:val="10"/>
        </w:numPr>
      </w:pPr>
      <w:r>
        <w:rPr/>
        <w:t>A completely rebuilt and expanded reinforced-concrete pool deck.</w:t>
      </w:r>
    </w:p>
    <w:p>
      <w:pPr>
        <w:numPr>
          <w:ilvl w:val="0"/>
          <w:numId w:val="10"/>
        </w:numPr>
      </w:pPr>
      <w:r>
        <w:rPr>
          <w:strike w:val="0"/>
        </w:rPr>
        <w:t>Compliance with applicable accessibility and building requirements, including an accessible route from parking to the facility as determined through final professional design and permitting.</w:t>
      </w:r>
    </w:p>
    <w:p>
      <w:r>
        <w:rPr/>
        <w:t>The project would also include the systems and improvements necessary to deliver a complete operating facility, including:</w:t>
      </w:r>
    </w:p>
    <w:p>
      <w:pPr>
        <w:spacing w:after="80" w:line="290" w:lineRule="auto"/>
        <w:numPr>
          <w:ilvl w:val="0"/>
          <w:numId w:val="10"/>
        </w:numPr>
      </w:pPr>
      <w:r>
        <w:rPr/>
        <w:t>New plumbing and circulation systems.</w:t>
      </w:r>
    </w:p>
    <w:p>
      <w:pPr>
        <w:spacing w:after="80" w:line="290" w:lineRule="auto"/>
        <w:numPr>
          <w:ilvl w:val="0"/>
          <w:numId w:val="10"/>
        </w:numPr>
      </w:pPr>
      <w:r>
        <w:rPr/>
        <w:t>New filtration and mechanical equipment.</w:t>
      </w:r>
    </w:p>
    <w:p>
      <w:pPr>
        <w:spacing w:after="80" w:line="290" w:lineRule="auto"/>
        <w:numPr>
          <w:ilvl w:val="0"/>
          <w:numId w:val="10"/>
        </w:numPr>
      </w:pPr>
      <w:r>
        <w:rPr/>
        <w:t>Updated electrical systems.</w:t>
      </w:r>
    </w:p>
    <w:p>
      <w:pPr>
        <w:spacing w:after="80" w:line="290" w:lineRule="auto"/>
        <w:numPr>
          <w:ilvl w:val="0"/>
          <w:numId w:val="10"/>
        </w:numPr>
      </w:pPr>
      <w:r>
        <w:rPr/>
        <w:t>Accessibility improvements.</w:t>
      </w:r>
    </w:p>
    <w:p>
      <w:pPr>
        <w:spacing w:after="80" w:line="290" w:lineRule="auto"/>
        <w:numPr>
          <w:ilvl w:val="0"/>
          <w:numId w:val="10"/>
        </w:numPr>
      </w:pPr>
      <w:r>
        <w:rPr/>
        <w:t>Drainage and site improvements.</w:t>
      </w:r>
    </w:p>
    <w:p>
      <w:pPr>
        <w:spacing w:after="80" w:line="290" w:lineRule="auto"/>
        <w:numPr>
          <w:ilvl w:val="0"/>
          <w:numId w:val="10"/>
        </w:numPr>
      </w:pPr>
      <w:r>
        <w:rPr/>
        <w:t>New fencing and gates.</w:t>
      </w:r>
    </w:p>
    <w:p>
      <w:pPr/>
      <w:r>
        <w:rPr>
          <w:strike w:val="0"/>
        </w:rPr>
        <w:t>The final design, budget, and construction contracts will identify the construction-access plan and allocate responsibility for protecting and restoring parking areas, landscaping, slopes, access routes, drainage features, utilities, and surrounding grounds affected by the work. The final project budget should include the Association's expected share of that work rather than treating foreseeable site restoration as an unspecified post-contract expense.</w:t>
      </w:r>
    </w:p>
    <w:p>
      <w:pPr>
        <w:pStyle w:val="Heading2"/>
        <w:keepNext/>
      </w:pPr>
      <w:r>
        <w:rPr/>
        <w:t>Secondary Improvement Subject to Budget</w:t>
      </w:r>
    </w:p>
    <w:p>
      <w:r>
        <w:rPr>
          <w:strike w:val="0"/>
        </w:rPr>
        <w:t>The pavilion is not part of the minimum pool, pool-house, pump-room, and deck scope. During design, the Board will evaluate the pavilion's condition, accessibility, function, and relationship to the new facility. Replacement or reconstruction may be included if the resulting improvement is justified and the approved project budget permits. If adjustments become necessary during design or bidding, pavilion work would be evaluated before reductions are made to the minimum project scope.</w:t>
      </w:r>
    </w:p>
    <w:p>
      <w:r>
        <w:rPr>
          <w:strike w:val="0"/>
        </w:rPr>
        <w:t>The Board would retain reasonable implementation discretion only within the member-approved maximum and project purpose. A material reduction of the stated minimum scope, use of assessment proceeds for a materially different purpose, or need for an assessment above the authorization would be handled in accordance with the governing documents and counsel's advice.</w:t>
      </w:r>
    </w:p>
    <w:p>
      <w:pPr>
        <w:pStyle w:val="Heading2"/>
        <w:keepNext/>
      </w:pPr>
      <w:r>
        <w:rPr>
          <w:strike w:val="0"/>
        </w:rPr>
        <w:t>Project Delivery and Site Restoration</w:t>
      </w:r>
    </w:p>
    <w:p>
      <w:pPr/>
      <w:r>
        <w:rPr>
          <w:strike w:val="0"/>
        </w:rPr>
        <w:t>The Board will use appropriately licensed and qualified professionals for design, engineering, permitting, legal, financial, and construction services. Before contract award, it will document the final scope, bid or proposal process, selection rationale, budget, schedule, and the insurance, bonding, warranty, indemnity, lien-waiver, retainage, payment, and written change-order requirements appropriate to the project.</w:t>
      </w:r>
    </w:p>
    <w:p>
      <w:pPr/>
      <w:r>
        <w:rPr>
          <w:strike w:val="0"/>
        </w:rPr>
        <w:t>Before awarding the principal construction contract, the Board will document who will perform the owner's-representative or project-management functions, including design coordination, permitting, contractor communication, schedule and budget tracking, change management, payment review, quality documentation, and reporting to the Association.</w:t>
      </w:r>
    </w:p>
    <w:p>
      <w:pPr/>
      <w:r>
        <w:rPr>
          <w:strike w:val="0"/>
        </w:rPr>
        <w:t>Construction documents and contracts will identify responsibility for access, site protection, restoration, testing, inspections, permits, temporary controls, utilities, cleanup, closeout documents, warranties, and correction of defective work. A detailed schedule will be provided after design, permitting, pricing, and contractor selection; the current September 2027 start is a planning target, not a contractual date.</w:t>
      </w:r>
    </w:p>
    <w:p>
      <w:r>
        <w:rPr/>
        <w:t>If the anticipated schedule is maintained, construction would begin after the pool closes in September 2027. The final construction duration will be established after design, permitting, bidding, and contractor selection.</w:t>
      </w:r>
    </w:p>
    <w:p>
      <w:r>
        <w:rPr/>
        <w:br w:type="page"/>
      </w:r>
    </w:p>
    <w:p>
      <w:pPr>
        <w:pStyle w:val="Heading1"/>
        <w:keepNext/>
        <w:spacing w:before="0"/>
      </w:pPr>
      <w:r>
        <w:rPr/>
        <w:t>8. Funding Plan</w:t>
      </w:r>
    </w:p>
    <w:p>
      <w:pPr>
        <w:pStyle w:val="Heading2"/>
        <w:keepNext/>
      </w:pPr>
      <w:r>
        <w:rPr/>
        <w:t>Estimated Project Budget</w:t>
      </w:r>
    </w:p>
    <w:p>
      <w:r>
        <w:rPr>
          <w:strike w:val="0"/>
        </w:rPr>
        <w:t>The Board's preliminary project budget provides $1 million for construction and project costs plus a $100,000 contingency, resulting in a maximum proposed authorization of $1.1 million.</w:t>
      </w:r>
    </w:p>
    <w:p>
      <w:pPr/>
      <w:r>
        <w:rPr>
          <w:strike w:val="0"/>
        </w:rPr>
        <w:t>The budget is based on discussions with pool builders, general contractors, demolition contractors, and site-work professionals. Preliminary verbal estimates for complete replacement have generally ranged from approximately $700,000 to $1 million. These estimates were provided for planning purposes and are not formal bids or guaranteed prices.</w:t>
      </w:r>
    </w:p>
    <w:p>
      <w:pPr/>
      <w:r>
        <w:rPr>
          <w:strike w:val="0"/>
        </w:rPr>
        <w:t>The final cost will depend on the completed design and the requirements for engineering, permitting, demolition, the new pool and pool house, deck construction, equipment, accessibility, drainage, site work, utilities, and restoration. Once the project has been sufficiently designed and a common scope established, the Board intends to obtain formal written proposals before awarding the principal construction contract.</w:t>
      </w:r>
    </w:p>
    <w:p>
      <w:pPr/>
      <w:r>
        <w:rPr>
          <w:strike w:val="0"/>
        </w:rPr>
        <w:t>The project budget is intended to cover the complete replacement scope described in this report and the professional services and project-related costs necessary to deliver it. Any member-specific financing or payment-plan charges will be disclosed separately before members select a payment option.</w:t>
      </w:r>
    </w:p>
    <w:tbl>
      <w:tblPr>
        <w:tblStyle w:val="TableGrid"/>
        <w:tblW w:type="dxa" w:w="9360"/>
        <w:jc w:val="left"/>
        <w:tblLayout w:type="fixed"/>
        <w:tblLook w:firstColumn="1" w:firstRow="1" w:lastColumn="0" w:lastRow="0" w:noHBand="0" w:noVBand="1" w:val="04A0"/>
        <w:tblInd w:type="dxa" w:w="120"/>
      </w:tblPr>
      <w:tblGrid>
        <w:gridCol w:w="6768"/>
        <w:gridCol w:w="2592"/>
      </w:tblGrid>
      <w:tr>
        <w:trPr>
          <w:tblHeader w:val="true"/>
          <w:cantSplit/>
          <w:tblHeader w:val="true"/>
        </w:trPr>
        <w:tc>
          <w:tcPr>
            <w:tcW w:type="dxa" w:w="6768"/>
            <w:vAlign w:val="center"/>
            <w:shd w:fill="333333"/>
            <w:tcMar>
              <w:top w:w="100" w:type="dxa"/>
              <w:bottom w:w="100" w:type="dxa"/>
              <w:start w:w="120" w:type="dxa"/>
              <w:end w:w="120" w:type="dxa"/>
            </w:tcMar>
          </w:tcPr>
          <w:p>
            <w:pPr>
              <w:spacing w:after="0" w:line="240" w:lineRule="auto" w:before="0"/>
              <w:jc w:val="left"/>
            </w:pPr>
            <w:r>
              <w:rPr>
                <w:b/>
                <w:color w:val="FFFFFF"/>
                <w:sz w:val="20"/>
              </w:rPr>
              <w:t>Item</w:t>
            </w:r>
          </w:p>
        </w:tc>
        <w:tc>
          <w:tcPr>
            <w:tcW w:type="dxa" w:w="2592"/>
            <w:vAlign w:val="center"/>
            <w:shd w:fill="333333"/>
            <w:tcMar>
              <w:top w:w="100" w:type="dxa"/>
              <w:bottom w:w="100" w:type="dxa"/>
              <w:start w:w="120" w:type="dxa"/>
              <w:end w:w="120" w:type="dxa"/>
            </w:tcMar>
          </w:tcPr>
          <w:p>
            <w:pPr>
              <w:spacing w:after="0" w:line="240" w:lineRule="auto" w:before="0"/>
              <w:jc w:val="left"/>
            </w:pPr>
            <w:r>
              <w:rPr>
                <w:b/>
                <w:color w:val="FFFFFF"/>
                <w:sz w:val="20"/>
              </w:rPr>
              <w:t>Planning Amount</w:t>
            </w:r>
          </w:p>
        </w:tc>
      </w:tr>
      <w:tr>
        <w:trPr>
          <w:cantSplit/>
        </w:trPr>
        <w:tc>
          <w:tcPr>
            <w:tcW w:type="dxa" w:w="6768"/>
            <w:vAlign w:val="center"/>
            <w:tcMar>
              <w:top w:w="100" w:type="dxa"/>
              <w:bottom w:w="100" w:type="dxa"/>
              <w:start w:w="120" w:type="dxa"/>
              <w:end w:w="120" w:type="dxa"/>
            </w:tcMar>
          </w:tcPr>
          <w:p>
            <w:pPr>
              <w:spacing w:after="0" w:line="240" w:lineRule="auto" w:before="0"/>
              <w:jc w:val="left"/>
            </w:pPr>
            <w:r>
              <w:rPr>
                <w:sz w:val="20"/>
              </w:rPr>
              <w:t>Construction and project costs</w:t>
            </w:r>
          </w:p>
        </w:tc>
        <w:tc>
          <w:tcPr>
            <w:tcW w:type="dxa" w:w="2592"/>
            <w:vAlign w:val="center"/>
            <w:tcMar>
              <w:top w:w="100" w:type="dxa"/>
              <w:bottom w:w="100" w:type="dxa"/>
              <w:start w:w="120" w:type="dxa"/>
              <w:end w:w="120" w:type="dxa"/>
            </w:tcMar>
          </w:tcPr>
          <w:p>
            <w:pPr>
              <w:spacing w:after="0" w:line="240" w:lineRule="auto" w:before="0"/>
              <w:jc w:val="left"/>
            </w:pPr>
            <w:r>
              <w:rPr>
                <w:sz w:val="20"/>
              </w:rPr>
              <w:t>$1,000,000</w:t>
            </w:r>
          </w:p>
        </w:tc>
      </w:tr>
      <w:tr>
        <w:trPr>
          <w:cantSplit/>
        </w:trPr>
        <w:tc>
          <w:tcPr>
            <w:tcW w:type="dxa" w:w="6768"/>
            <w:vAlign w:val="center"/>
            <w:tcMar>
              <w:top w:w="100" w:type="dxa"/>
              <w:bottom w:w="100" w:type="dxa"/>
              <w:start w:w="120" w:type="dxa"/>
              <w:end w:w="120" w:type="dxa"/>
            </w:tcMar>
          </w:tcPr>
          <w:p>
            <w:pPr>
              <w:spacing w:after="0" w:line="240" w:lineRule="auto" w:before="0"/>
              <w:jc w:val="left"/>
            </w:pPr>
            <w:r>
              <w:rPr>
                <w:sz w:val="20"/>
              </w:rPr>
              <w:t>Project contingency</w:t>
            </w:r>
          </w:p>
        </w:tc>
        <w:tc>
          <w:tcPr>
            <w:tcW w:type="dxa" w:w="2592"/>
            <w:vAlign w:val="center"/>
            <w:tcMar>
              <w:top w:w="100" w:type="dxa"/>
              <w:bottom w:w="100" w:type="dxa"/>
              <w:start w:w="120" w:type="dxa"/>
              <w:end w:w="120" w:type="dxa"/>
            </w:tcMar>
          </w:tcPr>
          <w:p>
            <w:pPr>
              <w:spacing w:after="0" w:line="240" w:lineRule="auto" w:before="0"/>
              <w:jc w:val="left"/>
            </w:pPr>
            <w:r>
              <w:rPr>
                <w:sz w:val="20"/>
              </w:rPr>
              <w:t>$100,000</w:t>
            </w:r>
          </w:p>
        </w:tc>
      </w:tr>
      <w:tr>
        <w:trPr>
          <w:cantSplit/>
        </w:trPr>
        <w:tc>
          <w:tcPr>
            <w:tcW w:type="dxa" w:w="6768"/>
            <w:vAlign w:val="center"/>
            <w:tcMar>
              <w:top w:w="100" w:type="dxa"/>
              <w:bottom w:w="100" w:type="dxa"/>
              <w:start w:w="120" w:type="dxa"/>
              <w:end w:w="120" w:type="dxa"/>
            </w:tcMar>
          </w:tcPr>
          <w:p>
            <w:pPr>
              <w:spacing w:after="0" w:line="240" w:lineRule="auto" w:before="0"/>
              <w:jc w:val="left"/>
            </w:pPr>
            <w:r>
              <w:rPr>
                <w:sz w:val="20"/>
              </w:rPr>
              <w:t>Maximum Authorization Requested</w:t>
            </w:r>
          </w:p>
        </w:tc>
        <w:tc>
          <w:tcPr>
            <w:tcW w:type="dxa" w:w="2592"/>
            <w:vAlign w:val="center"/>
            <w:tcMar>
              <w:top w:w="100" w:type="dxa"/>
              <w:bottom w:w="100" w:type="dxa"/>
              <w:start w:w="120" w:type="dxa"/>
              <w:end w:w="120" w:type="dxa"/>
            </w:tcMar>
          </w:tcPr>
          <w:p>
            <w:pPr>
              <w:spacing w:after="0" w:line="240" w:lineRule="auto" w:before="0"/>
              <w:jc w:val="left"/>
            </w:pPr>
            <w:r>
              <w:rPr>
                <w:sz w:val="20"/>
              </w:rPr>
              <w:t>$1,100,000</w:t>
            </w:r>
          </w:p>
        </w:tc>
      </w:tr>
    </w:tbl>
    <w:p>
      <w:pPr>
        <w:spacing w:after="40"/>
      </w:pPr>
    </w:p>
    <w:p>
      <w:r>
        <w:rPr>
          <w:strike w:val="0"/>
        </w:rPr>
        <w:t>The $100,000 contingency equals 10% of the current $1 million project-cost allowance. At this pre-design stage, it should not be interpreted as a professional determination that 10% will cover every pricing, permitting, subsurface, site, or construction risk. The maximum authorization remains a ceiling; costs above it would require scope, funding, or approval decisions consistent with the governing documents and counsel's advice.</w:t>
      </w:r>
    </w:p>
    <w:p>
      <w:pPr>
        <w:pStyle w:val="Heading2"/>
        <w:keepNext/>
      </w:pPr>
      <w:r>
        <w:rPr/>
        <w:t>Estimated Member Cost</w:t>
      </w:r>
    </w:p>
    <w:p>
      <w:r>
        <w:rPr>
          <w:strike w:val="0"/>
        </w:rPr>
        <w:t>The following illustrations divide the stated project cost equally among the Association's current count of 140 members (125 Recreation Members and 15 Civic Members). The final assessment roll and number of assessable memberships must be confirmed before the assessment is imposed; a change in that denominator would change the per-member amount.</w:t>
      </w:r>
    </w:p>
    <w:tbl>
      <w:tblPr>
        <w:tblStyle w:val="TableGrid"/>
        <w:tblW w:type="dxa" w:w="9360"/>
        <w:jc w:val="left"/>
        <w:tblLayout w:type="fixed"/>
        <w:tblLook w:firstColumn="1" w:firstRow="1" w:lastColumn="0" w:lastRow="0" w:noHBand="0" w:noVBand="1" w:val="04A0"/>
        <w:tblInd w:type="dxa" w:w="0"/>
      </w:tblPr>
      <w:tblGrid>
        <w:gridCol w:w="1800"/>
        <w:gridCol w:w="1944"/>
        <w:gridCol w:w="2880"/>
        <w:gridCol w:w="2736"/>
      </w:tblGrid>
      <w:tr>
        <w:trPr>
          <w:tblHeader w:val="true"/>
          <w:cantSplit/>
          <w:tblHeader w:val="true"/>
          <w:tblHeader w:val="true"/>
        </w:trPr>
        <w:tc>
          <w:tcPr>
            <w:tcW w:type="dxa" w:w="1800"/>
            <w:vAlign w:val="center"/>
            <w:shd w:fill="E6E6E6"/>
            <w:tcMar>
              <w:top w:w="100" w:type="dxa"/>
              <w:bottom w:w="100" w:type="dxa"/>
              <w:start w:w="120" w:type="dxa"/>
              <w:end w:w="120" w:type="dxa"/>
              <w:left w:w="100" w:type="dxa"/>
              <w:right w:w="100" w:type="dxa"/>
            </w:tcMar>
          </w:tcPr>
          <w:p>
            <w:pPr>
              <w:spacing w:before="0" w:after="0" w:line="240" w:lineRule="auto"/>
              <w:jc w:val="center"/>
            </w:pPr>
            <w:r>
              <w:rPr>
                <w:sz w:val="16"/>
              </w:rPr>
            </w:r>
            <w:r>
              <w:rPr>
                <w:b/>
                <w:strike w:val="0"/>
                <w:sz w:val="16"/>
              </w:rPr>
              <w:t>Final project cost</w:t>
            </w:r>
          </w:p>
        </w:tc>
        <w:tc>
          <w:tcPr>
            <w:tcW w:type="dxa" w:w="1944"/>
            <w:vAlign w:val="center"/>
            <w:shd w:fill="E6E6E6"/>
            <w:tcMar>
              <w:top w:w="100" w:type="dxa"/>
              <w:bottom w:w="100" w:type="dxa"/>
              <w:start w:w="120" w:type="dxa"/>
              <w:end w:w="120" w:type="dxa"/>
              <w:left w:w="100" w:type="dxa"/>
              <w:right w:w="100" w:type="dxa"/>
            </w:tcMar>
          </w:tcPr>
          <w:p>
            <w:pPr>
              <w:spacing w:before="0" w:after="0" w:line="240" w:lineRule="auto"/>
              <w:jc w:val="center"/>
            </w:pPr>
            <w:r>
              <w:rPr>
                <w:sz w:val="16"/>
              </w:rPr>
            </w:r>
            <w:r>
              <w:rPr>
                <w:b/>
                <w:strike w:val="0"/>
                <w:sz w:val="16"/>
              </w:rPr>
              <w:t>Assessment per member</w:t>
            </w:r>
          </w:p>
        </w:tc>
        <w:tc>
          <w:tcPr>
            <w:tcW w:type="dxa" w:w="2880"/>
            <w:vAlign w:val="center"/>
            <w:shd w:fill="E6E6E6"/>
            <w:tcMar>
              <w:top w:w="100" w:type="dxa"/>
              <w:bottom w:w="100" w:type="dxa"/>
              <w:start w:w="120" w:type="dxa"/>
              <w:end w:w="120" w:type="dxa"/>
              <w:left w:w="100" w:type="dxa"/>
              <w:right w:w="100" w:type="dxa"/>
            </w:tcMar>
          </w:tcPr>
          <w:p>
            <w:pPr>
              <w:spacing w:before="0" w:after="0" w:line="240" w:lineRule="auto"/>
              <w:jc w:val="center"/>
            </w:pPr>
            <w:r>
              <w:rPr>
                <w:sz w:val="16"/>
              </w:rPr>
              <w:t>Estimated payment per month if the entire assessment is financed</w:t>
            </w:r>
          </w:p>
        </w:tc>
        <w:tc>
          <w:tcPr>
            <w:tcW w:type="dxa" w:w="2736"/>
            <w:vAlign w:val="center"/>
            <w:tcMar>
              <w:top w:w="100" w:type="dxa"/>
              <w:left w:w="100" w:type="dxa"/>
              <w:bottom w:w="100" w:type="dxa"/>
              <w:right w:w="100" w:type="dxa"/>
            </w:tcMar>
            <w:shd w:fill="E6E6E6"/>
          </w:tcPr>
          <w:p>
            <w:pPr>
              <w:spacing w:before="0" w:after="0" w:line="240" w:lineRule="auto"/>
              <w:jc w:val="center"/>
            </w:pPr>
            <w:r>
              <w:rPr>
                <w:sz w:val="16"/>
              </w:rPr>
            </w:r>
            <w:r>
              <w:rPr>
                <w:b/>
                <w:strike w:val="0"/>
                <w:sz w:val="16"/>
              </w:rPr>
              <w:t>Approx. interest over 120 payments</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$900,000</w:t>
            </w:r>
          </w:p>
        </w:tc>
        <w:tc>
          <w:tcPr>
            <w:tcW w:type="dxa" w:w="1944"/>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$6,429</w:t>
            </w:r>
          </w:p>
        </w:tc>
        <w:tc>
          <w:tcPr>
            <w:tcW w:type="dxa" w:w="2880"/>
            <w:vAlign w:val="center"/>
            <w:tcMar>
              <w:top w:w="100" w:type="dxa"/>
              <w:bottom w:w="100" w:type="dxa"/>
              <w:start w:w="120" w:type="dxa"/>
              <w:end w:w="120" w:type="dxa"/>
              <w:left w:w="100" w:type="dxa"/>
              <w:right w:w="100" w:type="dxa"/>
            </w:tcMar>
          </w:tcPr>
          <w:p>
            <w:pPr>
              <w:spacing w:before="0" w:after="0" w:line="240" w:lineRule="auto"/>
              <w:jc w:val="center"/>
            </w:pPr>
            <w:r>
              <w:rPr>
                <w:sz w:val="17"/>
              </w:rPr>
              <w:t>$75 per month</w:t>
            </w:r>
          </w:p>
        </w:tc>
        <w:tc>
          <w:tcPr>
            <w:tcW w:type="dxa" w:w="2736"/>
            <w:vAlign w:val="center"/>
            <w:tcMar>
              <w:top w:w="100" w:type="dxa"/>
              <w:left w:w="100" w:type="dxa"/>
              <w:bottom w:w="100" w:type="dxa"/>
              <w:right w:w="100" w:type="dxa"/>
            </w:tcMar>
          </w:tcPr>
          <w:p>
            <w:pPr>
              <w:spacing w:before="0" w:after="0" w:line="240" w:lineRule="auto"/>
              <w:jc w:val="center"/>
            </w:pPr>
            <w:r>
              <w:rPr>
                <w:sz w:val="17"/>
              </w:rPr>
            </w:r>
            <w:r>
              <w:rPr>
                <w:strike w:val="0"/>
                <w:sz w:val="17"/>
              </w:rPr>
              <w:t>$2,528</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$1,000,000</w:t>
            </w:r>
          </w:p>
        </w:tc>
        <w:tc>
          <w:tcPr>
            <w:tcW w:type="dxa" w:w="1944"/>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$7,143</w:t>
            </w:r>
          </w:p>
        </w:tc>
        <w:tc>
          <w:tcPr>
            <w:tcW w:type="dxa" w:w="2880"/>
            <w:vAlign w:val="center"/>
            <w:tcMar>
              <w:top w:w="100" w:type="dxa"/>
              <w:bottom w:w="100" w:type="dxa"/>
              <w:start w:w="120" w:type="dxa"/>
              <w:end w:w="120" w:type="dxa"/>
              <w:left w:w="100" w:type="dxa"/>
              <w:right w:w="100" w:type="dxa"/>
            </w:tcMar>
          </w:tcPr>
          <w:p>
            <w:pPr>
              <w:spacing w:before="0" w:after="0" w:line="240" w:lineRule="auto"/>
              <w:jc w:val="center"/>
            </w:pPr>
            <w:r>
              <w:rPr>
                <w:sz w:val="17"/>
              </w:rPr>
              <w:t>$83 per month</w:t>
            </w:r>
          </w:p>
        </w:tc>
        <w:tc>
          <w:tcPr>
            <w:tcW w:type="dxa" w:w="2736"/>
            <w:vAlign w:val="center"/>
            <w:tcMar>
              <w:top w:w="100" w:type="dxa"/>
              <w:left w:w="100" w:type="dxa"/>
              <w:bottom w:w="100" w:type="dxa"/>
              <w:right w:w="100" w:type="dxa"/>
            </w:tcMar>
          </w:tcPr>
          <w:p>
            <w:pPr>
              <w:spacing w:before="0" w:after="0" w:line="240" w:lineRule="auto"/>
              <w:jc w:val="center"/>
            </w:pPr>
            <w:r>
              <w:rPr>
                <w:sz w:val="17"/>
              </w:rPr>
            </w:r>
            <w:r>
              <w:rPr>
                <w:strike w:val="0"/>
                <w:sz w:val="17"/>
              </w:rPr>
              <w:t>$2,809</w:t>
            </w:r>
          </w:p>
        </w:tc>
      </w:tr>
      <w:tr>
        <w:trPr>
          <w:cantSplit/>
        </w:trPr>
        <w:tc>
          <w:tcPr>
            <w:tcW w:type="dxa" w:w="1800"/>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$1,100,000</w:t>
            </w:r>
          </w:p>
        </w:tc>
        <w:tc>
          <w:tcPr>
            <w:tcW w:type="dxa" w:w="1944"/>
            <w:vAlign w:val="center"/>
            <w:tcMar>
              <w:top w:w="100" w:type="dxa"/>
              <w:bottom w:w="100" w:type="dxa"/>
              <w:start w:w="120" w:type="dxa"/>
              <w:end w:w="120" w:type="dxa"/>
              <w:left w:w="100" w:type="dxa"/>
              <w:right w:w="100" w:type="dxa"/>
            </w:tcMar>
          </w:tcPr>
          <w:p>
            <w:pPr>
              <w:spacing w:before="0" w:after="0" w:line="240" w:lineRule="auto"/>
              <w:jc w:val="center"/>
            </w:pPr>
            <w:r>
              <w:rPr>
                <w:sz w:val="17"/>
              </w:rPr>
            </w:r>
            <w:r>
              <w:rPr>
                <w:strike w:val="0"/>
                <w:sz w:val="17"/>
              </w:rPr>
              <w:t>$7,857</w:t>
            </w:r>
          </w:p>
        </w:tc>
        <w:tc>
          <w:tcPr>
            <w:tcW w:type="dxa" w:w="2880"/>
            <w:vAlign w:val="center"/>
            <w:tcMar>
              <w:top w:w="100" w:type="dxa"/>
              <w:bottom w:w="100" w:type="dxa"/>
              <w:start w:w="120" w:type="dxa"/>
              <w:end w:w="120" w:type="dxa"/>
              <w:left w:w="100" w:type="dxa"/>
              <w:right w:w="100" w:type="dxa"/>
            </w:tcMar>
          </w:tcPr>
          <w:p>
            <w:pPr>
              <w:spacing w:before="0" w:after="0" w:line="240" w:lineRule="auto"/>
              <w:jc w:val="center"/>
            </w:pPr>
            <w:r>
              <w:rPr>
                <w:sz w:val="17"/>
              </w:rPr>
              <w:t>$91 per month</w:t>
            </w:r>
          </w:p>
        </w:tc>
        <w:tc>
          <w:tcPr>
            <w:tcW w:type="dxa" w:w="2736"/>
            <w:vAlign w:val="center"/>
            <w:tcMar>
              <w:top w:w="100" w:type="dxa"/>
              <w:left w:w="100" w:type="dxa"/>
              <w:bottom w:w="100" w:type="dxa"/>
              <w:right w:w="100" w:type="dxa"/>
            </w:tcMar>
          </w:tcPr>
          <w:p>
            <w:pPr>
              <w:spacing w:before="0" w:after="0" w:line="240" w:lineRule="auto"/>
              <w:jc w:val="center"/>
            </w:pPr>
            <w:r>
              <w:rPr>
                <w:sz w:val="17"/>
              </w:rPr>
            </w:r>
            <w:r>
              <w:rPr>
                <w:strike w:val="0"/>
                <w:sz w:val="17"/>
              </w:rPr>
              <w:t>$3,090</w:t>
            </w:r>
          </w:p>
        </w:tc>
      </w:tr>
    </w:tbl>
    <w:p>
      <w:pPr>
        <w:spacing w:after="40"/>
      </w:pPr>
    </w:p>
    <w:p>
      <w:r>
        <w:rPr>
          <w:strike w:val="0"/>
        </w:rPr>
        <w:t>The illustrations assume level monthly payments over 120 months at 7% annual interest and are rounded. Each figure in the payment column is the estimated amount due every month—not an annual payment or a one-time payment—and assumes that the member finances their entire assessment. At the $1.1 million project scenario, financing the full estimated $7,857 share would produce approximately $91.23 per month, approximately $10,947 in total principal and interest, and approximately $3,090 in interest over ten years. Administrative charges or other fees are not included.</w:t>
      </w:r>
    </w:p>
    <w:p>
      <w:pPr/>
      <w:r>
        <w:rPr>
          <w:strike w:val="0"/>
        </w:rPr>
        <w:t>Approximately $91 per month is the illustrated principal-and-interest amount at the maximum project authorization—not a guaranteed cap on every monthly charge. The amount would be lower if the assessment or financed balance is lower, including when a member makes an initial lump-sum payment, but it could differ if the final interest rate, term, payment frequency, fees, or administrative charges differ from the assumptions shown.</w:t>
      </w:r>
    </w:p>
    <w:p>
      <w:pPr>
        <w:pStyle w:val="Heading2"/>
        <w:keepNext/>
      </w:pPr>
      <w:r>
        <w:rPr/>
        <w:t>Payment Options</w:t>
      </w:r>
    </w:p>
    <w:p>
      <w:r>
        <w:rPr/>
        <w:t>Subject to the final lender commitment and project cash requirements, members are expected to have two basic methods for paying the balance of their assessment: payment in full or installment payments. If necessary to establish adequate project funding or remain within the Association's committed borrowing capacity, the Board may require every member to pay an initial portion of the assessment as a one-time lump sum. Any remaining balance could then be paid in full or through the installment option. The amount and due date of any required initial payment would be disclosed before members make a final payment-option selection.</w:t>
      </w:r>
    </w:p>
    <w:p>
      <w:pPr>
        <w:pStyle w:val="Heading3"/>
        <w:keepNext/>
      </w:pPr>
      <w:r>
        <w:rPr/>
        <w:t>Option 1 - Payment in Full</w:t>
      </w:r>
    </w:p>
    <w:p>
      <w:r>
        <w:rPr/>
        <w:t>Members may pay their full assessment, including any initial portion that may be required, by the established due date and avoid financing costs.</w:t>
      </w:r>
    </w:p>
    <w:p>
      <w:pPr>
        <w:pStyle w:val="Heading3"/>
        <w:keepNext/>
      </w:pPr>
      <w:r>
        <w:rPr/>
        <w:t>Option 2 - Installment Payments</w:t>
      </w:r>
    </w:p>
    <w:p>
      <w:r>
        <w:rPr>
          <w:strike w:val="0"/>
        </w:rPr>
        <w:t>The Board intends to offer an Association-administered installment option for up to ten years using a 7% annual-interest planning assumption. If an initial lump-sum payment is required from every member, a member choosing installments would finance only the remaining balance, and the monthly payment would be calculated from that lower financed amount. This is not currently a separate consumer loan commitment to each member. The final documents must state whether the rate is fixed, the payment frequency, how interest accrues, how partial prepayments are applied, whether any prepayment or administrative charge applies, and when the obligation is satisfied.</w:t>
      </w:r>
    </w:p>
    <w:p>
      <w:pPr>
        <w:pStyle w:val="Heading2"/>
        <w:keepNext/>
      </w:pPr>
      <w:r>
        <w:rPr/>
        <w:t>Association Financing</w:t>
      </w:r>
    </w:p>
    <w:p>
      <w:pPr/>
      <w:r>
        <w:rPr>
          <w:strike w:val="0"/>
        </w:rPr>
        <w:t>The Association's bank has provided preliminary approval for borrowing up to $750,000. That approval remains subject to final lender underwriting, loan documents, covenants, security requirements, fees, and other conditions. The possibility of increasing borrowing capacity to as much as $1 million has been discussed with the bank, but should not be described as committed financing unless and until the Association receives written confirmation.</w:t>
      </w:r>
    </w:p>
    <w:p>
      <w:pPr/>
      <w:r>
        <w:rPr>
          <w:strike w:val="0"/>
        </w:rPr>
        <w:t>Upfront payments are expected to reduce the amount the Association must borrow. Availability of an installment option to every requesting member depends on the final lender commitment and aggregate member selections. If required borrowing would exceed committed capacity, the Board may need to obtain additional financing, require an initial lump-sum payment from every member, or revise the timing or installment terms before confirming that every request can be accommodated.</w:t>
      </w:r>
    </w:p>
    <w:p>
      <w:pPr/>
      <w:r>
        <w:t>To estimate aggregate financing demand, the Board will distribute a nonbinding payment-intent questionnaire asking whether members currently expect to pay in full, finance all or part of their balance, and what initial lump-sum amount they could reasonably accommodate if one is required. Responses will be used for planning only and will not constitute a ballot, proxy, or binding payment election.</w:t>
      </w:r>
    </w:p>
    <w:p>
      <w:r>
        <w:rPr>
          <w:strike w:val="0"/>
        </w:rPr>
        <w:t>The final loan amount will be established after member payment selections are known and after the lender has approved the resulting borrowing request. Before members choose, the final materials should disclose the committed amount, interest rate and whether fixed, amortization and maturity, fees, prepayment terms, security or assessment pledge, material covenants, and consequences if payments received from installment users are insufficient to meet Association debt service.</w:t>
      </w:r>
    </w:p>
    <w:p>
      <w:pPr>
        <w:pStyle w:val="Heading2"/>
        <w:keepNext/>
      </w:pPr>
      <w:r>
        <w:rPr/>
        <w:t>Payment-Plan Administration</w:t>
      </w:r>
    </w:p>
    <w:p>
      <w:r>
        <w:rPr>
          <w:strike w:val="0"/>
        </w:rPr>
        <w:t>The Board intends to retain a qualified third-party administrator for installment billing, payment processing, account records, member inquiries, delinquency reporting, and reporting to the Association. The administrator, fee allocation, data-security obligations, error-resolution process, and handling of member information have not yet been finalized and will be disclosed before payment selections.</w:t>
      </w:r>
    </w:p>
    <w:p>
      <w:r>
        <w:rPr>
          <w:strike w:val="0"/>
        </w:rPr>
        <w:t>Third-party administration is intended to provide dedicated account servicing and reduce the need for volunteers to access neighbors' payment records. Actual privacy, security, and service protections will depend on the administrator's contract and systems and should not be guaranteed before selection and review.</w:t>
      </w:r>
    </w:p>
    <w:p>
      <w:pPr>
        <w:pStyle w:val="Heading2"/>
        <w:keepNext/>
      </w:pPr>
      <w:r>
        <w:rPr/>
        <w:t>Financial Oversight</w:t>
      </w:r>
    </w:p>
    <w:p>
      <w:r>
        <w:rPr>
          <w:strike w:val="0"/>
        </w:rPr>
        <w:t>The Board will continue refining the design, scope, budget, and financing. Before payments begin, members will receive the final assessment resolution, payment instructions, financing terms, administrative charges, treatment of early payments, delinquency procedures, and the approved treatment of any excess proceeds. The Board intends to maintain assessment proceeds in a designated project account and provide periodic reporting of commitments, expenditures, contingency use, borrowing, and material schedule changes, subject to final legal and lender requirements.</w:t>
      </w:r>
    </w:p>
    <w:p>
      <w:pPr>
        <w:pStyle w:val="Heading2"/>
        <w:keepNext/>
      </w:pPr>
      <w:r>
        <w:rPr/>
        <w:t>Anticipated Payment Schedule</w:t>
      </w:r>
    </w:p>
    <w:p>
      <w:r>
        <w:rPr/>
        <w:t>If construction begins after the pool closes in September 2027, the Board anticipates the following schedule:</w:t>
      </w:r>
    </w:p>
    <w:p>
      <w:pPr>
        <w:spacing w:after="80" w:line="290" w:lineRule="auto"/>
        <w:numPr>
          <w:ilvl w:val="0"/>
          <w:numId w:val="10"/>
        </w:numPr>
      </w:pPr>
      <w:r>
        <w:rPr>
          <w:strike w:val="0"/>
        </w:rPr>
        <w:t>Final assessment resolution and payment-option information targeted for distribution by April 2027, after the project scope, then-current pricing, expected obligations, lender commitment, and financing requirements are sufficiently developed.</w:t>
      </w:r>
    </w:p>
    <w:p>
      <w:pPr>
        <w:spacing w:after="80" w:line="290" w:lineRule="auto"/>
        <w:numPr>
          <w:ilvl w:val="0"/>
          <w:numId w:val="10"/>
        </w:numPr>
      </w:pPr>
      <w:r>
        <w:rPr/>
        <w:t>Member payment-option selections completed by June 1, 2027.</w:t>
      </w:r>
    </w:p>
    <w:p>
      <w:pPr>
        <w:spacing w:after="80" w:line="290" w:lineRule="auto"/>
        <w:numPr>
          <w:ilvl w:val="0"/>
          <w:numId w:val="10"/>
        </w:numPr>
      </w:pPr>
      <w:r>
        <w:rPr/>
        <w:t>Any required initial lump-sum payment, payments in full, and first monthly installment payments targeted for July 1, 2027.</w:t>
      </w:r>
    </w:p>
    <w:p>
      <w:pPr>
        <w:spacing w:after="80" w:line="290" w:lineRule="auto"/>
        <w:numPr>
          <w:ilvl w:val="0"/>
          <w:numId w:val="10"/>
        </w:numPr>
      </w:pPr>
      <w:r>
        <w:rPr/>
        <w:t>Construction beginning after the pool closes in September 2027.</w:t>
      </w:r>
    </w:p>
    <w:p>
      <w:r>
        <w:rPr/>
        <w:t>Beginning payments approximately two months before construction will allow the Association to finalize financing, establish member accounts, satisfy initial project obligations, and confirm that funding is available before work begins.</w:t>
      </w:r>
    </w:p>
    <w:p>
      <w:r>
        <w:rPr>
          <w:strike w:val="0"/>
        </w:rPr>
        <w:t>This schedule is preliminary and may be adjusted for design, pricing, contracting, lender requirements, permitting, or construction timing.</w:t>
      </w:r>
    </w:p>
    <w:p>
      <w:r>
        <w:rPr/>
        <w:br w:type="page"/>
      </w:r>
    </w:p>
    <w:p>
      <w:pPr>
        <w:pStyle w:val="Heading1"/>
        <w:keepNext/>
        <w:spacing w:before="0"/>
      </w:pPr>
      <w:r>
        <w:rPr/>
        <w:t>9. Member Approval</w:t>
      </w:r>
    </w:p>
    <w:p>
      <w:r>
        <w:rPr>
          <w:strike w:val="0"/>
        </w:rPr>
        <w:t>Based on counsel's review of the Association's governing documents, a special assessment requires member approval. Counsel has advised that Recreation Members and Civic Members are both entitled to vote and are responsible for equal shares of a special assessment. The final materials should cite the controlling governing-document provisions.</w:t>
      </w:r>
    </w:p>
    <w:p>
      <w:r>
        <w:rPr>
          <w:strike w:val="0"/>
        </w:rPr>
        <w:t>The Board intends to conduct the vote at a membership meeting, with signed directed proxies accepted in advance or presented by an authorized proxy holder. Counsel's guidance is that approval requires affirmative votes from two-thirds of the members present in person or represented by valid proxy—not two-thirds of all 140 members unless all are represented.</w:t>
      </w:r>
    </w:p>
    <w:p>
      <w:r>
        <w:rPr>
          <w:strike w:val="0"/>
        </w:rPr>
        <w:t>Following approval, the Board would retain reasonable discretion over implementation within the ballot authorization, governing documents, applicable law, and fiduciary duties. Material departure from the authorized purpose or minimum scope, or an assessment above the approved ceiling, would be submitted to counsel to determine whether further member approval is required.</w:t>
      </w:r>
    </w:p>
    <w:p>
      <w:r>
        <w:rPr>
          <w:strike w:val="0"/>
        </w:rPr>
        <w:t>The final vote wording, proxy, meeting notice, eligibility rules, validation protocol, ballot procedure, tabulation controls, and result certification will be reviewed by Association counsel. Distribution of the packet and voting materials will begin during the week of August 3, 2026. The information meeting will be held on Sunday, August 30, 2026, at 4:00 p.m. at the Chestnut Creek pool pavilion. The voting meeting will be held on Sunday, September 13, 2026, at 4:00 p.m. at the Chestnut Creek pool pavilion.</w:t>
      </w:r>
    </w:p>
    <w:p>
      <w:r>
        <w:rPr/>
        <w:t>The voting materials will specify:</w:t>
      </w:r>
    </w:p>
    <w:p>
      <w:pPr>
        <w:spacing w:after="80" w:line="290" w:lineRule="auto"/>
        <w:numPr>
          <w:ilvl w:val="0"/>
          <w:numId w:val="10"/>
        </w:numPr>
      </w:pPr>
      <w:r>
        <w:rPr/>
        <w:t>The precise question being presented.</w:t>
      </w:r>
    </w:p>
    <w:p>
      <w:pPr>
        <w:spacing w:after="80" w:line="290" w:lineRule="auto"/>
        <w:numPr>
          <w:ilvl w:val="0"/>
          <w:numId w:val="10"/>
        </w:numPr>
      </w:pPr>
      <w:r>
        <w:rPr>
          <w:strike w:val="0"/>
        </w:rPr>
        <w:t>The record date, member eligibility, and the final voting and assessment roll.</w:t>
      </w:r>
    </w:p>
    <w:p>
      <w:pPr>
        <w:spacing w:after="80" w:line="290" w:lineRule="auto"/>
        <w:numPr>
          <w:ilvl w:val="0"/>
          <w:numId w:val="10"/>
        </w:numPr>
      </w:pPr>
      <w:r>
        <w:rPr/>
        <w:t>The maximum assessment authorization.</w:t>
      </w:r>
    </w:p>
    <w:p>
      <w:pPr>
        <w:spacing w:after="80" w:line="290" w:lineRule="auto"/>
        <w:numPr>
          <w:ilvl w:val="0"/>
          <w:numId w:val="10"/>
        </w:numPr>
      </w:pPr>
      <w:r>
        <w:rPr>
          <w:strike w:val="0"/>
        </w:rPr>
        <w:t>The voting-meeting date, time, and location.</w:t>
      </w:r>
    </w:p>
    <w:p>
      <w:pPr>
        <w:spacing w:after="80" w:line="290" w:lineRule="auto"/>
        <w:numPr>
          <w:ilvl w:val="0"/>
          <w:numId w:val="10"/>
        </w:numPr>
      </w:pPr>
      <w:r>
        <w:rPr>
          <w:strike w:val="0"/>
        </w:rPr>
        <w:t>Procedures and deadlines for submitting signed directed proxies in advance or presenting them at the meeting.</w:t>
      </w:r>
    </w:p>
    <w:p>
      <w:pPr>
        <w:spacing w:after="80" w:line="290" w:lineRule="auto"/>
        <w:numPr>
          <w:ilvl w:val="0"/>
          <w:numId w:val="10"/>
        </w:numPr>
      </w:pPr>
      <w:r>
        <w:rPr>
          <w:strike w:val="0"/>
        </w:rPr>
        <w:t>The quorum, approval threshold, voting denominator, and treatment of abstentions and invalid submissions.</w:t>
      </w:r>
    </w:p>
    <w:p>
      <w:pPr>
        <w:spacing w:after="80" w:line="290" w:lineRule="auto"/>
        <w:numPr>
          <w:ilvl w:val="0"/>
          <w:numId w:val="10"/>
        </w:numPr>
      </w:pPr>
      <w:r>
        <w:rPr>
          <w:strike w:val="0"/>
        </w:rPr>
        <w:t>The independent or otherwise counsel-approved validation, tabulation, challenge, retention, certification, and announcement procedures.</w:t>
      </w:r>
    </w:p>
    <w:p>
      <w:r>
        <w:rPr/>
        <w:br w:type="page"/>
      </w:r>
    </w:p>
    <w:p>
      <w:pPr>
        <w:pStyle w:val="Heading1"/>
        <w:keepNext/>
        <w:spacing w:before="0"/>
      </w:pPr>
      <w:r>
        <w:rPr>
          <w:color w:val="000000"/>
        </w:rPr>
        <w:t>10. Frequently Asked Questions</w:t>
      </w:r>
    </w:p>
    <w:p>
      <w:pPr>
        <w:pStyle w:val="Heading2"/>
        <w:keepNext/>
      </w:pPr>
      <w:r>
        <w:rPr>
          <w:color w:val="000000"/>
        </w:rPr>
        <w:t>Why not simply repair the existing pool?</w:t>
      </w:r>
    </w:p>
    <w:p>
      <w:r>
        <w:rPr>
          <w:strike w:val="0"/>
          <w:color w:val="000000"/>
        </w:rPr>
        <w:t>Major rehabilitation is technically feasible and has a lower quoted initial cost. The two proposals expressly including pile stabilization were approximately $294,000 and $342,000 before updated pricing and resolution of assumptions, exclusions, and concealed conditions. Rehabilitation would retain the original pool shell; the Board concluded that replacement better fits its preference to avoid continued reliance on that shell, while recognizing that no formal life-cycle-cost analysis has been completed.</w:t>
      </w:r>
    </w:p>
    <w:p>
      <w:pPr>
        <w:pStyle w:val="Heading2"/>
        <w:keepNext/>
      </w:pPr>
      <w:r>
        <w:rPr>
          <w:color w:val="000000"/>
        </w:rPr>
        <w:t>Did Cobb County say the pool was safe to operate?</w:t>
      </w:r>
    </w:p>
    <w:p>
      <w:r>
        <w:rPr>
          <w:color w:val="000000"/>
        </w:rPr>
        <w:t>Cobb County gave the facility a satisfactory rating for the 2026 operating season and also cited cracks in the pool deck. That inspection evaluated seasonal public-health and operating requirements. The engineer separately evaluated structural condition, settlement, remaining service life, and long-term restoration. The two reviews served different purposes.</w:t>
      </w:r>
    </w:p>
    <w:p>
      <w:pPr>
        <w:pStyle w:val="Heading2"/>
        <w:keepNext/>
      </w:pPr>
      <w:r>
        <w:rPr>
          <w:color w:val="000000"/>
        </w:rPr>
        <w:t>Did the engineer recommend replacement?</w:t>
      </w:r>
    </w:p>
    <w:p>
      <w:r>
        <w:rPr>
          <w:strike w:val="0"/>
          <w:color w:val="000000"/>
        </w:rPr>
        <w:t>Yes. G&amp;M Engineering recommended removing and replacing the pool and deck. The engineer also described a rehabilitation approach and based its recommendation on age, observed settlement, deck deterioration, and the cost of restoration intended to provide more than ten additional years of service. The report did not guarantee the service life of rehabilitation or quantify the service life of a replacement pool.</w:t>
      </w:r>
    </w:p>
    <w:p>
      <w:pPr>
        <w:pStyle w:val="Heading2"/>
        <w:keepNext/>
      </w:pPr>
      <w:r>
        <w:rPr>
          <w:color w:val="000000"/>
        </w:rPr>
        <w:t>How were the rehabilitation costs developed?</w:t>
      </w:r>
    </w:p>
    <w:p>
      <w:r>
        <w:rPr>
          <w:strike w:val="0"/>
          <w:color w:val="000000"/>
        </w:rPr>
        <w:t>The Board and renovation committee obtained four contractor proposals using different scopes. Totals ranged from approximately $218,000 to $342,000, but the $218,000 and $231,000 proposals did not include foundation-pile stabilization. The Sears and Dynamo proposals expressly including pile stabilization totaled approximately $294,000 and $342,000 and still contained assumptions, exclusions, allowances, or unit pricing. None is a current bid for a common scope.</w:t>
      </w:r>
    </w:p>
    <w:p>
      <w:pPr>
        <w:pStyle w:val="Heading2"/>
        <w:keepNext/>
      </w:pPr>
      <w:r>
        <w:rPr>
          <w:color w:val="000000"/>
        </w:rPr>
        <w:t>Are the rehabilitation proposals still valid?</w:t>
      </w:r>
    </w:p>
    <w:p>
      <w:r>
        <w:rPr>
          <w:color w:val="000000"/>
        </w:rPr>
        <w:t>No assumption should be made that the original prices remain available. The proposals were prepared at different times and were generally valid for limited periods. Updated pricing and a unified scope would be required before proceeding with rehabilitation.</w:t>
      </w:r>
    </w:p>
    <w:p>
      <w:pPr>
        <w:pStyle w:val="Heading2"/>
        <w:keepNext/>
      </w:pPr>
      <w:r>
        <w:rPr>
          <w:color w:val="000000"/>
        </w:rPr>
        <w:t>What is included in the proposed replacement project?</w:t>
      </w:r>
    </w:p>
    <w:p>
      <w:r>
        <w:rPr>
          <w:strike w:val="0"/>
          <w:color w:val="000000"/>
        </w:rPr>
        <w:t>Subject to the final ballot, the proposed minimum scope is a new pool of approximately the same size and capacity, a new pool house and pump room, and a rebuilt and expanded deck, together with the systems, accessibility, drainage, fencing, and related work required for a complete operating facility. Pavilion work is outside the minimum scope and may be included only if justified and affordable within the authorization.</w:t>
      </w:r>
    </w:p>
    <w:p>
      <w:pPr>
        <w:pStyle w:val="Heading2"/>
        <w:keepNext/>
      </w:pPr>
      <w:r>
        <w:rPr>
          <w:strike w:val="0"/>
          <w:color w:val="000000"/>
        </w:rPr>
        <w:t>What controls will apply to contracting and spending?</w:t>
      </w:r>
    </w:p>
    <w:p>
      <w:pPr>
        <w:keepNext/>
      </w:pPr>
      <w:r>
        <w:rPr>
          <w:strike w:val="0"/>
          <w:color w:val="000000"/>
        </w:rPr>
        <w:t>Before the principal contract is awarded, the Board intends to document the project scope, procurement and selection process, budget, schedule, insurance and bonding decisions, written change-order authority, payment review, lien-waiver requirements, and project-management responsibility. The Board also intends to report periodically on commitments, expenditures, contingency use, borrowing, and material schedule changes.</w:t>
      </w:r>
    </w:p>
    <w:p>
      <w:pPr>
        <w:pStyle w:val="Heading2"/>
        <w:keepNext/>
      </w:pPr>
      <w:r>
        <w:rPr>
          <w:strike w:val="0"/>
          <w:color w:val="000000"/>
        </w:rPr>
        <w:t>How long is a replacement pool expected to last?</w:t>
      </w:r>
    </w:p>
    <w:p>
      <w:pPr>
        <w:keepNext/>
      </w:pPr>
      <w:r>
        <w:rPr>
          <w:strike w:val="0"/>
          <w:color w:val="000000"/>
        </w:rPr>
        <w:t>No project-specific service-life estimate has yet been obtained. Service life will depend on final design, materials, construction quality, site conditions, operation, and maintenance. The Board will request service-life and warranty information from the selected design and construction professionals and should not describe the new facility as having a guaranteed lifespan.</w:t>
      </w:r>
    </w:p>
    <w:p>
      <w:pPr>
        <w:pStyle w:val="Heading2"/>
        <w:keepNext/>
      </w:pPr>
      <w:r>
        <w:rPr>
          <w:color w:val="000000"/>
        </w:rPr>
        <w:t>How was the $1.1 million amount developed?</w:t>
      </w:r>
    </w:p>
    <w:p>
      <w:r>
        <w:rPr>
          <w:strike w:val="0"/>
          <w:color w:val="000000"/>
        </w:rPr>
        <w:t>It is a Board planning authorization consisting of a $1 million project-cost allowance and a $100,000 contingency. The allowance reflects preliminary verbal estimates for complete replacement generally ranging from approximately $700,000 to $1 million, together with the Board's current understanding of anticipated design, permitting, demolition, construction, site-work, restoration, and related project costs. It is not a final bid or guaranteed price.</w:t>
      </w:r>
    </w:p>
    <w:p>
      <w:pPr>
        <w:pStyle w:val="Heading2"/>
        <w:keepNext/>
      </w:pPr>
      <w:r>
        <w:rPr>
          <w:strike w:val="0"/>
          <w:color w:val="000000"/>
        </w:rPr>
        <w:t>Why is the vote occurring before final design and a full-scope bid?</w:t>
      </w:r>
    </w:p>
    <w:p>
      <w:pPr>
        <w:keepNext/>
      </w:pPr>
      <w:r>
        <w:rPr>
          <w:strike w:val="0"/>
          <w:color w:val="000000"/>
        </w:rPr>
        <w:t>The Board's current process seeks member authorization for a maximum assessment before incurring the full cost of design, procurement, and contracting. This preserves Board discretion and avoids committing substantial preconstruction funds without member authorization, but it means members are voting with preliminary rather than final pricing. The $1.1 million ceiling and stated project purpose are intended to limit that uncertainty.</w:t>
      </w:r>
    </w:p>
    <w:p>
      <w:pPr>
        <w:pStyle w:val="Heading2"/>
        <w:keepNext/>
      </w:pPr>
      <w:r>
        <w:rPr>
          <w:color w:val="000000"/>
        </w:rPr>
        <w:t>What happens if the project costs less than $1.1 million?</w:t>
      </w:r>
    </w:p>
    <w:p>
      <w:r>
        <w:rPr>
          <w:strike w:val="0"/>
          <w:color w:val="000000"/>
        </w:rPr>
        <w:t>The Association will assess and borrow only the amount reasonably required based on the final approved project scope and expected obligations. A lower project cost established before the assessment is finalized would reduce each member's assessment and, for members choosing installments, the corresponding monthly payment. If final project accounting later produces excess assessment proceeds after upfront payments have been collected, those funds will be handled in accordance with the governing documents, applicable law, lender requirements, and the final assessment resolution.</w:t>
      </w:r>
    </w:p>
    <w:p>
      <w:pPr>
        <w:pStyle w:val="Heading2"/>
        <w:keepNext/>
      </w:pPr>
      <w:r>
        <w:rPr>
          <w:color w:val="000000"/>
        </w:rPr>
        <w:t>What happens if bids exceed $1.1 million?</w:t>
      </w:r>
    </w:p>
    <w:p>
      <w:r>
        <w:rPr>
          <w:color w:val="000000"/>
        </w:rPr>
        <w:t>The Board would evaluate scope adjustments, alternative pricing, available lawful funding, and other options. The Board would not impose an assessment beyond the approved authorization without taking any additional action required by the governing documents and applicable legal guidance.</w:t>
      </w:r>
    </w:p>
    <w:p>
      <w:pPr>
        <w:pStyle w:val="Heading2"/>
        <w:keepNext/>
      </w:pPr>
      <w:r>
        <w:rPr>
          <w:color w:val="000000"/>
        </w:rPr>
        <w:t>What is the most a member is expected to pay?</w:t>
      </w:r>
    </w:p>
    <w:p>
      <w:r>
        <w:rPr>
          <w:strike w:val="0"/>
          <w:color w:val="000000"/>
        </w:rPr>
        <w:t>At a $1.1 million final project cost divided among 140 assessable memberships, the illustrated assessment is approximately $7,857 per member. Financing that amount for 120 months at 7% produces approximately $91.23 per month and approximately $10,947 total principal and interest, before administrative charges. These are illustrations, not final financing terms.</w:t>
      </w:r>
    </w:p>
    <w:p>
      <w:pPr>
        <w:pStyle w:val="Heading2"/>
        <w:keepNext/>
      </w:pPr>
      <w:r>
        <w:rPr>
          <w:strike w:val="0"/>
          <w:color w:val="000000"/>
        </w:rPr>
        <w:t>Is the special assessment separate from regular dues and reserve funding?</w:t>
      </w:r>
    </w:p>
    <w:p>
      <w:pPr>
        <w:keepNext/>
      </w:pPr>
      <w:r>
        <w:rPr>
          <w:strike w:val="0"/>
          <w:color w:val="000000"/>
        </w:rPr>
        <w:t>Yes. The proposed special assessment is a separate project obligation. Regular dues and the Association's other operating and reserve responsibilities would continue.</w:t>
      </w:r>
    </w:p>
    <w:p>
      <w:pPr>
        <w:pStyle w:val="Heading2"/>
        <w:keepNext/>
      </w:pPr>
      <w:r>
        <w:rPr>
          <w:color w:val="000000"/>
        </w:rPr>
        <w:t>Can I pay in full?</w:t>
      </w:r>
    </w:p>
    <w:p>
      <w:r>
        <w:rPr>
          <w:color w:val="000000"/>
        </w:rPr>
        <w:t>Yes. Members may pay the full assessment by the established deadline and avoid financing costs.</w:t>
      </w:r>
    </w:p>
    <w:p>
      <w:pPr>
        <w:pStyle w:val="Heading2"/>
      </w:pPr>
      <w:r>
        <w:rPr>
          <w:color w:val="000000"/>
        </w:rPr>
        <w:t>Could every member be required to make an initial lump-sum payment?</w:t>
      </w:r>
    </w:p>
    <w:p>
      <w:pPr/>
      <w:r>
        <w:rPr>
          <w:color w:val="000000"/>
        </w:rPr>
        <w:t>Yes. Depending on final project cash requirements, aggregate member payment selections, and committed loan capacity, the Board may require each member to pay an initial portion of the assessment as a one-time lump sum. A member choosing installments would finance only the remaining balance. The amount, due date, and effect on the estimated monthly payment would be disclosed before members make a final payment-option selection.</w:t>
      </w:r>
    </w:p>
    <w:p>
      <w:pPr>
        <w:pStyle w:val="Heading2"/>
        <w:keepNext/>
      </w:pPr>
      <w:r>
        <w:rPr>
          <w:color w:val="000000"/>
        </w:rPr>
        <w:t>Can I pay off an installment balance early?</w:t>
      </w:r>
    </w:p>
    <w:p>
      <w:r>
        <w:rPr>
          <w:strike w:val="0"/>
          <w:color w:val="000000"/>
        </w:rPr>
        <w:t>The Board intends to permit early payoff. The final documents must explain how payoff is calculated and applied and confirm whether any prepayment or administrative charge applies.</w:t>
      </w:r>
    </w:p>
    <w:p>
      <w:pPr>
        <w:pStyle w:val="Heading2"/>
        <w:keepNext/>
      </w:pPr>
      <w:r>
        <w:rPr>
          <w:color w:val="000000"/>
        </w:rPr>
        <w:t>Who will manage installment payments?</w:t>
      </w:r>
    </w:p>
    <w:p>
      <w:r>
        <w:rPr>
          <w:strike w:val="0"/>
          <w:color w:val="000000"/>
        </w:rPr>
        <w:t>The Board intends to retain a qualified third-party administrator. The administrator, service standards, fees, privacy obligations, and error-resolution process will be disclosed before members choose a payment option.</w:t>
      </w:r>
    </w:p>
    <w:p>
      <w:pPr>
        <w:pStyle w:val="Heading2"/>
        <w:keepNext/>
      </w:pPr>
      <w:r>
        <w:rPr>
          <w:strike w:val="0"/>
          <w:color w:val="000000"/>
        </w:rPr>
        <w:t>What if installment demand exceeds the Association's committed loan capacity?</w:t>
      </w:r>
    </w:p>
    <w:p>
      <w:pPr>
        <w:keepNext/>
      </w:pPr>
      <w:r>
        <w:rPr>
          <w:strike w:val="0"/>
          <w:color w:val="000000"/>
        </w:rPr>
        <w:t>The Board cannot determine the required Association loan until member selections are known. If demand exceeds committed capacity, the Board may need to obtain additional financing, require an initial lump-sum payment from every member, or revise the timing or installment terms before confirming that every request can be accommodated. Preliminary discussions about borrowing above $750,000 are not a binding lender commitment.</w:t>
      </w:r>
    </w:p>
    <w:p>
      <w:pPr>
        <w:pStyle w:val="Heading2"/>
        <w:keepNext/>
      </w:pPr>
      <w:r>
        <w:rPr>
          <w:strike w:val="0"/>
          <w:color w:val="000000"/>
        </w:rPr>
        <w:t>What happens if an installment payment is late or missed?</w:t>
      </w:r>
    </w:p>
    <w:p>
      <w:pPr>
        <w:keepNext/>
      </w:pPr>
      <w:r>
        <w:rPr>
          <w:strike w:val="0"/>
          <w:color w:val="000000"/>
        </w:rPr>
        <w:t>The final assessment resolution and payment-plan documents will describe notices, late charges, cure periods, payment-enforcement remedies, and the third-party administrator's role. They should also explain whether delinquencies could affect the Association's ability to service its bank loan or create costs borne by the Association.</w:t>
      </w:r>
    </w:p>
    <w:p>
      <w:pPr>
        <w:pStyle w:val="Heading2"/>
        <w:keepNext/>
      </w:pPr>
      <w:r>
        <w:rPr>
          <w:strike w:val="0"/>
          <w:color w:val="000000"/>
        </w:rPr>
        <w:t>What happens to an unpaid installment balance if a member sells a home?</w:t>
      </w:r>
    </w:p>
    <w:p>
      <w:pPr>
        <w:keepNext/>
      </w:pPr>
      <w:r>
        <w:rPr>
          <w:strike w:val="0"/>
          <w:color w:val="000000"/>
        </w:rPr>
        <w:t>This treatment has not been finalized. Before members select installments, counsel and the lender should confirm whether the remaining balance must be paid at closing, remains secured against the property or membership, may transfer to a purchaser, or is handled in another manner.</w:t>
      </w:r>
    </w:p>
    <w:p>
      <w:pPr>
        <w:pStyle w:val="Heading2"/>
        <w:keepNext/>
        <w:pageBreakBefore/>
      </w:pPr>
      <w:r>
        <w:rPr>
          <w:color w:val="000000"/>
        </w:rPr>
        <w:t>When would payments begin?</w:t>
      </w:r>
    </w:p>
    <w:p>
      <w:pPr>
        <w:keepLines/>
      </w:pPr>
      <w:r>
        <w:rPr>
          <w:strike w:val="0"/>
          <w:color w:val="000000"/>
        </w:rPr>
        <w:t>The current target is July 1, 2027 for any required initial lump-sum payment, payments in full, and first monthly installment payments. That date remains preliminary. Before members select an option, the Board intends to provide the final assessment resolution, committed financing terms, administrative charges, payment instructions, and the required advance notice.</w:t>
      </w:r>
    </w:p>
    <w:p>
      <w:pPr>
        <w:pStyle w:val="Heading2"/>
        <w:keepNext/>
      </w:pPr>
      <w:r>
        <w:rPr>
          <w:color w:val="000000"/>
        </w:rPr>
        <w:t>When would construction begin?</w:t>
      </w:r>
    </w:p>
    <w:p>
      <w:r>
        <w:rPr>
          <w:color w:val="000000"/>
        </w:rPr>
        <w:t>The Board anticipates beginning construction after the pool closes in September 2027. The schedule remains subject to design, permitting, bidding, financing, and contractor availability.</w:t>
      </w:r>
    </w:p>
    <w:p>
      <w:pPr>
        <w:pStyle w:val="Heading2"/>
        <w:keepNext/>
      </w:pPr>
      <w:r>
        <w:rPr>
          <w:color w:val="000000"/>
        </w:rPr>
        <w:t>Will the 2027 pool season be affected?</w:t>
      </w:r>
    </w:p>
    <w:p>
      <w:r>
        <w:rPr>
          <w:color w:val="000000"/>
        </w:rPr>
        <w:t>The current plan is to keep the pool available through the normal 2027 season and begin construction after it closes. Continued operation remains subject to facility conditions and required regulatory approval.</w:t>
      </w:r>
    </w:p>
    <w:p>
      <w:pPr>
        <w:pStyle w:val="Heading2"/>
        <w:keepNext/>
        <w:pageBreakBefore w:val="0"/>
      </w:pPr>
      <w:r>
        <w:rPr>
          <w:color w:val="000000"/>
        </w:rPr>
        <w:t>Do Civic Members vote and pay the same assessment?</w:t>
      </w:r>
    </w:p>
    <w:p>
      <w:r>
        <w:rPr>
          <w:strike w:val="0"/>
          <w:color w:val="000000"/>
        </w:rPr>
        <w:t>Based on counsel's review, Civic Members and Recreation Members both vote and are responsible for equal shares of a special assessment. The current 140-member count consists of 125 Recreation Members and 15 Civic Members. The final voting and assessment roll, including treatment of joint, entity, delinquent, transferred, Outside User, and Associate User records, must be confirmed before the vote and assessment.</w:t>
      </w:r>
    </w:p>
    <w:p>
      <w:pPr>
        <w:pStyle w:val="Heading2"/>
        <w:keepNext/>
      </w:pPr>
      <w:r>
        <w:rPr>
          <w:color w:val="000000"/>
        </w:rPr>
        <w:t>What happens if the assessment is not approved?</w:t>
      </w:r>
    </w:p>
    <w:p>
      <w:r>
        <w:rPr>
          <w:color w:val="000000"/>
        </w:rPr>
        <w:t>The replacement project could not proceed under the proposed funding plan. The Board would need to reassess available options while continuing to address the existing pool's maintenance, structural, and regulatory needs. Rejection of the assessment would not eliminate those underlying conditions.</w:t>
      </w:r>
    </w:p>
    <w:p>
      <w:pPr>
        <w:pStyle w:val="Heading2"/>
        <w:keepNext/>
        <w:pageBreakBefore w:val="0"/>
      </w:pPr>
      <w:r>
        <w:rPr>
          <w:strike w:val="0"/>
          <w:color w:val="000000"/>
        </w:rPr>
        <w:t>Can the Board predict an increase in home values?</w:t>
      </w:r>
    </w:p>
    <w:p>
      <w:pPr>
        <w:keepLines/>
      </w:pPr>
      <w:r>
        <w:rPr>
          <w:strike w:val="0"/>
          <w:color w:val="000000"/>
        </w:rPr>
        <w:t>No. The local real estate input was qualitative and found no strong direct correlation in the reviewed data between amenities, average sale price, or days on market. The Board believes maintained amenities may support neighborhood marketability, but this report assigns no dollar premium and does not claim that the project will increase the value of any home.</w:t>
      </w:r>
    </w:p>
    <w:p>
      <w:r>
        <w:rPr/>
        <w:br w:type="page"/>
      </w:r>
    </w:p>
    <w:p>
      <w:pPr>
        <w:pStyle w:val="Heading1"/>
        <w:keepNext/>
      </w:pPr>
      <w:r>
        <w:rPr/>
        <w:t>Appendix A - Sources Of Information</w:t>
      </w:r>
    </w:p>
    <w:p>
      <w:r>
        <w:t xml:space="preserve">This report was prepared using information from the following sources. The principal engineering, inspection, reserve-planning, and contractor documents listed below will be available at </w:t>
      </w:r>
      <w:hyperlink r:id="rId13">
        <w:r>
          <w:rPr>
            <w:color w:val="000000"/>
            <w:u w:val="single"/>
          </w:rPr>
          <w:t>chestnutcreek.org/hoa-documents</w:t>
        </w:r>
      </w:hyperlink>
      <w:r>
        <w:t>.</w:t>
      </w:r>
    </w:p>
    <w:p>
      <w:pPr>
        <w:spacing w:after="80" w:line="290" w:lineRule="auto"/>
        <w:numPr>
          <w:ilvl w:val="0"/>
          <w:numId w:val="10"/>
        </w:numPr>
      </w:pPr>
      <w:r>
        <w:rPr/>
        <w:t>Chestnut Creek Reserve Study, 2023.</w:t>
      </w:r>
    </w:p>
    <w:p>
      <w:pPr>
        <w:spacing w:after="80" w:line="290" w:lineRule="auto"/>
        <w:numPr>
          <w:ilvl w:val="0"/>
          <w:numId w:val="10"/>
        </w:numPr>
      </w:pPr>
      <w:r>
        <w:rPr/>
        <w:t>Chestnut Creek Reserve Study Addendum.</w:t>
      </w:r>
    </w:p>
    <w:p>
      <w:pPr>
        <w:spacing w:after="80" w:line="290" w:lineRule="auto"/>
        <w:numPr>
          <w:ilvl w:val="0"/>
          <w:numId w:val="10"/>
        </w:numPr>
      </w:pPr>
      <w:r>
        <w:rPr/>
        <w:t>G&amp;M Engineering, Inc., Swimming Pool and Pool Deck Review, October 29, 2025.</w:t>
      </w:r>
    </w:p>
    <w:p>
      <w:pPr>
        <w:spacing w:after="80" w:line="290" w:lineRule="auto"/>
        <w:numPr>
          <w:ilvl w:val="0"/>
          <w:numId w:val="10"/>
        </w:numPr>
      </w:pPr>
      <w:r>
        <w:rPr/>
        <w:t>Cobb County Public Swimming Pool Inspection Report, April 24, 2026.</w:t>
      </w:r>
    </w:p>
    <w:p>
      <w:pPr>
        <w:spacing w:after="80" w:line="290" w:lineRule="auto"/>
        <w:numPr>
          <w:ilvl w:val="0"/>
          <w:numId w:val="10"/>
        </w:numPr>
      </w:pPr>
      <w:r>
        <w:rPr>
          <w:strike w:val="0"/>
        </w:rPr>
        <w:t>Pool Supply Atlanta Estimate #1058, July 18, 2025.</w:t>
      </w:r>
    </w:p>
    <w:p>
      <w:pPr>
        <w:spacing w:after="80" w:line="290" w:lineRule="auto"/>
        <w:numPr>
          <w:ilvl w:val="0"/>
          <w:numId w:val="10"/>
        </w:numPr>
      </w:pPr>
      <w:r>
        <w:rPr>
          <w:strike w:val="0"/>
        </w:rPr>
        <w:t>Sweetwater Pools Repair Proposal Q1016, August 12, 2025.</w:t>
      </w:r>
    </w:p>
    <w:p>
      <w:pPr>
        <w:spacing w:after="80" w:line="290" w:lineRule="auto"/>
        <w:numPr>
          <w:ilvl w:val="0"/>
          <w:numId w:val="10"/>
        </w:numPr>
      </w:pPr>
      <w:r>
        <w:rPr>
          <w:strike w:val="0"/>
        </w:rPr>
        <w:t>Sears Pool Management estimate, initially dated August 4, 2025 and revised January 23, 2026.</w:t>
      </w:r>
    </w:p>
    <w:p>
      <w:pPr>
        <w:spacing w:after="80" w:line="290" w:lineRule="auto"/>
        <w:numPr>
          <w:ilvl w:val="0"/>
          <w:numId w:val="10"/>
        </w:numPr>
      </w:pPr>
      <w:r>
        <w:rPr>
          <w:strike w:val="0"/>
        </w:rPr>
        <w:t>Dynamo Pool Management Proposal, December 4, 2025.</w:t>
      </w:r>
    </w:p>
    <w:p>
      <w:pPr>
        <w:spacing w:after="80" w:line="290" w:lineRule="auto"/>
        <w:numPr>
          <w:ilvl w:val="0"/>
          <w:numId w:val="10"/>
        </w:numPr>
      </w:pPr>
      <w:r>
        <w:rPr>
          <w:strike w:val="0"/>
        </w:rPr>
        <w:t>Hilltop Pools proposal, February 5, 2026 (pool-and-deck scope; not the full minimum replacement project).</w:t>
      </w:r>
    </w:p>
    <w:p>
      <w:pPr>
        <w:spacing w:after="80" w:line="290" w:lineRule="auto"/>
        <w:numPr>
          <w:ilvl w:val="0"/>
          <w:numId w:val="10"/>
        </w:numPr>
      </w:pPr>
      <w:r>
        <w:rPr/>
        <w:t>Replacement planning discussions with pool builders, general contractors, demolition contractors, and site-work professionals.</w:t>
      </w:r>
    </w:p>
    <w:p>
      <w:pPr>
        <w:spacing w:after="80" w:line="290" w:lineRule="auto"/>
        <w:numPr>
          <w:ilvl w:val="0"/>
          <w:numId w:val="10"/>
        </w:numPr>
      </w:pPr>
      <w:r>
        <w:rPr>
          <w:strike w:val="0"/>
        </w:rPr>
        <w:t>Preliminary financing information and discussions with the Association's bank; final written commitment and loan terms remain pending.</w:t>
      </w:r>
    </w:p>
    <w:p>
      <w:pPr>
        <w:spacing w:after="80" w:line="290" w:lineRule="auto"/>
        <w:numPr>
          <w:ilvl w:val="0"/>
          <w:numId w:val="10"/>
        </w:numPr>
      </w:pPr>
      <w:r>
        <w:rPr/>
        <w:t>Legal review of the Association's covenants, bylaws, assessment authority, and voting procedures.</w:t>
      </w:r>
    </w:p>
    <w:p>
      <w:pPr>
        <w:spacing w:after="80" w:line="290" w:lineRule="auto"/>
        <w:numPr>
          <w:ilvl w:val="0"/>
          <w:numId w:val="10"/>
        </w:numPr>
      </w:pPr>
      <w:r>
        <w:rPr>
          <w:strike w:val="0"/>
        </w:rPr>
        <w:t>Qualitative market perspective provided by a local East Cobb real estate professional; no appraisal or formal market study was obtained.</w:t>
      </w:r>
    </w:p>
    <w:p>
      <w:pPr>
        <w:spacing w:after="80" w:line="290" w:lineRule="auto"/>
        <w:numPr>
          <w:ilvl w:val="0"/>
          <w:numId w:val="10"/>
        </w:numPr>
      </w:pPr>
      <w:r>
        <w:rPr/>
        <w:t>Chestnut Creek Board and committee records.</w:t>
      </w:r>
    </w:p>
    <w:p>
      <w:r>
        <w:rPr>
          <w:strike w:val="0"/>
        </w:rPr>
        <w:t>The source documents should be read directly for their complete assumptions, exclusions, validity periods, warranties, and limitations. Contractor proposals were not obtained from a unified scope and are no longer current bids. Final project decisions will require updated design, pricing, contracts, financing, permitting, and legal review.</w:t>
      </w:r>
    </w:p>
    <w:sectPr w:rsidR="00FC693F" w:rsidRPr="0006063C" w:rsidSect="00034616">
      <w:headerReference w:type="default" r:id="rId9"/>
      <w:footerReference w:type="default" r:id="rId10"/>
      <w:footerReference w:type="first" r:id="rId11"/>
      <w:footerReference w:type="even"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t xml:space="preserve">Version 4.6  |  </w:t>
    </w:r>
    <w:r>
      <w:rPr>
        <w:strike w:val="0"/>
        <w:sz w:val="17"/>
      </w:rPr>
    </w:r>
    <w:r>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5" w:color="#DBDBDB"/>
      </w:pBdr>
    </w:pPr>
    <w:r>
      <w:rPr/>
    </w:r>
    <w:r>
      <w:rPr>
        <w:b/>
        <w:color w:val="666666"/>
        <w:sz w:val="17"/>
      </w:rPr>
      <w:t>CHESTNUT CREEK  |  COMMUNITY POOL EVALUATION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80" w:line="29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eastAsia="Calibri" w:cs="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Calibri" w:hAnsi="Calibri" w:eastAsia="Calibri" w:cs="Calibri"/>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libri" w:hAnsi="Calibri" w:eastAsia="Calibri" w:cs="Calibri"/>
      <w:sz w:val="17"/>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Calibri" w:hAnsi="Calibri" w:eastAsia="Calibri" w:cs="Calibr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Calibri" w:hAnsi="Calibri" w:eastAsia="Calibri" w:cs="Calibri"/>
      <w:b/>
      <w:bCs/>
      <w:color w:val="33333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Calibri" w:hAnsi="Calibri" w:eastAsia="Calibri" w:cs="Calibri"/>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0000"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themeColor="accent1"/>
    </w:rPr>
  </w:style>
  <w:style w:type="paragraph" w:styleId="Title">
    <w:name w:val="Title"/>
    <w:basedOn w:val="Normal"/>
    <w:next w:val="Normal"/>
    <w:link w:val="TitleChar"/>
    <w:uiPriority w:val="10"/>
    <w:qFormat/>
    <w:rsid w:val="00FC693F"/>
    <w:pPr>
      <w:pBdr>
        <w:bottom w:val="single" w:sz="8" w:space="4" w:color="#7B7B7B"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eastAsia="Calibri" w:cs="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0000"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7B7B7B"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FC693F"/>
    <w:rPr>
      <w:b/>
      <w:bCs/>
      <w:i/>
      <w:iCs/>
      <w:color w:val="000000"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0000" w:themeColor="accent1"/>
    </w:rPr>
  </w:style>
  <w:style w:type="character" w:styleId="SubtleReference">
    <w:name w:val="Subtle Reference"/>
    <w:basedOn w:val="DefaultParagraphFont"/>
    <w:uiPriority w:val="31"/>
    <w:qFormat/>
    <w:rsid w:val="00FC693F"/>
    <w:rPr>
      <w:smallCaps/>
      <w:color w:val="000000" w:themeColor="accent2"/>
      <w:u w:val="single"/>
    </w:rPr>
  </w:style>
  <w:style w:type="character" w:styleId="IntenseReference">
    <w:name w:val="Intense Reference"/>
    <w:basedOn w:val="DefaultParagraphFont"/>
    <w:uiPriority w:val="32"/>
    <w:qFormat/>
    <w:rsid w:val="00FC693F"/>
    <w:rPr>
      <w:b/>
      <w:bCs/>
      <w:smallCaps/>
      <w:color w:val="00000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themeColor="accent1" w:themeShade="BF"/>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la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left w:val="nil"/>
          <w:right w:val="nil"/>
          <w:insideH w:val="nil"/>
          <w:insideV w:val="nil"/>
        </w:tcBorders>
        <w:shd w:val="clear" w:color="auto" w:fill="DEDEDE" w:themeFill="accent1" w:themeFillTint="3F"/>
      </w:tcPr>
    </w:tblStylePr>
  </w:style>
  <w:style w:type="table" w:styleId="LightShading-Accent2">
    <w:name w:val="Light Shading Accent 2"/>
    <w:basedOn w:val="TableNormal"/>
    <w:uiPriority w:val="60"/>
    <w:rsid w:val="00FC693F"/>
    <w:pPr>
      <w:spacing w:after="0" w:line="240" w:lineRule="auto"/>
    </w:pPr>
    <w:rPr>
      <w:color w:val="000000" w:themeColor="accent2" w:themeShade="BF"/>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la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left w:val="nil"/>
          <w:right w:val="nil"/>
          <w:insideH w:val="nil"/>
          <w:insideV w:val="nil"/>
        </w:tcBorders>
        <w:shd w:val="clear" w:color="auto" w:fill="D9D9D9" w:themeFill="accent2" w:themeFillTint="3F"/>
      </w:tcPr>
    </w:tblStylePr>
  </w:style>
  <w:style w:type="table" w:styleId="LightShading-Accent3">
    <w:name w:val="Light Shading Accent 3"/>
    <w:basedOn w:val="TableNormal"/>
    <w:uiPriority w:val="60"/>
    <w:rsid w:val="00FC693F"/>
    <w:pPr>
      <w:spacing w:after="0" w:line="240" w:lineRule="auto"/>
    </w:pPr>
    <w:rPr>
      <w:color w:val="000000" w:themeColor="accent3" w:themeShade="BF"/>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la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left w:val="nil"/>
          <w:right w:val="nil"/>
          <w:insideH w:val="nil"/>
          <w:insideV w:val="nil"/>
        </w:tcBorders>
        <w:shd w:val="clear" w:color="auto" w:fill="EAEAEA" w:themeFill="accent3" w:themeFillTint="3F"/>
      </w:tcPr>
    </w:tblStylePr>
  </w:style>
  <w:style w:type="table" w:styleId="LightShading-Accent4">
    <w:name w:val="Light Shading Accent 4"/>
    <w:basedOn w:val="TableNormal"/>
    <w:uiPriority w:val="60"/>
    <w:rsid w:val="00FC693F"/>
    <w:pPr>
      <w:spacing w:after="0" w:line="240" w:lineRule="auto"/>
    </w:pPr>
    <w:rPr>
      <w:color w:val="000000" w:themeColor="accent4" w:themeShade="BF"/>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la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left w:val="nil"/>
          <w:right w:val="nil"/>
          <w:insideH w:val="nil"/>
          <w:insideV w:val="nil"/>
        </w:tcBorders>
        <w:shd w:val="clear" w:color="auto" w:fill="DBDBDB" w:themeFill="accent4" w:themeFillTint="3F"/>
      </w:tcPr>
    </w:tblStylePr>
  </w:style>
  <w:style w:type="table" w:styleId="LightShading-Accent5">
    <w:name w:val="Light Shading Accent 5"/>
    <w:basedOn w:val="TableNormal"/>
    <w:uiPriority w:val="60"/>
    <w:rsid w:val="00FC693F"/>
    <w:pPr>
      <w:spacing w:after="0" w:line="240" w:lineRule="auto"/>
    </w:pPr>
    <w:rPr>
      <w:color w:val="000000" w:themeColor="accent5" w:themeShade="BF"/>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la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la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left w:val="nil"/>
          <w:right w:val="nil"/>
          <w:insideH w:val="nil"/>
          <w:insideV w:val="nil"/>
        </w:tcBorders>
        <w:shd w:val="clear" w:color="auto" w:fill="E8E8E8"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B7B7B" w:themeFill="accent1"/>
      </w:tcPr>
    </w:tblStylePr>
    <w:tblStylePr w:type="lastRow">
      <w:pPr>
        <w:spacing w:before="0" w:after="0" w:line="240" w:lineRule="auto"/>
      </w:pPr>
      <w:rPr>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tcBorders>
      </w:tcPr>
    </w:tblStylePr>
    <w:tblStylePr w:type="firstCol">
      <w:rPr>
        <w:b/>
        <w:bCs/>
      </w:rPr>
    </w:tblStylePr>
    <w:tblStylePr w:type="lastCol">
      <w:rPr>
        <w:b/>
        <w:bCs/>
      </w:r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86868" w:themeFill="accent2"/>
      </w:tcPr>
    </w:tblStylePr>
    <w:tblStylePr w:type="lastRow">
      <w:pPr>
        <w:spacing w:before="0" w:after="0" w:line="240" w:lineRule="auto"/>
      </w:pPr>
      <w:rPr>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tcBorders>
      </w:tcPr>
    </w:tblStylePr>
    <w:tblStylePr w:type="firstCol">
      <w:rPr>
        <w:b/>
        <w:bCs/>
      </w:rPr>
    </w:tblStylePr>
    <w:tblStylePr w:type="lastCol">
      <w:rPr>
        <w:b/>
        <w:bCs/>
      </w:r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DADAD" w:themeFill="accent3"/>
      </w:tcPr>
    </w:tblStylePr>
    <w:tblStylePr w:type="lastRow">
      <w:pPr>
        <w:spacing w:before="0" w:after="0" w:line="240" w:lineRule="auto"/>
      </w:pPr>
      <w:rPr>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tcBorders>
      </w:tcPr>
    </w:tblStylePr>
    <w:tblStylePr w:type="firstCol">
      <w:rPr>
        <w:b/>
        <w:bCs/>
      </w:rPr>
    </w:tblStylePr>
    <w:tblStylePr w:type="lastCol">
      <w:rPr>
        <w:b/>
        <w:bCs/>
      </w:r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6E6E" w:themeFill="accent4"/>
      </w:tcPr>
    </w:tblStylePr>
    <w:tblStylePr w:type="lastRow">
      <w:pPr>
        <w:spacing w:before="0" w:after="0" w:line="240" w:lineRule="auto"/>
      </w:pPr>
      <w:rPr>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tcBorders>
      </w:tcPr>
    </w:tblStylePr>
    <w:tblStylePr w:type="firstCol">
      <w:rPr>
        <w:b/>
        <w:bCs/>
      </w:rPr>
    </w:tblStylePr>
    <w:tblStylePr w:type="lastCol">
      <w:rPr>
        <w:b/>
        <w:bCs/>
      </w:r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99" w:themeFill="accent5"/>
      </w:tcPr>
    </w:tblStylePr>
    <w:tblStylePr w:type="lastRow">
      <w:pPr>
        <w:spacing w:before="0" w:after="0" w:line="240" w:lineRule="auto"/>
      </w:pPr>
      <w:rPr>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tcBorders>
      </w:tcPr>
    </w:tblStylePr>
    <w:tblStylePr w:type="firstCol">
      <w:rPr>
        <w:b/>
        <w:bCs/>
      </w:rPr>
    </w:tblStylePr>
    <w:tblStylePr w:type="lastCol">
      <w:rPr>
        <w:b/>
        <w:bCs/>
      </w:r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6"/>
      </w:tcPr>
    </w:tblStylePr>
    <w:tblStylePr w:type="lastRow">
      <w:pPr>
        <w:spacing w:before="0" w:after="0" w:line="240" w:lineRule="auto"/>
      </w:pPr>
      <w:rPr>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tcBorders>
      </w:tcPr>
    </w:tblStylePr>
    <w:tblStylePr w:type="firstCol">
      <w:rPr>
        <w:b/>
        <w:bCs/>
      </w:rPr>
    </w:tblStylePr>
    <w:tblStylePr w:type="lastCol">
      <w:rPr>
        <w:b/>
        <w:bCs/>
      </w:r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18" w:space="0" w:color="#7B7B7B" w:themeColor="accent1"/>
          <w:right w:val="single" w:sz="8" w:space="0" w:color="#7B7B7B" w:themeColor="accent1"/>
          <w:insideH w:val="nil"/>
          <w:insideV w:val="single" w:sz="8" w:space="0" w:color="#7B7B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insideH w:val="nil"/>
          <w:insideV w:val="single" w:sz="8" w:space="0" w:color="#7B7B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shd w:val="clear" w:color="auto" w:fill="DEDEDE" w:themeFill="accent1" w:themeFillTint="3F"/>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shd w:val="clear" w:color="auto" w:fill="DEDEDE" w:themeFill="accent1" w:themeFillTint="3F"/>
      </w:tcPr>
    </w:tblStylePr>
    <w:tblStylePr w:type="band2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18" w:space="0" w:color="#686868" w:themeColor="accent2"/>
          <w:right w:val="single" w:sz="8" w:space="0" w:color="#686868" w:themeColor="accent2"/>
          <w:insideH w:val="nil"/>
          <w:insideV w:val="single" w:sz="8" w:space="0" w:color="#68686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insideH w:val="nil"/>
          <w:insideV w:val="single" w:sz="8" w:space="0" w:color="#68686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shd w:val="clear" w:color="auto" w:fill="D9D9D9" w:themeFill="accent2" w:themeFillTint="3F"/>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shd w:val="clear" w:color="auto" w:fill="D9D9D9" w:themeFill="accent2" w:themeFillTint="3F"/>
      </w:tcPr>
    </w:tblStylePr>
    <w:tblStylePr w:type="band2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18" w:space="0" w:color="#ADADAD" w:themeColor="accent3"/>
          <w:right w:val="single" w:sz="8" w:space="0" w:color="#ADADAD" w:themeColor="accent3"/>
          <w:insideH w:val="nil"/>
          <w:insideV w:val="single" w:sz="8" w:space="0" w:color="#ADAD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insideH w:val="nil"/>
          <w:insideV w:val="single" w:sz="8" w:space="0" w:color="#ADAD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shd w:val="clear" w:color="auto" w:fill="EAEAEA" w:themeFill="accent3" w:themeFillTint="3F"/>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shd w:val="clear" w:color="auto" w:fill="EAEAEA" w:themeFill="accent3" w:themeFillTint="3F"/>
      </w:tcPr>
    </w:tblStylePr>
    <w:tblStylePr w:type="band2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18" w:space="0" w:color="#6E6E6E" w:themeColor="accent4"/>
          <w:right w:val="single" w:sz="8" w:space="0" w:color="#6E6E6E" w:themeColor="accent4"/>
          <w:insideH w:val="nil"/>
          <w:insideV w:val="single" w:sz="8" w:space="0" w:color="#6E6E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insideH w:val="nil"/>
          <w:insideV w:val="single" w:sz="8" w:space="0" w:color="#6E6E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shd w:val="clear" w:color="auto" w:fill="DBDBDB" w:themeFill="accent4" w:themeFillTint="3F"/>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shd w:val="clear" w:color="auto" w:fill="DBDBDB" w:themeFill="accent4" w:themeFillTint="3F"/>
      </w:tcPr>
    </w:tblStylePr>
    <w:tblStylePr w:type="band2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18" w:space="0" w:color="#999999" w:themeColor="accent5"/>
          <w:right w:val="single" w:sz="8" w:space="0" w:color="#999999" w:themeColor="accent5"/>
          <w:insideH w:val="nil"/>
          <w:insideV w:val="single" w:sz="8" w:space="0" w:color="#9999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insideH w:val="nil"/>
          <w:insideV w:val="single" w:sz="8" w:space="0" w:color="#9999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shd w:val="clear" w:color="auto" w:fill="E5E5E5" w:themeFill="accent5" w:themeFillTint="3F"/>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shd w:val="clear" w:color="auto" w:fill="E5E5E5" w:themeFill="accent5" w:themeFillTint="3F"/>
      </w:tcPr>
    </w:tblStylePr>
    <w:tblStylePr w:type="band2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18" w:space="0" w:color="#A5A5A5" w:themeColor="accent6"/>
          <w:right w:val="single" w:sz="8" w:space="0" w:color="#A5A5A5" w:themeColor="accent6"/>
          <w:insideH w:val="nil"/>
          <w:insideV w:val="single" w:sz="8" w:space="0" w:color="#A5A5A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insideH w:val="nil"/>
          <w:insideV w:val="single" w:sz="8" w:space="0" w:color="#A5A5A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shd w:val="clear" w:color="auto" w:fill="E8E8E8" w:themeFill="accent6" w:themeFillTint="3F"/>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shd w:val="clear" w:color="auto" w:fill="E8E8E8" w:themeFill="accent6" w:themeFillTint="3F"/>
      </w:tcPr>
    </w:tblStylePr>
    <w:tblStylePr w:type="band2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shd w:val="clear" w:color="auto" w:fill="7B7B7B" w:themeFill="accent1"/>
      </w:tcPr>
    </w:tblStylePr>
    <w:tblStylePr w:type="lastRow">
      <w:pPr>
        <w:spacing w:before="0" w:after="0" w:line="240" w:lineRule="auto"/>
      </w:pPr>
      <w:rPr>
        <w:b/>
        <w:bCs/>
      </w:rPr>
      <w:tblPr/>
      <w:tcPr>
        <w:tcBorders>
          <w:top w:val="double" w:sz="6"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1" w:themeFillTint="3F"/>
      </w:tcPr>
    </w:tblStylePr>
    <w:tblStylePr w:type="band1Horz">
      <w:tblPr/>
      <w:tcPr>
        <w:tcBorders>
          <w:insideH w:val="nil"/>
          <w:insideV w:val="nil"/>
        </w:tcBorders>
        <w:shd w:val="clear" w:color="auto" w:fill="DEDED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shd w:val="clear" w:color="auto" w:fill="686868" w:themeFill="accent2"/>
      </w:tcPr>
    </w:tblStylePr>
    <w:tblStylePr w:type="lastRow">
      <w:pPr>
        <w:spacing w:before="0" w:after="0" w:line="240" w:lineRule="auto"/>
      </w:pPr>
      <w:rPr>
        <w:b/>
        <w:bCs/>
      </w:rPr>
      <w:tblPr/>
      <w:tcPr>
        <w:tcBorders>
          <w:top w:val="double" w:sz="6"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2" w:themeFillTint="3F"/>
      </w:tcPr>
    </w:tblStylePr>
    <w:tblStylePr w:type="band1Horz">
      <w:tblPr/>
      <w:tcPr>
        <w:tcBorders>
          <w:insideH w:val="nil"/>
          <w:insideV w:val="nil"/>
        </w:tcBorders>
        <w:shd w:val="clear" w:color="auto" w:fill="D9D9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shd w:val="clear" w:color="auto" w:fill="ADADAD" w:themeFill="accent3"/>
      </w:tcPr>
    </w:tblStylePr>
    <w:tblStylePr w:type="lastRow">
      <w:pPr>
        <w:spacing w:before="0" w:after="0" w:line="240" w:lineRule="auto"/>
      </w:pPr>
      <w:rPr>
        <w:b/>
        <w:bCs/>
      </w:rPr>
      <w:tblPr/>
      <w:tcPr>
        <w:tcBorders>
          <w:top w:val="double" w:sz="6"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EAEA" w:themeFill="accent3" w:themeFillTint="3F"/>
      </w:tcPr>
    </w:tblStylePr>
    <w:tblStylePr w:type="band1Horz">
      <w:tblPr/>
      <w:tcPr>
        <w:tcBorders>
          <w:insideH w:val="nil"/>
          <w:insideV w:val="nil"/>
        </w:tcBorders>
        <w:shd w:val="clear" w:color="auto" w:fill="EAEA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shd w:val="clear" w:color="auto" w:fill="6E6E6E" w:themeFill="accent4"/>
      </w:tcPr>
    </w:tblStylePr>
    <w:tblStylePr w:type="lastRow">
      <w:pPr>
        <w:spacing w:before="0" w:after="0" w:line="240" w:lineRule="auto"/>
      </w:pPr>
      <w:rPr>
        <w:b/>
        <w:bCs/>
      </w:rPr>
      <w:tblPr/>
      <w:tcPr>
        <w:tcBorders>
          <w:top w:val="double" w:sz="6"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4" w:themeFillTint="3F"/>
      </w:tcPr>
    </w:tblStylePr>
    <w:tblStylePr w:type="band1Horz">
      <w:tblPr/>
      <w:tcPr>
        <w:tcBorders>
          <w:insideH w:val="nil"/>
          <w:insideV w:val="nil"/>
        </w:tcBorders>
        <w:shd w:val="clear" w:color="auto" w:fill="DBDBD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shd w:val="clear" w:color="auto" w:fill="999999" w:themeFill="accent5"/>
      </w:tcPr>
    </w:tblStylePr>
    <w:tblStylePr w:type="lastRow">
      <w:pPr>
        <w:spacing w:before="0" w:after="0" w:line="240" w:lineRule="auto"/>
      </w:pPr>
      <w:rPr>
        <w:b/>
        <w:bCs/>
      </w:rPr>
      <w:tblPr/>
      <w:tcPr>
        <w:tcBorders>
          <w:top w:val="double" w:sz="6"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shd w:val="clear" w:color="auto" w:fill="A5A5A5" w:themeFill="accent6"/>
      </w:tcPr>
    </w:tblStylePr>
    <w:tblStylePr w:type="lastRow">
      <w:pPr>
        <w:spacing w:before="0" w:after="0" w:line="240" w:lineRule="auto"/>
      </w:pPr>
      <w:rPr>
        <w:b/>
        <w:bCs/>
      </w:rPr>
      <w:tblPr/>
      <w:tcPr>
        <w:tcBorders>
          <w:top w:val="double" w:sz="6"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6" w:themeFillTint="3F"/>
      </w:tcPr>
    </w:tblStylePr>
    <w:tblStylePr w:type="band1Horz">
      <w:tblPr/>
      <w:tcPr>
        <w:tcBorders>
          <w:insideH w:val="nil"/>
          <w:insideV w:val="nil"/>
        </w:tcBorders>
        <w:shd w:val="clear" w:color="auto" w:fill="E8E8E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7B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7B7B" w:themeFill="accent1"/>
      </w:tcPr>
    </w:tblStylePr>
    <w:tblStylePr w:type="lastCol">
      <w:rPr>
        <w:b/>
        <w:bCs/>
        <w:color w:val="FFFFFF" w:themeColor="background1"/>
      </w:rPr>
      <w:tblPr/>
      <w:tcPr>
        <w:tcBorders>
          <w:left w:val="nil"/>
          <w:right w:val="nil"/>
          <w:insideH w:val="nil"/>
          <w:insideV w:val="nil"/>
        </w:tcBorders>
        <w:shd w:val="clear" w:color="auto" w:fill="7B7B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686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6868" w:themeFill="accent2"/>
      </w:tcPr>
    </w:tblStylePr>
    <w:tblStylePr w:type="lastCol">
      <w:rPr>
        <w:b/>
        <w:bCs/>
        <w:color w:val="FFFFFF" w:themeColor="background1"/>
      </w:rPr>
      <w:tblPr/>
      <w:tcPr>
        <w:tcBorders>
          <w:left w:val="nil"/>
          <w:right w:val="nil"/>
          <w:insideH w:val="nil"/>
          <w:insideV w:val="nil"/>
        </w:tcBorders>
        <w:shd w:val="clear" w:color="auto" w:fill="68686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AD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ADAD" w:themeFill="accent3"/>
      </w:tcPr>
    </w:tblStylePr>
    <w:tblStylePr w:type="lastCol">
      <w:rPr>
        <w:b/>
        <w:bCs/>
        <w:color w:val="FFFFFF" w:themeColor="background1"/>
      </w:rPr>
      <w:tblPr/>
      <w:tcPr>
        <w:tcBorders>
          <w:left w:val="nil"/>
          <w:right w:val="nil"/>
          <w:insideH w:val="nil"/>
          <w:insideV w:val="nil"/>
        </w:tcBorders>
        <w:shd w:val="clear" w:color="auto" w:fill="ADAD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accent4"/>
      </w:tcPr>
    </w:tblStylePr>
    <w:tblStylePr w:type="lastCol">
      <w:rPr>
        <w:b/>
        <w:bCs/>
        <w:color w:val="FFFFFF" w:themeColor="background1"/>
      </w:rPr>
      <w:tblPr/>
      <w:tcPr>
        <w:tcBorders>
          <w:left w:val="nil"/>
          <w:right w:val="nil"/>
          <w:insideH w:val="nil"/>
          <w:insideV w:val="nil"/>
        </w:tcBorders>
        <w:shd w:val="clear" w:color="auto" w:fill="6E6E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5"/>
      </w:tcPr>
    </w:tblStylePr>
    <w:tblStylePr w:type="lastCol">
      <w:rPr>
        <w:b/>
        <w:bCs/>
        <w:color w:val="FFFFFF" w:themeColor="background1"/>
      </w:rPr>
      <w:tblPr/>
      <w:tcPr>
        <w:tcBorders>
          <w:left w:val="nil"/>
          <w:right w:val="nil"/>
          <w:insideH w:val="nil"/>
          <w:insideV w:val="nil"/>
        </w:tcBorders>
        <w:shd w:val="clear" w:color="auto" w:fill="9999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6"/>
      </w:tcPr>
    </w:tblStylePr>
    <w:tblStylePr w:type="lastCol">
      <w:rPr>
        <w:b/>
        <w:bCs/>
        <w:color w:val="FFFFFF" w:themeColor="background1"/>
      </w:rPr>
      <w:tblPr/>
      <w:tcPr>
        <w:tcBorders>
          <w:left w:val="nil"/>
          <w:right w:val="nil"/>
          <w:insideH w:val="nil"/>
          <w:insideV w:val="nil"/>
        </w:tcBorders>
        <w:shd w:val="clear" w:color="auto" w:fill="A5A5A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B7B7B" w:themeColor="accent1"/>
        </w:tcBorders>
      </w:tcPr>
    </w:tblStylePr>
    <w:tblStylePr w:type="lastRow">
      <w:rPr>
        <w:b/>
        <w:bCs/>
        <w:color w:val="000000" w:themeColor="text2"/>
      </w:rPr>
      <w:tblPr/>
      <w:tcPr>
        <w:tcBorders>
          <w:top w:val="single" w:sz="8" w:space="0" w:color="#7B7B7B" w:themeColor="accent1"/>
          <w:bottom w:val="single" w:sz="8" w:space="0" w:color="#7B7B7B" w:themeColor="accent1"/>
        </w:tcBorders>
      </w:tcPr>
    </w:tblStylePr>
    <w:tblStylePr w:type="firstCol">
      <w:rPr>
        <w:b/>
        <w:bCs/>
      </w:rPr>
    </w:tblStylePr>
    <w:tblStylePr w:type="lastCol">
      <w:rPr>
        <w:b/>
        <w:bCs/>
      </w:rPr>
      <w:tblPr/>
      <w:tcPr>
        <w:tcBorders>
          <w:top w:val="single" w:sz="8" w:space="0" w:color="#7B7B7B" w:themeColor="accent1"/>
          <w:bottom w:val="single" w:sz="8" w:space="0" w:color="#7B7B7B" w:themeColor="accent1"/>
        </w:tcBorders>
      </w:tcPr>
    </w:tblStylePr>
    <w:tblStylePr w:type="band1Vert">
      <w:tblPr/>
      <w:tcPr>
        <w:shd w:val="clear" w:color="auto" w:fill="DEDEDE" w:themeFill="accent1" w:themeFillTint="3F"/>
      </w:tcPr>
    </w:tblStylePr>
    <w:tblStylePr w:type="band1Horz">
      <w:tblPr/>
      <w:tcPr>
        <w:shd w:val="clear" w:color="auto" w:fill="DEDED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86868" w:themeColor="accent2"/>
        </w:tcBorders>
      </w:tcPr>
    </w:tblStylePr>
    <w:tblStylePr w:type="lastRow">
      <w:rPr>
        <w:b/>
        <w:bCs/>
        <w:color w:val="000000" w:themeColor="text2"/>
      </w:rPr>
      <w:tblPr/>
      <w:tcPr>
        <w:tcBorders>
          <w:top w:val="single" w:sz="8" w:space="0" w:color="#686868" w:themeColor="accent2"/>
          <w:bottom w:val="single" w:sz="8" w:space="0" w:color="#686868" w:themeColor="accent2"/>
        </w:tcBorders>
      </w:tcPr>
    </w:tblStylePr>
    <w:tblStylePr w:type="firstCol">
      <w:rPr>
        <w:b/>
        <w:bCs/>
      </w:rPr>
    </w:tblStylePr>
    <w:tblStylePr w:type="lastCol">
      <w:rPr>
        <w:b/>
        <w:bCs/>
      </w:rPr>
      <w:tblPr/>
      <w:tcPr>
        <w:tcBorders>
          <w:top w:val="single" w:sz="8" w:space="0" w:color="#686868" w:themeColor="accent2"/>
          <w:bottom w:val="single" w:sz="8" w:space="0" w:color="#686868" w:themeColor="accent2"/>
        </w:tcBorders>
      </w:tcPr>
    </w:tblStylePr>
    <w:tblStylePr w:type="band1Vert">
      <w:tblPr/>
      <w:tcPr>
        <w:shd w:val="clear" w:color="auto" w:fill="D9D9D9" w:themeFill="accent2" w:themeFillTint="3F"/>
      </w:tcPr>
    </w:tblStylePr>
    <w:tblStylePr w:type="band1Horz">
      <w:tblPr/>
      <w:tcPr>
        <w:shd w:val="clear" w:color="auto" w:fill="D9D9D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DADAD" w:themeColor="accent3"/>
        </w:tcBorders>
      </w:tcPr>
    </w:tblStylePr>
    <w:tblStylePr w:type="lastRow">
      <w:rPr>
        <w:b/>
        <w:bCs/>
        <w:color w:val="000000" w:themeColor="text2"/>
      </w:rPr>
      <w:tblPr/>
      <w:tcPr>
        <w:tcBorders>
          <w:top w:val="single" w:sz="8" w:space="0" w:color="#ADADAD" w:themeColor="accent3"/>
          <w:bottom w:val="single" w:sz="8" w:space="0" w:color="#ADADAD" w:themeColor="accent3"/>
        </w:tcBorders>
      </w:tcPr>
    </w:tblStylePr>
    <w:tblStylePr w:type="firstCol">
      <w:rPr>
        <w:b/>
        <w:bCs/>
      </w:rPr>
    </w:tblStylePr>
    <w:tblStylePr w:type="lastCol">
      <w:rPr>
        <w:b/>
        <w:bCs/>
      </w:rPr>
      <w:tblPr/>
      <w:tcPr>
        <w:tcBorders>
          <w:top w:val="single" w:sz="8" w:space="0" w:color="#ADADAD" w:themeColor="accent3"/>
          <w:bottom w:val="single" w:sz="8" w:space="0" w:color="#ADADAD" w:themeColor="accent3"/>
        </w:tcBorders>
      </w:tcPr>
    </w:tblStylePr>
    <w:tblStylePr w:type="band1Vert">
      <w:tblPr/>
      <w:tcPr>
        <w:shd w:val="clear" w:color="auto" w:fill="EAEAEA" w:themeFill="accent3" w:themeFillTint="3F"/>
      </w:tcPr>
    </w:tblStylePr>
    <w:tblStylePr w:type="band1Horz">
      <w:tblPr/>
      <w:tcPr>
        <w:shd w:val="clear" w:color="auto" w:fill="EAEAE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6E6E" w:themeColor="accent4"/>
        </w:tcBorders>
      </w:tcPr>
    </w:tblStylePr>
    <w:tblStylePr w:type="lastRow">
      <w:rPr>
        <w:b/>
        <w:bCs/>
        <w:color w:val="000000" w:themeColor="text2"/>
      </w:rPr>
      <w:tblPr/>
      <w:tcPr>
        <w:tcBorders>
          <w:top w:val="single" w:sz="8" w:space="0" w:color="#6E6E6E" w:themeColor="accent4"/>
          <w:bottom w:val="single" w:sz="8" w:space="0" w:color="#6E6E6E" w:themeColor="accent4"/>
        </w:tcBorders>
      </w:tcPr>
    </w:tblStylePr>
    <w:tblStylePr w:type="firstCol">
      <w:rPr>
        <w:b/>
        <w:bCs/>
      </w:rPr>
    </w:tblStylePr>
    <w:tblStylePr w:type="lastCol">
      <w:rPr>
        <w:b/>
        <w:bCs/>
      </w:rPr>
      <w:tblPr/>
      <w:tcPr>
        <w:tcBorders>
          <w:top w:val="single" w:sz="8" w:space="0" w:color="#6E6E6E" w:themeColor="accent4"/>
          <w:bottom w:val="single" w:sz="8" w:space="0" w:color="#6E6E6E" w:themeColor="accent4"/>
        </w:tcBorders>
      </w:tcPr>
    </w:tblStylePr>
    <w:tblStylePr w:type="band1Vert">
      <w:tblPr/>
      <w:tcPr>
        <w:shd w:val="clear" w:color="auto" w:fill="DBDBDB" w:themeFill="accent4" w:themeFillTint="3F"/>
      </w:tcPr>
    </w:tblStylePr>
    <w:tblStylePr w:type="band1Horz">
      <w:tblPr/>
      <w:tcPr>
        <w:shd w:val="clear" w:color="auto" w:fill="DBDBDB"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99999" w:themeColor="accent5"/>
        </w:tcBorders>
      </w:tcPr>
    </w:tblStylePr>
    <w:tblStylePr w:type="lastRow">
      <w:rPr>
        <w:b/>
        <w:bCs/>
        <w:color w:val="000000" w:themeColor="text2"/>
      </w:rPr>
      <w:tblPr/>
      <w:tcPr>
        <w:tcBorders>
          <w:top w:val="single" w:sz="8" w:space="0" w:color="#999999" w:themeColor="accent5"/>
          <w:bottom w:val="single" w:sz="8" w:space="0" w:color="#999999" w:themeColor="accent5"/>
        </w:tcBorders>
      </w:tcPr>
    </w:tblStylePr>
    <w:tblStylePr w:type="firstCol">
      <w:rPr>
        <w:b/>
        <w:bCs/>
      </w:rPr>
    </w:tblStylePr>
    <w:tblStylePr w:type="lastCol">
      <w:rPr>
        <w:b/>
        <w:bCs/>
      </w:rPr>
      <w:tblPr/>
      <w:tcPr>
        <w:tcBorders>
          <w:top w:val="single" w:sz="8" w:space="0" w:color="#999999" w:themeColor="accent5"/>
          <w:bottom w:val="single" w:sz="8" w:space="0" w:color="#999999"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6"/>
        </w:tcBorders>
      </w:tcPr>
    </w:tblStylePr>
    <w:tblStylePr w:type="lastRow">
      <w:rPr>
        <w:b/>
        <w:bCs/>
        <w:color w:val="000000" w:themeColor="text2"/>
      </w:rPr>
      <w:tblPr/>
      <w:tcPr>
        <w:tcBorders>
          <w:top w:val="single" w:sz="8" w:space="0" w:color="#A5A5A5" w:themeColor="accent6"/>
          <w:bottom w:val="single" w:sz="8" w:space="0" w:color="#A5A5A5" w:themeColor="accent6"/>
        </w:tcBorders>
      </w:tcPr>
    </w:tblStylePr>
    <w:tblStylePr w:type="firstCol">
      <w:rPr>
        <w:b/>
        <w:bCs/>
      </w:rPr>
    </w:tblStylePr>
    <w:tblStylePr w:type="lastCol">
      <w:rPr>
        <w:b/>
        <w:bCs/>
      </w:rPr>
      <w:tblPr/>
      <w:tcPr>
        <w:tcBorders>
          <w:top w:val="single" w:sz="8" w:space="0" w:color="#A5A5A5" w:themeColor="accent6"/>
          <w:bottom w:val="single" w:sz="8" w:space="0" w:color="#A5A5A5" w:themeColor="accent6"/>
        </w:tcBorders>
      </w:tcPr>
    </w:tblStylePr>
    <w:tblStylePr w:type="band1Vert">
      <w:tblPr/>
      <w:tcPr>
        <w:shd w:val="clear" w:color="auto" w:fill="E8E8E8" w:themeFill="accent6" w:themeFillTint="3F"/>
      </w:tcPr>
    </w:tblStylePr>
    <w:tblStylePr w:type="band1Horz">
      <w:tblPr/>
      <w:tcPr>
        <w:shd w:val="clear" w:color="auto" w:fill="E8E8E8"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B7B7B" w:themeColor="accent1"/>
          <w:right w:val="nil"/>
          <w:insideH w:val="nil"/>
          <w:insideV w:val="nil"/>
        </w:tcBorders>
        <w:shd w:val="clear" w:color="auto" w:fill="FFFFFF" w:themeFill="background1"/>
      </w:tcPr>
    </w:tblStylePr>
    <w:tblStylePr w:type="lastRow">
      <w:tblPr/>
      <w:tcPr>
        <w:tcBorders>
          <w:top w:val="single" w:sz="8" w:space="0" w:color="#7B7B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7B7B" w:themeColor="accent1"/>
          <w:insideH w:val="nil"/>
          <w:insideV w:val="nil"/>
        </w:tcBorders>
        <w:shd w:val="clear" w:color="auto" w:fill="FFFFFF" w:themeFill="background1"/>
      </w:tcPr>
    </w:tblStylePr>
    <w:tblStylePr w:type="lastCol">
      <w:tblPr/>
      <w:tcPr>
        <w:tcBorders>
          <w:top w:val="nil"/>
          <w:left w:val="single" w:sz="8" w:space="0" w:color="#7B7B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tblPr/>
      <w:tcPr>
        <w:tcBorders>
          <w:top w:val="single" w:sz="8" w:space="0" w:color="#68686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6868" w:themeColor="accent2"/>
          <w:insideH w:val="nil"/>
          <w:insideV w:val="nil"/>
        </w:tcBorders>
        <w:shd w:val="clear" w:color="auto" w:fill="FFFFFF" w:themeFill="background1"/>
      </w:tcPr>
    </w:tblStylePr>
    <w:tblStylePr w:type="lastCol">
      <w:tblPr/>
      <w:tcPr>
        <w:tcBorders>
          <w:top w:val="nil"/>
          <w:left w:val="single" w:sz="8" w:space="0" w:color="#68686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top w:val="nil"/>
          <w:bottom w:val="nil"/>
          <w:insideH w:val="nil"/>
          <w:insideV w:val="nil"/>
        </w:tcBorders>
        <w:shd w:val="clear" w:color="auto" w:fill="D9D9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tblPr/>
      <w:tcPr>
        <w:tcBorders>
          <w:top w:val="single" w:sz="8" w:space="0" w:color="#ADAD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ADAD" w:themeColor="accent3"/>
          <w:insideH w:val="nil"/>
          <w:insideV w:val="nil"/>
        </w:tcBorders>
        <w:shd w:val="clear" w:color="auto" w:fill="FFFFFF" w:themeFill="background1"/>
      </w:tcPr>
    </w:tblStylePr>
    <w:tblStylePr w:type="lastCol">
      <w:tblPr/>
      <w:tcPr>
        <w:tcBorders>
          <w:top w:val="nil"/>
          <w:left w:val="single" w:sz="8" w:space="0" w:color="#ADAD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top w:val="nil"/>
          <w:bottom w:val="nil"/>
          <w:insideH w:val="nil"/>
          <w:insideV w:val="nil"/>
        </w:tcBorders>
        <w:shd w:val="clear" w:color="auto" w:fill="EAEA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tblPr/>
      <w:tcPr>
        <w:tcBorders>
          <w:top w:val="single" w:sz="8" w:space="0" w:color="#6E6E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accent4"/>
          <w:insideH w:val="nil"/>
          <w:insideV w:val="nil"/>
        </w:tcBorders>
        <w:shd w:val="clear" w:color="auto" w:fill="FFFFFF" w:themeFill="background1"/>
      </w:tcPr>
    </w:tblStylePr>
    <w:tblStylePr w:type="lastCol">
      <w:tblPr/>
      <w:tcPr>
        <w:tcBorders>
          <w:top w:val="nil"/>
          <w:left w:val="single" w:sz="8" w:space="0" w:color="#6E6E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top w:val="nil"/>
          <w:bottom w:val="nil"/>
          <w:insideH w:val="nil"/>
          <w:insideV w:val="nil"/>
        </w:tcBorders>
        <w:shd w:val="clear" w:color="auto" w:fill="DBDB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tblPr/>
      <w:tcPr>
        <w:tcBorders>
          <w:top w:val="single" w:sz="8" w:space="0" w:color="#9999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5"/>
          <w:insideH w:val="nil"/>
          <w:insideV w:val="nil"/>
        </w:tcBorders>
        <w:shd w:val="clear" w:color="auto" w:fill="FFFFFF" w:themeFill="background1"/>
      </w:tcPr>
    </w:tblStylePr>
    <w:tblStylePr w:type="lastCol">
      <w:tblPr/>
      <w:tcPr>
        <w:tcBorders>
          <w:top w:val="nil"/>
          <w:left w:val="single" w:sz="8" w:space="0" w:color="#9999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tblPr/>
      <w:tcPr>
        <w:tcBorders>
          <w:top w:val="single" w:sz="8" w:space="0" w:color="#A5A5A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6"/>
          <w:insideH w:val="nil"/>
          <w:insideV w:val="nil"/>
        </w:tcBorders>
        <w:shd w:val="clear" w:color="auto" w:fill="FFFFFF" w:themeFill="background1"/>
      </w:tcPr>
    </w:tblStylePr>
    <w:tblStylePr w:type="lastCol">
      <w:tblPr/>
      <w:tcPr>
        <w:tcBorders>
          <w:top w:val="nil"/>
          <w:left w:val="single" w:sz="8" w:space="0" w:color="#A5A5A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top w:val="nil"/>
          <w:bottom w:val="nil"/>
          <w:insideH w:val="nil"/>
          <w:insideV w:val="nil"/>
        </w:tcBorders>
        <w:shd w:val="clear" w:color="auto" w:fill="E8E8E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insideV w:val="single" w:sz="8" w:space="0" w:color="#9B9B9B" w:themeColor="accent1" w:themeTint="BF"/>
      </w:tblBorders>
      <w:tblCellMar>
        <w:top w:w="0" w:type="dxa"/>
        <w:left w:w="108" w:type="dxa"/>
        <w:bottom w:w="0" w:type="dxa"/>
        <w:right w:w="108" w:type="dxa"/>
      </w:tblCellMar>
    </w:tblPr>
    <w:tcPr>
      <w:shd w:val="clear" w:color="auto" w:fill="DEDEDE" w:themeFill="accent1" w:themeFillTint="3F"/>
    </w:tcPr>
    <w:tblStylePr w:type="firstRow">
      <w:rPr>
        <w:b/>
        <w:bCs/>
      </w:rPr>
    </w:tblStylePr>
    <w:tblStylePr w:type="lastRow">
      <w:rPr>
        <w:b/>
        <w:bCs/>
      </w:rPr>
      <w:tblPr/>
      <w:tcPr>
        <w:tcBorders>
          <w:top w:val="single" w:sz="18" w:space="0" w:color="#9B9B9B" w:themeColor="accent1" w:themeTint="BF"/>
        </w:tcBorders>
      </w:tcPr>
    </w:tblStylePr>
    <w:tblStylePr w:type="firstCol">
      <w:rPr>
        <w:b/>
        <w:bCs/>
      </w:rPr>
    </w:tblStylePr>
    <w:tblStylePr w:type="lastCol">
      <w:rPr>
        <w:b/>
        <w:bCs/>
      </w:r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insideV w:val="single" w:sz="8" w:space="0" w:color="#8D8D8D" w:themeColor="accent2" w:themeTint="BF"/>
      </w:tblBorders>
      <w:tblCellMar>
        <w:top w:w="0" w:type="dxa"/>
        <w:left w:w="108" w:type="dxa"/>
        <w:bottom w:w="0" w:type="dxa"/>
        <w:right w:w="108" w:type="dxa"/>
      </w:tblCellMar>
    </w:tblPr>
    <w:tcPr>
      <w:shd w:val="clear" w:color="auto" w:fill="D9D9D9" w:themeFill="accent2" w:themeFillTint="3F"/>
    </w:tcPr>
    <w:tblStylePr w:type="firstRow">
      <w:rPr>
        <w:b/>
        <w:bCs/>
      </w:rPr>
    </w:tblStylePr>
    <w:tblStylePr w:type="lastRow">
      <w:rPr>
        <w:b/>
        <w:bCs/>
      </w:rPr>
      <w:tblPr/>
      <w:tcPr>
        <w:tcBorders>
          <w:top w:val="single" w:sz="18" w:space="0" w:color="#8D8D8D" w:themeColor="accent2" w:themeTint="BF"/>
        </w:tcBorders>
      </w:tcPr>
    </w:tblStylePr>
    <w:tblStylePr w:type="firstCol">
      <w:rPr>
        <w:b/>
        <w:bCs/>
      </w:rPr>
    </w:tblStylePr>
    <w:tblStylePr w:type="lastCol">
      <w:rPr>
        <w:b/>
        <w:bCs/>
      </w:r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insideV w:val="single" w:sz="8" w:space="0" w:color="#C1C1C1" w:themeColor="accent3" w:themeTint="BF"/>
      </w:tblBorders>
      <w:tblCellMar>
        <w:top w:w="0" w:type="dxa"/>
        <w:left w:w="108" w:type="dxa"/>
        <w:bottom w:w="0" w:type="dxa"/>
        <w:right w:w="108" w:type="dxa"/>
      </w:tblCellMar>
    </w:tblPr>
    <w:tcPr>
      <w:shd w:val="clear" w:color="auto" w:fill="EAEAEA" w:themeFill="accent3" w:themeFillTint="3F"/>
    </w:tcPr>
    <w:tblStylePr w:type="firstRow">
      <w:rPr>
        <w:b/>
        <w:bCs/>
      </w:rPr>
    </w:tblStylePr>
    <w:tblStylePr w:type="lastRow">
      <w:rPr>
        <w:b/>
        <w:bCs/>
      </w:rPr>
      <w:tblPr/>
      <w:tcPr>
        <w:tcBorders>
          <w:top w:val="single" w:sz="18" w:space="0" w:color="#C1C1C1" w:themeColor="accent3" w:themeTint="BF"/>
        </w:tcBorders>
      </w:tcPr>
    </w:tblStylePr>
    <w:tblStylePr w:type="firstCol">
      <w:rPr>
        <w:b/>
        <w:bCs/>
      </w:rPr>
    </w:tblStylePr>
    <w:tblStylePr w:type="lastCol">
      <w:rPr>
        <w:b/>
        <w:bCs/>
      </w:r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insideV w:val="single" w:sz="8" w:space="0" w:color="#929292" w:themeColor="accent4" w:themeTint="BF"/>
      </w:tblBorders>
      <w:tblCellMar>
        <w:top w:w="0" w:type="dxa"/>
        <w:left w:w="108" w:type="dxa"/>
        <w:bottom w:w="0" w:type="dxa"/>
        <w:right w:w="108" w:type="dxa"/>
      </w:tblCellMar>
    </w:tblPr>
    <w:tcPr>
      <w:shd w:val="clear" w:color="auto" w:fill="DBDBDB" w:themeFill="accent4" w:themeFillTint="3F"/>
    </w:tcPr>
    <w:tblStylePr w:type="firstRow">
      <w:rPr>
        <w:b/>
        <w:bCs/>
      </w:rPr>
    </w:tblStylePr>
    <w:tblStylePr w:type="lastRow">
      <w:rPr>
        <w:b/>
        <w:bCs/>
      </w:rPr>
      <w:tblPr/>
      <w:tcPr>
        <w:tcBorders>
          <w:top w:val="single" w:sz="18" w:space="0" w:color="#929292" w:themeColor="accent4" w:themeTint="BF"/>
        </w:tcBorders>
      </w:tcPr>
    </w:tblStylePr>
    <w:tblStylePr w:type="firstCol">
      <w:rPr>
        <w:b/>
        <w:bCs/>
      </w:rPr>
    </w:tblStylePr>
    <w:tblStylePr w:type="lastCol">
      <w:rPr>
        <w:b/>
        <w:bCs/>
      </w:r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insideV w:val="single" w:sz="8" w:space="0" w:color="#B2B2B2" w:themeColor="accent5" w:themeTint="BF"/>
      </w:tblBorders>
      <w:tblCellMar>
        <w:top w:w="0" w:type="dxa"/>
        <w:left w:w="108" w:type="dxa"/>
        <w:bottom w:w="0" w:type="dxa"/>
        <w:right w:w="108" w:type="dxa"/>
      </w:tblCellMar>
    </w:tblPr>
    <w:tcPr>
      <w:shd w:val="clear" w:color="auto" w:fill="E5E5E5" w:themeFill="accent5" w:themeFillTint="3F"/>
    </w:tcPr>
    <w:tblStylePr w:type="firstRow">
      <w:rPr>
        <w:b/>
        <w:bCs/>
      </w:rPr>
    </w:tblStylePr>
    <w:tblStylePr w:type="lastRow">
      <w:rPr>
        <w:b/>
        <w:bCs/>
      </w:rPr>
      <w:tblPr/>
      <w:tcPr>
        <w:tcBorders>
          <w:top w:val="single" w:sz="18" w:space="0" w:color="#B2B2B2" w:themeColor="accent5" w:themeTint="BF"/>
        </w:tcBorders>
      </w:tcPr>
    </w:tblStylePr>
    <w:tblStylePr w:type="firstCol">
      <w:rPr>
        <w:b/>
        <w:bCs/>
      </w:rPr>
    </w:tblStylePr>
    <w:tblStylePr w:type="lastCol">
      <w:rPr>
        <w:b/>
        <w:bCs/>
      </w:r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insideV w:val="single" w:sz="8" w:space="0" w:color="#BBBBBB" w:themeColor="accent6" w:themeTint="BF"/>
      </w:tblBorders>
      <w:tblCellMar>
        <w:top w:w="0" w:type="dxa"/>
        <w:left w:w="108" w:type="dxa"/>
        <w:bottom w:w="0" w:type="dxa"/>
        <w:right w:w="108" w:type="dxa"/>
      </w:tblCellMar>
    </w:tblPr>
    <w:tcPr>
      <w:shd w:val="clear" w:color="auto" w:fill="E8E8E8" w:themeFill="accent6" w:themeFillTint="3F"/>
    </w:tcPr>
    <w:tblStylePr w:type="firstRow">
      <w:rPr>
        <w:b/>
        <w:bCs/>
      </w:rPr>
    </w:tblStylePr>
    <w:tblStylePr w:type="lastRow">
      <w:rPr>
        <w:b/>
        <w:bCs/>
      </w:rPr>
      <w:tblPr/>
      <w:tcPr>
        <w:tcBorders>
          <w:top w:val="single" w:sz="18" w:space="0" w:color="#BBBBBB" w:themeColor="accent6" w:themeTint="BF"/>
        </w:tcBorders>
      </w:tcPr>
    </w:tblStylePr>
    <w:tblStylePr w:type="firstCol">
      <w:rPr>
        <w:b/>
        <w:bCs/>
      </w:rPr>
    </w:tblStylePr>
    <w:tblStylePr w:type="lastCol">
      <w:rPr>
        <w:b/>
        <w:bCs/>
      </w:r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cPr>
      <w:shd w:val="clear" w:color="auto" w:fill="DEDEDE" w:themeFill="accent1" w:themeFillTint="3F"/>
    </w:tcPr>
    <w:tblStylePr w:type="firstRow">
      <w:rPr>
        <w:b/>
        <w:bCs/>
        <w:color w:val="000000" w:themeColor="text1"/>
      </w:rPr>
      <w:tblPr/>
      <w:tcPr>
        <w:shd w:val="clear" w:color="auto" w:fill="F1F1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4E4" w:themeFill="accent1" w:themeFillTint="33"/>
      </w:tcPr>
    </w:tblStylePr>
    <w:tblStylePr w:type="band1Vert">
      <w:tblPr/>
      <w:tcPr>
        <w:shd w:val="clear" w:color="auto" w:fill="BCBCBC" w:themeFill="accent1" w:themeFillTint="7F"/>
      </w:tcPr>
    </w:tblStylePr>
    <w:tblStylePr w:type="band1Horz">
      <w:tblPr/>
      <w:tcPr>
        <w:tcBorders>
          <w:insideH w:val="single" w:sz="6" w:space="0" w:color="#7B7B7B" w:themeColor="accent1"/>
          <w:insideV w:val="single" w:sz="6" w:space="0" w:color="#7B7B7B" w:themeColor="accent1"/>
        </w:tcBorders>
        <w:shd w:val="clear" w:color="auto" w:fill="BCBCB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cPr>
      <w:shd w:val="clear" w:color="auto" w:fill="D9D9D9" w:themeFill="accent2" w:themeFillTint="3F"/>
    </w:tcPr>
    <w:tblStylePr w:type="firstRow">
      <w:rPr>
        <w:b/>
        <w:bCs/>
        <w:color w:val="000000" w:themeColor="text1"/>
      </w:rPr>
      <w:tblPr/>
      <w:tcPr>
        <w:shd w:val="clear" w:color="auto" w:fill="EFEF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2" w:themeFillTint="33"/>
      </w:tcPr>
    </w:tblStylePr>
    <w:tblStylePr w:type="band1Vert">
      <w:tblPr/>
      <w:tcPr>
        <w:shd w:val="clear" w:color="auto" w:fill="B3B3B3" w:themeFill="accent2" w:themeFillTint="7F"/>
      </w:tcPr>
    </w:tblStylePr>
    <w:tblStylePr w:type="band1Horz">
      <w:tblPr/>
      <w:tcPr>
        <w:tcBorders>
          <w:insideH w:val="single" w:sz="6" w:space="0" w:color="#686868" w:themeColor="accent2"/>
          <w:insideV w:val="single" w:sz="6" w:space="0" w:color="#686868" w:themeColor="accent2"/>
        </w:tcBorders>
        <w:shd w:val="clear" w:color="auto" w:fill="B3B3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cPr>
      <w:shd w:val="clear" w:color="auto" w:fill="EAEAEA" w:themeFill="accent3" w:themeFillTint="3F"/>
    </w:tcPr>
    <w:tblStylePr w:type="firstRow">
      <w:rPr>
        <w:b/>
        <w:bCs/>
        <w:color w:val="000000" w:themeColor="text1"/>
      </w:rPr>
      <w:tblPr/>
      <w:tcPr>
        <w:shd w:val="clear" w:color="auto" w:fill="F7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EEE" w:themeFill="accent3" w:themeFillTint="33"/>
      </w:tcPr>
    </w:tblStylePr>
    <w:tblStylePr w:type="band1Vert">
      <w:tblPr/>
      <w:tcPr>
        <w:shd w:val="clear" w:color="auto" w:fill="D6D6D6" w:themeFill="accent3" w:themeFillTint="7F"/>
      </w:tcPr>
    </w:tblStylePr>
    <w:tblStylePr w:type="band1Horz">
      <w:tblPr/>
      <w:tcPr>
        <w:tcBorders>
          <w:insideH w:val="single" w:sz="6" w:space="0" w:color="#ADADAD" w:themeColor="accent3"/>
          <w:insideV w:val="single" w:sz="6" w:space="0" w:color="#ADADAD" w:themeColor="accent3"/>
        </w:tcBorders>
        <w:shd w:val="clear" w:color="auto" w:fill="D6D6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cPr>
      <w:shd w:val="clear" w:color="auto" w:fill="DBDBDB" w:themeFill="accent4" w:themeFillTint="3F"/>
    </w:tcPr>
    <w:tblStylePr w:type="firstRow">
      <w:rPr>
        <w:b/>
        <w:bCs/>
        <w:color w:val="000000" w:themeColor="text1"/>
      </w:rPr>
      <w:tblPr/>
      <w:tcPr>
        <w:shd w:val="clear" w:color="auto" w:fill="F0F0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1" w:themeFill="accent4" w:themeFillTint="33"/>
      </w:tcPr>
    </w:tblStylePr>
    <w:tblStylePr w:type="band1Vert">
      <w:tblPr/>
      <w:tcPr>
        <w:shd w:val="clear" w:color="auto" w:fill="B6B6B6" w:themeFill="accent4" w:themeFillTint="7F"/>
      </w:tcPr>
    </w:tblStylePr>
    <w:tblStylePr w:type="band1Horz">
      <w:tblPr/>
      <w:tcPr>
        <w:tcBorders>
          <w:insideH w:val="single" w:sz="6" w:space="0" w:color="#6E6E6E" w:themeColor="accent4"/>
          <w:insideV w:val="single" w:sz="6" w:space="0" w:color="#6E6E6E" w:themeColor="accent4"/>
        </w:tcBorders>
        <w:shd w:val="clear" w:color="auto" w:fill="B6B6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CCCCC" w:themeFill="accent5" w:themeFillTint="7F"/>
      </w:tcPr>
    </w:tblStylePr>
    <w:tblStylePr w:type="band1Horz">
      <w:tblPr/>
      <w:tcPr>
        <w:tcBorders>
          <w:insideH w:val="single" w:sz="6" w:space="0" w:color="#999999" w:themeColor="accent5"/>
          <w:insideV w:val="single" w:sz="6" w:space="0" w:color="#999999" w:themeColor="accent5"/>
        </w:tcBorders>
        <w:shd w:val="clear" w:color="auto" w:fill="CCCC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cPr>
      <w:shd w:val="clear" w:color="auto" w:fill="E8E8E8" w:themeFill="accent6" w:themeFillTint="3F"/>
    </w:tcPr>
    <w:tblStylePr w:type="firstRow">
      <w:rPr>
        <w:b/>
        <w:bCs/>
        <w:color w:val="000000" w:themeColor="text1"/>
      </w:rPr>
      <w:tblPr/>
      <w:tcPr>
        <w:shd w:val="clear" w:color="auto" w:fill="F6F6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6" w:themeFillTint="33"/>
      </w:tcPr>
    </w:tblStylePr>
    <w:tblStylePr w:type="band1Vert">
      <w:tblPr/>
      <w:tcPr>
        <w:shd w:val="clear" w:color="auto" w:fill="D2D2D2" w:themeFill="accent6" w:themeFillTint="7F"/>
      </w:tcPr>
    </w:tblStylePr>
    <w:tblStylePr w:type="band1Horz">
      <w:tblPr/>
      <w:tcPr>
        <w:tcBorders>
          <w:insideH w:val="single" w:sz="6" w:space="0" w:color="#A5A5A5" w:themeColor="accent6"/>
          <w:insideV w:val="single" w:sz="6" w:space="0" w:color="#A5A5A5" w:themeColor="accent6"/>
        </w:tcBorders>
        <w:shd w:val="clear" w:color="auto" w:fill="D2D2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DED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7B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7B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CB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CBC"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D9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686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686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B3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B3B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AEA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AD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AD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D6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D6D6"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DB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B7B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C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A5A5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A5A5A" w:themeFill="accent1" w:themeFillShade="BF"/>
      </w:tcPr>
    </w:tblStylePr>
    <w:tblStylePr w:type="band1Vert">
      <w:tblPr/>
      <w:tcPr>
        <w:tcBorders>
          <w:top w:val="nil"/>
          <w:left w:val="nil"/>
          <w:bottom w:val="nil"/>
          <w:right w:val="nil"/>
          <w:insideH w:val="nil"/>
          <w:insideV w:val="nil"/>
        </w:tcBorders>
        <w:shd w:val="clear" w:color="auto" w:fill="5A5A5A" w:themeFill="accent1" w:themeFillShade="BF"/>
      </w:tcPr>
    </w:tblStylePr>
    <w:tblStylePr w:type="band1Horz">
      <w:tblPr/>
      <w:tcPr>
        <w:tcBorders>
          <w:top w:val="nil"/>
          <w:left w:val="nil"/>
          <w:bottom w:val="nil"/>
          <w:right w:val="nil"/>
          <w:insideH w:val="nil"/>
          <w:insideV w:val="nil"/>
        </w:tcBorders>
        <w:shd w:val="clear" w:color="auto" w:fill="5A5A5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8686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2" w:themeFillShade="BF"/>
      </w:tcPr>
    </w:tblStylePr>
    <w:tblStylePr w:type="band1Vert">
      <w:tblPr/>
      <w:tcPr>
        <w:tcBorders>
          <w:top w:val="nil"/>
          <w:left w:val="nil"/>
          <w:bottom w:val="nil"/>
          <w:right w:val="nil"/>
          <w:insideH w:val="nil"/>
          <w:insideV w:val="nil"/>
        </w:tcBorders>
        <w:shd w:val="clear" w:color="auto" w:fill="4A4A4A" w:themeFill="accent2" w:themeFillShade="BF"/>
      </w:tcPr>
    </w:tblStylePr>
    <w:tblStylePr w:type="band1Horz">
      <w:tblPr/>
      <w:tcPr>
        <w:tcBorders>
          <w:top w:val="nil"/>
          <w:left w:val="nil"/>
          <w:bottom w:val="nil"/>
          <w:right w:val="nil"/>
          <w:insideH w:val="nil"/>
          <w:insideV w:val="nil"/>
        </w:tcBorders>
        <w:shd w:val="clear" w:color="auto" w:fill="4A4A4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DAD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3" w:themeFillShade="BF"/>
      </w:tcPr>
    </w:tblStylePr>
    <w:tblStylePr w:type="band1Vert">
      <w:tblPr/>
      <w:tcPr>
        <w:tcBorders>
          <w:top w:val="nil"/>
          <w:left w:val="nil"/>
          <w:bottom w:val="nil"/>
          <w:right w:val="nil"/>
          <w:insideH w:val="nil"/>
          <w:insideV w:val="nil"/>
        </w:tcBorders>
        <w:shd w:val="clear" w:color="auto" w:fill="868686" w:themeFill="accent3" w:themeFillShade="BF"/>
      </w:tcPr>
    </w:tblStylePr>
    <w:tblStylePr w:type="band1Horz">
      <w:tblPr/>
      <w:tcPr>
        <w:tcBorders>
          <w:top w:val="nil"/>
          <w:left w:val="nil"/>
          <w:bottom w:val="nil"/>
          <w:right w:val="nil"/>
          <w:insideH w:val="nil"/>
          <w:insideV w:val="nil"/>
        </w:tcBorders>
        <w:shd w:val="clear" w:color="auto" w:fill="868686"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6E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151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15151" w:themeFill="accent4" w:themeFillShade="BF"/>
      </w:tcPr>
    </w:tblStylePr>
    <w:tblStylePr w:type="band1Vert">
      <w:tblPr/>
      <w:tcPr>
        <w:tcBorders>
          <w:top w:val="nil"/>
          <w:left w:val="nil"/>
          <w:bottom w:val="nil"/>
          <w:right w:val="nil"/>
          <w:insideH w:val="nil"/>
          <w:insideV w:val="nil"/>
        </w:tcBorders>
        <w:shd w:val="clear" w:color="auto" w:fill="515151" w:themeFill="accent4" w:themeFillShade="BF"/>
      </w:tcPr>
    </w:tblStylePr>
    <w:tblStylePr w:type="band1Horz">
      <w:tblPr/>
      <w:tcPr>
        <w:tcBorders>
          <w:top w:val="nil"/>
          <w:left w:val="nil"/>
          <w:bottom w:val="nil"/>
          <w:right w:val="nil"/>
          <w:insideH w:val="nil"/>
          <w:insideV w:val="nil"/>
        </w:tcBorders>
        <w:shd w:val="clear" w:color="auto" w:fill="515151"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9999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4D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74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7474" w:themeFill="accent5" w:themeFillShade="BF"/>
      </w:tcPr>
    </w:tblStylePr>
    <w:tblStylePr w:type="band1Vert">
      <w:tblPr/>
      <w:tcPr>
        <w:tcBorders>
          <w:top w:val="nil"/>
          <w:left w:val="nil"/>
          <w:bottom w:val="nil"/>
          <w:right w:val="nil"/>
          <w:insideH w:val="nil"/>
          <w:insideV w:val="nil"/>
        </w:tcBorders>
        <w:shd w:val="clear" w:color="auto" w:fill="747474" w:themeFill="accent5" w:themeFillShade="BF"/>
      </w:tcPr>
    </w:tblStylePr>
    <w:tblStylePr w:type="band1Horz">
      <w:tblPr/>
      <w:tcPr>
        <w:tcBorders>
          <w:top w:val="nil"/>
          <w:left w:val="nil"/>
          <w:bottom w:val="nil"/>
          <w:right w:val="nil"/>
          <w:insideH w:val="nil"/>
          <w:insideV w:val="nil"/>
        </w:tcBorders>
        <w:shd w:val="clear" w:color="auto" w:fill="747474"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535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7E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7E7E" w:themeFill="accent6" w:themeFillShade="BF"/>
      </w:tcPr>
    </w:tblStylePr>
    <w:tblStylePr w:type="band1Vert">
      <w:tblPr/>
      <w:tcPr>
        <w:tcBorders>
          <w:top w:val="nil"/>
          <w:left w:val="nil"/>
          <w:bottom w:val="nil"/>
          <w:right w:val="nil"/>
          <w:insideH w:val="nil"/>
          <w:insideV w:val="nil"/>
        </w:tcBorders>
        <w:shd w:val="clear" w:color="auto" w:fill="7E7E7E" w:themeFill="accent6" w:themeFillShade="BF"/>
      </w:tcPr>
    </w:tblStylePr>
    <w:tblStylePr w:type="band1Horz">
      <w:tblPr/>
      <w:tcPr>
        <w:tcBorders>
          <w:top w:val="nil"/>
          <w:left w:val="nil"/>
          <w:bottom w:val="nil"/>
          <w:right w:val="nil"/>
          <w:insideH w:val="nil"/>
          <w:insideV w:val="nil"/>
        </w:tcBorders>
        <w:shd w:val="clear" w:color="auto" w:fill="7E7E7E"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7B7B7B" w:themeColor="accent1"/>
        <w:bottom w:val="single" w:sz="4" w:space="0" w:color="#7B7B7B" w:themeColor="accent1"/>
        <w:right w:val="single" w:sz="4" w:space="0" w:color="#7B7B7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1F1" w:themeFill="accen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848" w:themeFill="accent1" w:themeFillShade="99"/>
      </w:tcPr>
    </w:tblStylePr>
    <w:tblStylePr w:type="firstCol">
      <w:rPr>
        <w:color w:val="FFFFFF" w:themeColor="background1"/>
      </w:rPr>
      <w:tblPr/>
      <w:tcPr>
        <w:tcBorders>
          <w:top w:val="nil"/>
          <w:left w:val="nil"/>
          <w:bottom w:val="nil"/>
          <w:right w:val="nil"/>
          <w:insideH w:val="single" w:sz="4" w:space="0" w:color="#484848" w:themeColor="accent1" w:themeShade="99"/>
          <w:insideV w:val="nil"/>
        </w:tcBorders>
        <w:shd w:val="clear" w:color="auto" w:fill="48484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84848"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686868" w:themeColor="accent2"/>
        <w:bottom w:val="single" w:sz="4" w:space="0" w:color="#686868" w:themeColor="accent2"/>
        <w:right w:val="single" w:sz="4" w:space="0" w:color="#686868"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2"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3C3C" w:themeFill="accent2" w:themeFillShade="99"/>
      </w:tcPr>
    </w:tblStylePr>
    <w:tblStylePr w:type="firstCol">
      <w:rPr>
        <w:color w:val="FFFFFF" w:themeColor="background1"/>
      </w:rPr>
      <w:tblPr/>
      <w:tcPr>
        <w:tcBorders>
          <w:top w:val="nil"/>
          <w:left w:val="nil"/>
          <w:bottom w:val="nil"/>
          <w:right w:val="nil"/>
          <w:insideH w:val="single" w:sz="4" w:space="0" w:color="#3C3C3C" w:themeColor="accent2" w:themeShade="99"/>
          <w:insideV w:val="nil"/>
        </w:tcBorders>
        <w:shd w:val="clear" w:color="auto" w:fill="3C3C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3C3C" w:themeFill="accent2" w:themeFillShade="99"/>
      </w:tcPr>
    </w:tblStylePr>
    <w:tblStylePr w:type="band1Vert">
      <w:tblPr/>
      <w:tcPr>
        <w:shd w:val="clear" w:color="auto" w:fill="C1C1C1" w:themeFill="accent2" w:themeFillTint="66"/>
      </w:tcPr>
    </w:tblStylePr>
    <w:tblStylePr w:type="band1Horz">
      <w:tblPr/>
      <w:tcPr>
        <w:shd w:val="clear" w:color="auto" w:fill="B3B3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E6E6E" w:themeColor="accent4"/>
        <w:left w:val="single" w:sz="4" w:space="0" w:color="#ADADAD" w:themeColor="accent3"/>
        <w:bottom w:val="single" w:sz="4" w:space="0" w:color="#ADADAD" w:themeColor="accent3"/>
        <w:right w:val="single" w:sz="4" w:space="0" w:color="#ADADAD"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7F7" w:themeFill="accent3" w:themeFillTint="19"/>
    </w:tcPr>
    <w:tblStylePr w:type="firstRow">
      <w:rPr>
        <w:b/>
        <w:bCs/>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3" w:themeFillShade="99"/>
      </w:tcPr>
    </w:tblStylePr>
    <w:tblStylePr w:type="firstCol">
      <w:rPr>
        <w:color w:val="FFFFFF" w:themeColor="background1"/>
      </w:rPr>
      <w:tblPr/>
      <w:tcPr>
        <w:tcBorders>
          <w:top w:val="nil"/>
          <w:left w:val="nil"/>
          <w:bottom w:val="nil"/>
          <w:right w:val="nil"/>
          <w:insideH w:val="single" w:sz="4" w:space="0" w:color="#6B6B6B" w:themeColor="accent3" w:themeShade="99"/>
          <w:insideV w:val="nil"/>
        </w:tcBorders>
        <w:shd w:val="clear" w:color="auto" w:fill="6B6B6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3" w:themeFillShade="99"/>
      </w:tcPr>
    </w:tblStylePr>
    <w:tblStylePr w:type="band1Vert">
      <w:tblPr/>
      <w:tcPr>
        <w:shd w:val="clear" w:color="auto" w:fill="DDDDDD" w:themeFill="accent3" w:themeFillTint="66"/>
      </w:tcPr>
    </w:tblStylePr>
    <w:tblStylePr w:type="band1Horz">
      <w:tblPr/>
      <w:tcPr>
        <w:shd w:val="clear" w:color="auto" w:fill="D6D6D6"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DADAD" w:themeColor="accent3"/>
        <w:left w:val="single" w:sz="4" w:space="0" w:color="#6E6E6E" w:themeColor="accent4"/>
        <w:bottom w:val="single" w:sz="4" w:space="0" w:color="#6E6E6E" w:themeColor="accent4"/>
        <w:right w:val="single" w:sz="4" w:space="0" w:color="#6E6E6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0F0" w:themeFill="accent4" w:themeFillTint="19"/>
    </w:tcPr>
    <w:tblStylePr w:type="firstRow">
      <w:rPr>
        <w:b/>
        <w:bCs/>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4141" w:themeFill="accent4" w:themeFillShade="99"/>
      </w:tcPr>
    </w:tblStylePr>
    <w:tblStylePr w:type="firstCol">
      <w:rPr>
        <w:color w:val="FFFFFF" w:themeColor="background1"/>
      </w:rPr>
      <w:tblPr/>
      <w:tcPr>
        <w:tcBorders>
          <w:top w:val="nil"/>
          <w:left w:val="nil"/>
          <w:bottom w:val="nil"/>
          <w:right w:val="nil"/>
          <w:insideH w:val="single" w:sz="4" w:space="0" w:color="#414141" w:themeColor="accent4" w:themeShade="99"/>
          <w:insideV w:val="nil"/>
        </w:tcBorders>
        <w:shd w:val="clear" w:color="auto" w:fill="414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14141" w:themeFill="accent4" w:themeFillShade="99"/>
      </w:tcPr>
    </w:tblStylePr>
    <w:tblStylePr w:type="band1Vert">
      <w:tblPr/>
      <w:tcPr>
        <w:shd w:val="clear" w:color="auto" w:fill="C4C4C4" w:themeFill="accent4" w:themeFillTint="66"/>
      </w:tcPr>
    </w:tblStylePr>
    <w:tblStylePr w:type="band1Horz">
      <w:tblPr/>
      <w:tcPr>
        <w:shd w:val="clear" w:color="auto" w:fill="B6B6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A5A5" w:themeColor="accent6"/>
        <w:left w:val="single" w:sz="4" w:space="0" w:color="#999999" w:themeColor="accent5"/>
        <w:bottom w:val="single" w:sz="4" w:space="0" w:color="#999999" w:themeColor="accent5"/>
        <w:right w:val="single" w:sz="4" w:space="0" w:color="#999999"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5D5D" w:themeFill="accent5" w:themeFillShade="99"/>
      </w:tcPr>
    </w:tblStylePr>
    <w:tblStylePr w:type="firstCol">
      <w:rPr>
        <w:color w:val="FFFFFF" w:themeColor="background1"/>
      </w:rPr>
      <w:tblPr/>
      <w:tcPr>
        <w:tcBorders>
          <w:top w:val="nil"/>
          <w:left w:val="nil"/>
          <w:bottom w:val="nil"/>
          <w:right w:val="nil"/>
          <w:insideH w:val="single" w:sz="4" w:space="0" w:color="#5D5D5D" w:themeColor="accent5" w:themeShade="99"/>
          <w:insideV w:val="nil"/>
        </w:tcBorders>
        <w:shd w:val="clear" w:color="auto" w:fill="5D5D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5D5D" w:themeFill="accent5" w:themeFillShade="99"/>
      </w:tcPr>
    </w:tblStylePr>
    <w:tblStylePr w:type="band1Vert">
      <w:tblPr/>
      <w:tcPr>
        <w:shd w:val="clear" w:color="auto" w:fill="D6D6D6" w:themeFill="accent5" w:themeFillTint="66"/>
      </w:tcPr>
    </w:tblStylePr>
    <w:tblStylePr w:type="band1Horz">
      <w:tblPr/>
      <w:tcPr>
        <w:shd w:val="clear" w:color="auto" w:fill="CCCC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99999" w:themeColor="accent5"/>
        <w:left w:val="single" w:sz="4" w:space="0" w:color="#A5A5A5" w:themeColor="accent6"/>
        <w:bottom w:val="single" w:sz="4" w:space="0" w:color="#A5A5A5" w:themeColor="accent6"/>
        <w:right w:val="single" w:sz="4" w:space="0" w:color="#A5A5A5"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6" w:themeFillTint="19"/>
    </w:tcPr>
    <w:tblStylePr w:type="firstRow">
      <w:rPr>
        <w:b/>
        <w:bCs/>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6565" w:themeFill="accent6" w:themeFillShade="99"/>
      </w:tcPr>
    </w:tblStylePr>
    <w:tblStylePr w:type="firstCol">
      <w:rPr>
        <w:color w:val="FFFFFF" w:themeColor="background1"/>
      </w:rPr>
      <w:tblPr/>
      <w:tcPr>
        <w:tcBorders>
          <w:top w:val="nil"/>
          <w:left w:val="nil"/>
          <w:bottom w:val="nil"/>
          <w:right w:val="nil"/>
          <w:insideH w:val="single" w:sz="4" w:space="0" w:color="#656565" w:themeColor="accent6" w:themeShade="99"/>
          <w:insideV w:val="nil"/>
        </w:tcBorders>
        <w:shd w:val="clear" w:color="auto" w:fill="65656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6565" w:themeFill="accent6" w:themeFillShade="99"/>
      </w:tcPr>
    </w:tblStylePr>
    <w:tblStylePr w:type="band1Vert">
      <w:tblPr/>
      <w:tcPr>
        <w:shd w:val="clear" w:color="auto" w:fill="DADADA" w:themeFill="accent6" w:themeFillTint="66"/>
      </w:tcPr>
    </w:tblStylePr>
    <w:tblStylePr w:type="band1Horz">
      <w:tblPr/>
      <w:tcPr>
        <w:shd w:val="clear" w:color="auto" w:fill="D2D2D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1F1" w:themeFill="accen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1" w:themeFillTint="3F"/>
      </w:tcPr>
    </w:tblStylePr>
    <w:tblStylePr w:type="band1Horz">
      <w:tblPr/>
      <w:tcPr>
        <w:shd w:val="clear" w:color="auto" w:fill="E4E4E4"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2"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2" w:themeFillTint="3F"/>
      </w:tcPr>
    </w:tblStylePr>
    <w:tblStylePr w:type="band1Horz">
      <w:tblPr/>
      <w:tcPr>
        <w:shd w:val="clear" w:color="auto" w:fill="E0E0E0"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3" w:themeFillTint="19"/>
    </w:tcPr>
    <w:tblStylePr w:type="firstRow">
      <w:rPr>
        <w:b/>
        <w:bCs/>
        <w:color w:val="FFFFFF" w:themeColor="background1"/>
      </w:rPr>
      <w:tblPr/>
      <w:tcPr>
        <w:tcBorders>
          <w:bottom w:val="single" w:sz="12" w:space="0" w:color="#FFFFFF" w:themeColor="background1"/>
        </w:tcBorders>
        <w:shd w:val="clear" w:color="auto" w:fill="575757"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AEA" w:themeFill="accent3" w:themeFillTint="3F"/>
      </w:tcPr>
    </w:tblStylePr>
    <w:tblStylePr w:type="band1Horz">
      <w:tblPr/>
      <w:tcPr>
        <w:shd w:val="clear" w:color="auto" w:fill="EEEEEE"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8F8F8F"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4" w:themeFillTint="3F"/>
      </w:tcPr>
    </w:tblStylePr>
    <w:tblStylePr w:type="band1Horz">
      <w:tblPr/>
      <w:tcPr>
        <w:shd w:val="clear" w:color="auto" w:fill="E1E1E1"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868686"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6" w:themeFillTint="19"/>
    </w:tcPr>
    <w:tblStylePr w:type="firstRow">
      <w:rPr>
        <w:b/>
        <w:bCs/>
        <w:color w:val="FFFFFF" w:themeColor="background1"/>
      </w:rPr>
      <w:tblPr/>
      <w:tcPr>
        <w:tcBorders>
          <w:bottom w:val="single" w:sz="12" w:space="0" w:color="#FFFFFF" w:themeColor="background1"/>
        </w:tcBorders>
        <w:shd w:val="clear" w:color="auto" w:fill="7C7C7C"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6" w:themeFillTint="3F"/>
      </w:tcPr>
    </w:tblStylePr>
    <w:tblStylePr w:type="band1Horz">
      <w:tblPr/>
      <w:tcPr>
        <w:shd w:val="clear" w:color="auto" w:fill="ECECE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4E4E4" w:themeFill="accent1" w:themeFillTint="33"/>
    </w:tcPr>
    <w:tblStylePr w:type="firstRow">
      <w:rPr>
        <w:b/>
        <w:bCs/>
      </w:rPr>
      <w:tblPr/>
      <w:tcPr>
        <w:shd w:val="clear" w:color="auto" w:fill="C9C9C9" w:themeFill="accent1" w:themeFillTint="66"/>
      </w:tcPr>
    </w:tblStylePr>
    <w:tblStylePr w:type="lastRow">
      <w:rPr>
        <w:b/>
        <w:bCs/>
        <w:color w:val="000000" w:themeColor="text1"/>
      </w:rPr>
      <w:tblPr/>
      <w:tcPr>
        <w:shd w:val="clear" w:color="auto" w:fill="C9C9C9" w:themeFill="accent1" w:themeFillTint="66"/>
      </w:tcPr>
    </w:tblStylePr>
    <w:tblStylePr w:type="firstCol">
      <w:rPr>
        <w:color w:val="FFFFFF" w:themeColor="background1"/>
      </w:rPr>
      <w:tblPr/>
      <w:tcPr>
        <w:shd w:val="clear" w:color="auto" w:fill="5A5A5A" w:themeFill="accent1" w:themeFillShade="BF"/>
      </w:tcPr>
    </w:tblStylePr>
    <w:tblStylePr w:type="lastCol">
      <w:rPr>
        <w:color w:val="FFFFFF" w:themeColor="background1"/>
      </w:rPr>
      <w:tblPr/>
      <w:tcPr>
        <w:shd w:val="clear" w:color="auto" w:fill="5A5A5A" w:themeFill="accent1" w:themeFillShade="BF"/>
      </w:tc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0E0E0" w:themeFill="accent2" w:themeFillTint="33"/>
    </w:tcPr>
    <w:tblStylePr w:type="firstRow">
      <w:rPr>
        <w:b/>
        <w:bCs/>
      </w:rPr>
      <w:tblPr/>
      <w:tcPr>
        <w:shd w:val="clear" w:color="auto" w:fill="C1C1C1" w:themeFill="accent2" w:themeFillTint="66"/>
      </w:tcPr>
    </w:tblStylePr>
    <w:tblStylePr w:type="lastRow">
      <w:rPr>
        <w:b/>
        <w:bCs/>
        <w:color w:val="000000" w:themeColor="text1"/>
      </w:rPr>
      <w:tblPr/>
      <w:tcPr>
        <w:shd w:val="clear" w:color="auto" w:fill="C1C1C1" w:themeFill="accent2" w:themeFillTint="66"/>
      </w:tcPr>
    </w:tblStylePr>
    <w:tblStylePr w:type="firstCol">
      <w:rPr>
        <w:color w:val="FFFFFF" w:themeColor="background1"/>
      </w:rPr>
      <w:tblPr/>
      <w:tcPr>
        <w:shd w:val="clear" w:color="auto" w:fill="4A4A4A" w:themeFill="accent2" w:themeFillShade="BF"/>
      </w:tcPr>
    </w:tblStylePr>
    <w:tblStylePr w:type="lastCol">
      <w:rPr>
        <w:color w:val="FFFFFF" w:themeColor="background1"/>
      </w:rPr>
      <w:tblPr/>
      <w:tcPr>
        <w:shd w:val="clear" w:color="auto" w:fill="4A4A4A" w:themeFill="accent2" w:themeFillShade="BF"/>
      </w:tc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EEEEE" w:themeFill="accent3" w:themeFillTint="33"/>
    </w:tcPr>
    <w:tblStylePr w:type="firstRow">
      <w:rPr>
        <w:b/>
        <w:bCs/>
      </w:rPr>
      <w:tblPr/>
      <w:tcPr>
        <w:shd w:val="clear" w:color="auto" w:fill="DDDDDD" w:themeFill="accent3" w:themeFillTint="66"/>
      </w:tcPr>
    </w:tblStylePr>
    <w:tblStylePr w:type="lastRow">
      <w:rPr>
        <w:b/>
        <w:bCs/>
        <w:color w:val="000000" w:themeColor="text1"/>
      </w:rPr>
      <w:tblPr/>
      <w:tcPr>
        <w:shd w:val="clear" w:color="auto" w:fill="DDDDDD" w:themeFill="accent3" w:themeFillTint="66"/>
      </w:tcPr>
    </w:tblStylePr>
    <w:tblStylePr w:type="firstCol">
      <w:rPr>
        <w:color w:val="FFFFFF" w:themeColor="background1"/>
      </w:rPr>
      <w:tblPr/>
      <w:tcPr>
        <w:shd w:val="clear" w:color="auto" w:fill="868686" w:themeFill="accent3" w:themeFillShade="BF"/>
      </w:tcPr>
    </w:tblStylePr>
    <w:tblStylePr w:type="lastCol">
      <w:rPr>
        <w:color w:val="FFFFFF" w:themeColor="background1"/>
      </w:rPr>
      <w:tblPr/>
      <w:tcPr>
        <w:shd w:val="clear" w:color="auto" w:fill="868686" w:themeFill="accent3" w:themeFillShade="BF"/>
      </w:tc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1E1" w:themeFill="accent4" w:themeFillTint="33"/>
    </w:tcPr>
    <w:tblStylePr w:type="firstRow">
      <w:rPr>
        <w:b/>
        <w:bCs/>
      </w:rPr>
      <w:tblPr/>
      <w:tcPr>
        <w:shd w:val="clear" w:color="auto" w:fill="C4C4C4" w:themeFill="accent4" w:themeFillTint="66"/>
      </w:tcPr>
    </w:tblStylePr>
    <w:tblStylePr w:type="lastRow">
      <w:rPr>
        <w:b/>
        <w:bCs/>
        <w:color w:val="000000" w:themeColor="text1"/>
      </w:rPr>
      <w:tblPr/>
      <w:tcPr>
        <w:shd w:val="clear" w:color="auto" w:fill="C4C4C4" w:themeFill="accent4" w:themeFillTint="66"/>
      </w:tcPr>
    </w:tblStylePr>
    <w:tblStylePr w:type="firstCol">
      <w:rPr>
        <w:color w:val="FFFFFF" w:themeColor="background1"/>
      </w:rPr>
      <w:tblPr/>
      <w:tcPr>
        <w:shd w:val="clear" w:color="auto" w:fill="515151" w:themeFill="accent4" w:themeFillShade="BF"/>
      </w:tcPr>
    </w:tblStylePr>
    <w:tblStylePr w:type="lastCol">
      <w:rPr>
        <w:color w:val="FFFFFF" w:themeColor="background1"/>
      </w:rPr>
      <w:tblPr/>
      <w:tcPr>
        <w:shd w:val="clear" w:color="auto" w:fill="515151" w:themeFill="accent4" w:themeFillShade="BF"/>
      </w:tc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A" w:themeFill="accent5" w:themeFillTint="33"/>
    </w:tcPr>
    <w:tblStylePr w:type="firstRow">
      <w:rPr>
        <w:b/>
        <w:bCs/>
      </w:rPr>
      <w:tblPr/>
      <w:tcPr>
        <w:shd w:val="clear" w:color="auto" w:fill="D6D6D6" w:themeFill="accent5" w:themeFillTint="66"/>
      </w:tcPr>
    </w:tblStylePr>
    <w:tblStylePr w:type="lastRow">
      <w:rPr>
        <w:b/>
        <w:bCs/>
        <w:color w:val="000000" w:themeColor="text1"/>
      </w:rPr>
      <w:tblPr/>
      <w:tcPr>
        <w:shd w:val="clear" w:color="auto" w:fill="D6D6D6" w:themeFill="accent5" w:themeFillTint="66"/>
      </w:tcPr>
    </w:tblStylePr>
    <w:tblStylePr w:type="firstCol">
      <w:rPr>
        <w:color w:val="FFFFFF" w:themeColor="background1"/>
      </w:rPr>
      <w:tblPr/>
      <w:tcPr>
        <w:shd w:val="clear" w:color="auto" w:fill="747474" w:themeFill="accent5" w:themeFillShade="BF"/>
      </w:tcPr>
    </w:tblStylePr>
    <w:tblStylePr w:type="lastCol">
      <w:rPr>
        <w:color w:val="FFFFFF" w:themeColor="background1"/>
      </w:rPr>
      <w:tblPr/>
      <w:tcPr>
        <w:shd w:val="clear" w:color="auto" w:fill="747474" w:themeFill="accent5" w:themeFillShade="BF"/>
      </w:tc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ECEC" w:themeFill="accent6" w:themeFillTint="33"/>
    </w:tcPr>
    <w:tblStylePr w:type="firstRow">
      <w:rPr>
        <w:b/>
        <w:bCs/>
      </w:rPr>
      <w:tblPr/>
      <w:tcPr>
        <w:shd w:val="clear" w:color="auto" w:fill="DADADA" w:themeFill="accent6" w:themeFillTint="66"/>
      </w:tcPr>
    </w:tblStylePr>
    <w:tblStylePr w:type="lastRow">
      <w:rPr>
        <w:b/>
        <w:bCs/>
        <w:color w:val="000000" w:themeColor="text1"/>
      </w:rPr>
      <w:tblPr/>
      <w:tcPr>
        <w:shd w:val="clear" w:color="auto" w:fill="DADADA" w:themeFill="accent6" w:themeFillTint="66"/>
      </w:tcPr>
    </w:tblStylePr>
    <w:tblStylePr w:type="firstCol">
      <w:rPr>
        <w:color w:val="FFFFFF" w:themeColor="background1"/>
      </w:rPr>
      <w:tblPr/>
      <w:tcPr>
        <w:shd w:val="clear" w:color="auto" w:fill="7E7E7E" w:themeFill="accent6" w:themeFillShade="BF"/>
      </w:tcPr>
    </w:tblStylePr>
    <w:tblStylePr w:type="lastCol">
      <w:rPr>
        <w:color w:val="FFFFFF" w:themeColor="background1"/>
      </w:rPr>
      <w:tblPr/>
      <w:tcPr>
        <w:shd w:val="clear" w:color="auto" w:fill="7E7E7E" w:themeFill="accent6" w:themeFillShade="BF"/>
      </w:tc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0000"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themeColor="accent1"/>
    </w:rPr>
  </w:style>
  <w:style w:type="paragraph" w:styleId="Title">
    <w:name w:val="Title"/>
    <w:basedOn w:val="Normal"/>
    <w:next w:val="Normal"/>
    <w:link w:val="TitleChar"/>
    <w:uiPriority w:val="10"/>
    <w:qFormat/>
    <w:rsid w:val="00FC693F"/>
    <w:pPr>
      <w:pBdr>
        <w:bottom w:val="single" w:sz="8" w:space="4" w:color="#7B7B7B"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0000"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7B7B7B"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FC693F"/>
    <w:rPr>
      <w:b/>
      <w:bCs/>
      <w:i/>
      <w:iCs/>
      <w:color w:val="000000"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0000" w:themeColor="accent1"/>
    </w:rPr>
  </w:style>
  <w:style w:type="character" w:styleId="SubtleReference">
    <w:name w:val="Subtle Reference"/>
    <w:basedOn w:val="DefaultParagraphFont"/>
    <w:uiPriority w:val="31"/>
    <w:qFormat/>
    <w:rsid w:val="00FC693F"/>
    <w:rPr>
      <w:smallCaps/>
      <w:color w:val="000000" w:themeColor="accent2"/>
      <w:u w:val="single"/>
    </w:rPr>
  </w:style>
  <w:style w:type="character" w:styleId="IntenseReference">
    <w:name w:val="Intense Reference"/>
    <w:basedOn w:val="DefaultParagraphFont"/>
    <w:uiPriority w:val="32"/>
    <w:qFormat/>
    <w:rsid w:val="00FC693F"/>
    <w:rPr>
      <w:b/>
      <w:bCs/>
      <w:smallCaps/>
      <w:color w:val="00000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themeColor="accent1" w:themeShade="BF"/>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la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left w:val="nil"/>
          <w:right w:val="nil"/>
          <w:insideH w:val="nil"/>
          <w:insideV w:val="nil"/>
        </w:tcBorders>
        <w:shd w:val="clear" w:color="auto" w:fill="DEDEDE" w:themeFill="accent1" w:themeFillTint="3F"/>
      </w:tcPr>
    </w:tblStylePr>
  </w:style>
  <w:style w:type="table" w:styleId="LightShading-Accent2">
    <w:name w:val="Light Shading Accent 2"/>
    <w:basedOn w:val="TableNormal"/>
    <w:uiPriority w:val="60"/>
    <w:rsid w:val="00FC693F"/>
    <w:pPr>
      <w:spacing w:after="0" w:line="240" w:lineRule="auto"/>
    </w:pPr>
    <w:rPr>
      <w:color w:val="000000" w:themeColor="accent2" w:themeShade="BF"/>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la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left w:val="nil"/>
          <w:right w:val="nil"/>
          <w:insideH w:val="nil"/>
          <w:insideV w:val="nil"/>
        </w:tcBorders>
        <w:shd w:val="clear" w:color="auto" w:fill="D9D9D9" w:themeFill="accent2" w:themeFillTint="3F"/>
      </w:tcPr>
    </w:tblStylePr>
  </w:style>
  <w:style w:type="table" w:styleId="LightShading-Accent3">
    <w:name w:val="Light Shading Accent 3"/>
    <w:basedOn w:val="TableNormal"/>
    <w:uiPriority w:val="60"/>
    <w:rsid w:val="00FC693F"/>
    <w:pPr>
      <w:spacing w:after="0" w:line="240" w:lineRule="auto"/>
    </w:pPr>
    <w:rPr>
      <w:color w:val="000000" w:themeColor="accent3" w:themeShade="BF"/>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la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left w:val="nil"/>
          <w:right w:val="nil"/>
          <w:insideH w:val="nil"/>
          <w:insideV w:val="nil"/>
        </w:tcBorders>
        <w:shd w:val="clear" w:color="auto" w:fill="EAEAEA" w:themeFill="accent3" w:themeFillTint="3F"/>
      </w:tcPr>
    </w:tblStylePr>
  </w:style>
  <w:style w:type="table" w:styleId="LightShading-Accent4">
    <w:name w:val="Light Shading Accent 4"/>
    <w:basedOn w:val="TableNormal"/>
    <w:uiPriority w:val="60"/>
    <w:rsid w:val="00FC693F"/>
    <w:pPr>
      <w:spacing w:after="0" w:line="240" w:lineRule="auto"/>
    </w:pPr>
    <w:rPr>
      <w:color w:val="000000" w:themeColor="accent4" w:themeShade="BF"/>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la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left w:val="nil"/>
          <w:right w:val="nil"/>
          <w:insideH w:val="nil"/>
          <w:insideV w:val="nil"/>
        </w:tcBorders>
        <w:shd w:val="clear" w:color="auto" w:fill="DBDBDB" w:themeFill="accent4" w:themeFillTint="3F"/>
      </w:tcPr>
    </w:tblStylePr>
  </w:style>
  <w:style w:type="table" w:styleId="LightShading-Accent5">
    <w:name w:val="Light Shading Accent 5"/>
    <w:basedOn w:val="TableNormal"/>
    <w:uiPriority w:val="60"/>
    <w:rsid w:val="00FC693F"/>
    <w:pPr>
      <w:spacing w:after="0" w:line="240" w:lineRule="auto"/>
    </w:pPr>
    <w:rPr>
      <w:color w:val="000000" w:themeColor="accent5" w:themeShade="BF"/>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la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la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left w:val="nil"/>
          <w:right w:val="nil"/>
          <w:insideH w:val="nil"/>
          <w:insideV w:val="nil"/>
        </w:tcBorders>
        <w:shd w:val="clear" w:color="auto" w:fill="E8E8E8"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B7B7B" w:themeFill="accent1"/>
      </w:tcPr>
    </w:tblStylePr>
    <w:tblStylePr w:type="lastRow">
      <w:pPr>
        <w:spacing w:before="0" w:after="0" w:line="240" w:lineRule="auto"/>
      </w:pPr>
      <w:rPr>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tcBorders>
      </w:tcPr>
    </w:tblStylePr>
    <w:tblStylePr w:type="firstCol">
      <w:rPr>
        <w:b/>
        <w:bCs/>
      </w:rPr>
    </w:tblStylePr>
    <w:tblStylePr w:type="lastCol">
      <w:rPr>
        <w:b/>
        <w:bCs/>
      </w:r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86868" w:themeFill="accent2"/>
      </w:tcPr>
    </w:tblStylePr>
    <w:tblStylePr w:type="lastRow">
      <w:pPr>
        <w:spacing w:before="0" w:after="0" w:line="240" w:lineRule="auto"/>
      </w:pPr>
      <w:rPr>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tcBorders>
      </w:tcPr>
    </w:tblStylePr>
    <w:tblStylePr w:type="firstCol">
      <w:rPr>
        <w:b/>
        <w:bCs/>
      </w:rPr>
    </w:tblStylePr>
    <w:tblStylePr w:type="lastCol">
      <w:rPr>
        <w:b/>
        <w:bCs/>
      </w:r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DADAD" w:themeFill="accent3"/>
      </w:tcPr>
    </w:tblStylePr>
    <w:tblStylePr w:type="lastRow">
      <w:pPr>
        <w:spacing w:before="0" w:after="0" w:line="240" w:lineRule="auto"/>
      </w:pPr>
      <w:rPr>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tcBorders>
      </w:tcPr>
    </w:tblStylePr>
    <w:tblStylePr w:type="firstCol">
      <w:rPr>
        <w:b/>
        <w:bCs/>
      </w:rPr>
    </w:tblStylePr>
    <w:tblStylePr w:type="lastCol">
      <w:rPr>
        <w:b/>
        <w:bCs/>
      </w:r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6E6E" w:themeFill="accent4"/>
      </w:tcPr>
    </w:tblStylePr>
    <w:tblStylePr w:type="lastRow">
      <w:pPr>
        <w:spacing w:before="0" w:after="0" w:line="240" w:lineRule="auto"/>
      </w:pPr>
      <w:rPr>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tcBorders>
      </w:tcPr>
    </w:tblStylePr>
    <w:tblStylePr w:type="firstCol">
      <w:rPr>
        <w:b/>
        <w:bCs/>
      </w:rPr>
    </w:tblStylePr>
    <w:tblStylePr w:type="lastCol">
      <w:rPr>
        <w:b/>
        <w:bCs/>
      </w:r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99" w:themeFill="accent5"/>
      </w:tcPr>
    </w:tblStylePr>
    <w:tblStylePr w:type="lastRow">
      <w:pPr>
        <w:spacing w:before="0" w:after="0" w:line="240" w:lineRule="auto"/>
      </w:pPr>
      <w:rPr>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tcBorders>
      </w:tcPr>
    </w:tblStylePr>
    <w:tblStylePr w:type="firstCol">
      <w:rPr>
        <w:b/>
        <w:bCs/>
      </w:rPr>
    </w:tblStylePr>
    <w:tblStylePr w:type="lastCol">
      <w:rPr>
        <w:b/>
        <w:bCs/>
      </w:r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6"/>
      </w:tcPr>
    </w:tblStylePr>
    <w:tblStylePr w:type="lastRow">
      <w:pPr>
        <w:spacing w:before="0" w:after="0" w:line="240" w:lineRule="auto"/>
      </w:pPr>
      <w:rPr>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tcBorders>
      </w:tcPr>
    </w:tblStylePr>
    <w:tblStylePr w:type="firstCol">
      <w:rPr>
        <w:b/>
        <w:bCs/>
      </w:rPr>
    </w:tblStylePr>
    <w:tblStylePr w:type="lastCol">
      <w:rPr>
        <w:b/>
        <w:bCs/>
      </w:r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18" w:space="0" w:color="#7B7B7B" w:themeColor="accent1"/>
          <w:right w:val="single" w:sz="8" w:space="0" w:color="#7B7B7B" w:themeColor="accent1"/>
          <w:insideH w:val="nil"/>
          <w:insideV w:val="single" w:sz="8" w:space="0" w:color="#7B7B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insideH w:val="nil"/>
          <w:insideV w:val="single" w:sz="8" w:space="0" w:color="#7B7B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shd w:val="clear" w:color="auto" w:fill="DEDEDE" w:themeFill="accent1" w:themeFillTint="3F"/>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shd w:val="clear" w:color="auto" w:fill="DEDEDE" w:themeFill="accent1" w:themeFillTint="3F"/>
      </w:tcPr>
    </w:tblStylePr>
    <w:tblStylePr w:type="band2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18" w:space="0" w:color="#686868" w:themeColor="accent2"/>
          <w:right w:val="single" w:sz="8" w:space="0" w:color="#686868" w:themeColor="accent2"/>
          <w:insideH w:val="nil"/>
          <w:insideV w:val="single" w:sz="8" w:space="0" w:color="#68686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insideH w:val="nil"/>
          <w:insideV w:val="single" w:sz="8" w:space="0" w:color="#68686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shd w:val="clear" w:color="auto" w:fill="D9D9D9" w:themeFill="accent2" w:themeFillTint="3F"/>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shd w:val="clear" w:color="auto" w:fill="D9D9D9" w:themeFill="accent2" w:themeFillTint="3F"/>
      </w:tcPr>
    </w:tblStylePr>
    <w:tblStylePr w:type="band2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18" w:space="0" w:color="#ADADAD" w:themeColor="accent3"/>
          <w:right w:val="single" w:sz="8" w:space="0" w:color="#ADADAD" w:themeColor="accent3"/>
          <w:insideH w:val="nil"/>
          <w:insideV w:val="single" w:sz="8" w:space="0" w:color="#ADAD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insideH w:val="nil"/>
          <w:insideV w:val="single" w:sz="8" w:space="0" w:color="#ADAD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shd w:val="clear" w:color="auto" w:fill="EAEAEA" w:themeFill="accent3" w:themeFillTint="3F"/>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shd w:val="clear" w:color="auto" w:fill="EAEAEA" w:themeFill="accent3" w:themeFillTint="3F"/>
      </w:tcPr>
    </w:tblStylePr>
    <w:tblStylePr w:type="band2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18" w:space="0" w:color="#6E6E6E" w:themeColor="accent4"/>
          <w:right w:val="single" w:sz="8" w:space="0" w:color="#6E6E6E" w:themeColor="accent4"/>
          <w:insideH w:val="nil"/>
          <w:insideV w:val="single" w:sz="8" w:space="0" w:color="#6E6E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insideH w:val="nil"/>
          <w:insideV w:val="single" w:sz="8" w:space="0" w:color="#6E6E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shd w:val="clear" w:color="auto" w:fill="DBDBDB" w:themeFill="accent4" w:themeFillTint="3F"/>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shd w:val="clear" w:color="auto" w:fill="DBDBDB" w:themeFill="accent4" w:themeFillTint="3F"/>
      </w:tcPr>
    </w:tblStylePr>
    <w:tblStylePr w:type="band2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18" w:space="0" w:color="#999999" w:themeColor="accent5"/>
          <w:right w:val="single" w:sz="8" w:space="0" w:color="#999999" w:themeColor="accent5"/>
          <w:insideH w:val="nil"/>
          <w:insideV w:val="single" w:sz="8" w:space="0" w:color="#9999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insideH w:val="nil"/>
          <w:insideV w:val="single" w:sz="8" w:space="0" w:color="#9999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shd w:val="clear" w:color="auto" w:fill="E5E5E5" w:themeFill="accent5" w:themeFillTint="3F"/>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shd w:val="clear" w:color="auto" w:fill="E5E5E5" w:themeFill="accent5" w:themeFillTint="3F"/>
      </w:tcPr>
    </w:tblStylePr>
    <w:tblStylePr w:type="band2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18" w:space="0" w:color="#A5A5A5" w:themeColor="accent6"/>
          <w:right w:val="single" w:sz="8" w:space="0" w:color="#A5A5A5" w:themeColor="accent6"/>
          <w:insideH w:val="nil"/>
          <w:insideV w:val="single" w:sz="8" w:space="0" w:color="#A5A5A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insideH w:val="nil"/>
          <w:insideV w:val="single" w:sz="8" w:space="0" w:color="#A5A5A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shd w:val="clear" w:color="auto" w:fill="E8E8E8" w:themeFill="accent6" w:themeFillTint="3F"/>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shd w:val="clear" w:color="auto" w:fill="E8E8E8" w:themeFill="accent6" w:themeFillTint="3F"/>
      </w:tcPr>
    </w:tblStylePr>
    <w:tblStylePr w:type="band2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shd w:val="clear" w:color="auto" w:fill="7B7B7B" w:themeFill="accent1"/>
      </w:tcPr>
    </w:tblStylePr>
    <w:tblStylePr w:type="lastRow">
      <w:pPr>
        <w:spacing w:before="0" w:after="0" w:line="240" w:lineRule="auto"/>
      </w:pPr>
      <w:rPr>
        <w:b/>
        <w:bCs/>
      </w:rPr>
      <w:tblPr/>
      <w:tcPr>
        <w:tcBorders>
          <w:top w:val="double" w:sz="6"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1" w:themeFillTint="3F"/>
      </w:tcPr>
    </w:tblStylePr>
    <w:tblStylePr w:type="band1Horz">
      <w:tblPr/>
      <w:tcPr>
        <w:tcBorders>
          <w:insideH w:val="nil"/>
          <w:insideV w:val="nil"/>
        </w:tcBorders>
        <w:shd w:val="clear" w:color="auto" w:fill="DEDED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shd w:val="clear" w:color="auto" w:fill="686868" w:themeFill="accent2"/>
      </w:tcPr>
    </w:tblStylePr>
    <w:tblStylePr w:type="lastRow">
      <w:pPr>
        <w:spacing w:before="0" w:after="0" w:line="240" w:lineRule="auto"/>
      </w:pPr>
      <w:rPr>
        <w:b/>
        <w:bCs/>
      </w:rPr>
      <w:tblPr/>
      <w:tcPr>
        <w:tcBorders>
          <w:top w:val="double" w:sz="6"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2" w:themeFillTint="3F"/>
      </w:tcPr>
    </w:tblStylePr>
    <w:tblStylePr w:type="band1Horz">
      <w:tblPr/>
      <w:tcPr>
        <w:tcBorders>
          <w:insideH w:val="nil"/>
          <w:insideV w:val="nil"/>
        </w:tcBorders>
        <w:shd w:val="clear" w:color="auto" w:fill="D9D9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shd w:val="clear" w:color="auto" w:fill="ADADAD" w:themeFill="accent3"/>
      </w:tcPr>
    </w:tblStylePr>
    <w:tblStylePr w:type="lastRow">
      <w:pPr>
        <w:spacing w:before="0" w:after="0" w:line="240" w:lineRule="auto"/>
      </w:pPr>
      <w:rPr>
        <w:b/>
        <w:bCs/>
      </w:rPr>
      <w:tblPr/>
      <w:tcPr>
        <w:tcBorders>
          <w:top w:val="double" w:sz="6"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EAEA" w:themeFill="accent3" w:themeFillTint="3F"/>
      </w:tcPr>
    </w:tblStylePr>
    <w:tblStylePr w:type="band1Horz">
      <w:tblPr/>
      <w:tcPr>
        <w:tcBorders>
          <w:insideH w:val="nil"/>
          <w:insideV w:val="nil"/>
        </w:tcBorders>
        <w:shd w:val="clear" w:color="auto" w:fill="EAEA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shd w:val="clear" w:color="auto" w:fill="6E6E6E" w:themeFill="accent4"/>
      </w:tcPr>
    </w:tblStylePr>
    <w:tblStylePr w:type="lastRow">
      <w:pPr>
        <w:spacing w:before="0" w:after="0" w:line="240" w:lineRule="auto"/>
      </w:pPr>
      <w:rPr>
        <w:b/>
        <w:bCs/>
      </w:rPr>
      <w:tblPr/>
      <w:tcPr>
        <w:tcBorders>
          <w:top w:val="double" w:sz="6"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4" w:themeFillTint="3F"/>
      </w:tcPr>
    </w:tblStylePr>
    <w:tblStylePr w:type="band1Horz">
      <w:tblPr/>
      <w:tcPr>
        <w:tcBorders>
          <w:insideH w:val="nil"/>
          <w:insideV w:val="nil"/>
        </w:tcBorders>
        <w:shd w:val="clear" w:color="auto" w:fill="DBDBD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shd w:val="clear" w:color="auto" w:fill="999999" w:themeFill="accent5"/>
      </w:tcPr>
    </w:tblStylePr>
    <w:tblStylePr w:type="lastRow">
      <w:pPr>
        <w:spacing w:before="0" w:after="0" w:line="240" w:lineRule="auto"/>
      </w:pPr>
      <w:rPr>
        <w:b/>
        <w:bCs/>
      </w:rPr>
      <w:tblPr/>
      <w:tcPr>
        <w:tcBorders>
          <w:top w:val="double" w:sz="6"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shd w:val="clear" w:color="auto" w:fill="A5A5A5" w:themeFill="accent6"/>
      </w:tcPr>
    </w:tblStylePr>
    <w:tblStylePr w:type="lastRow">
      <w:pPr>
        <w:spacing w:before="0" w:after="0" w:line="240" w:lineRule="auto"/>
      </w:pPr>
      <w:rPr>
        <w:b/>
        <w:bCs/>
      </w:rPr>
      <w:tblPr/>
      <w:tcPr>
        <w:tcBorders>
          <w:top w:val="double" w:sz="6"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6" w:themeFillTint="3F"/>
      </w:tcPr>
    </w:tblStylePr>
    <w:tblStylePr w:type="band1Horz">
      <w:tblPr/>
      <w:tcPr>
        <w:tcBorders>
          <w:insideH w:val="nil"/>
          <w:insideV w:val="nil"/>
        </w:tcBorders>
        <w:shd w:val="clear" w:color="auto" w:fill="E8E8E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7B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7B7B" w:themeFill="accent1"/>
      </w:tcPr>
    </w:tblStylePr>
    <w:tblStylePr w:type="lastCol">
      <w:rPr>
        <w:b/>
        <w:bCs/>
        <w:color w:val="FFFFFF" w:themeColor="background1"/>
      </w:rPr>
      <w:tblPr/>
      <w:tcPr>
        <w:tcBorders>
          <w:left w:val="nil"/>
          <w:right w:val="nil"/>
          <w:insideH w:val="nil"/>
          <w:insideV w:val="nil"/>
        </w:tcBorders>
        <w:shd w:val="clear" w:color="auto" w:fill="7B7B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686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6868" w:themeFill="accent2"/>
      </w:tcPr>
    </w:tblStylePr>
    <w:tblStylePr w:type="lastCol">
      <w:rPr>
        <w:b/>
        <w:bCs/>
        <w:color w:val="FFFFFF" w:themeColor="background1"/>
      </w:rPr>
      <w:tblPr/>
      <w:tcPr>
        <w:tcBorders>
          <w:left w:val="nil"/>
          <w:right w:val="nil"/>
          <w:insideH w:val="nil"/>
          <w:insideV w:val="nil"/>
        </w:tcBorders>
        <w:shd w:val="clear" w:color="auto" w:fill="68686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AD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ADAD" w:themeFill="accent3"/>
      </w:tcPr>
    </w:tblStylePr>
    <w:tblStylePr w:type="lastCol">
      <w:rPr>
        <w:b/>
        <w:bCs/>
        <w:color w:val="FFFFFF" w:themeColor="background1"/>
      </w:rPr>
      <w:tblPr/>
      <w:tcPr>
        <w:tcBorders>
          <w:left w:val="nil"/>
          <w:right w:val="nil"/>
          <w:insideH w:val="nil"/>
          <w:insideV w:val="nil"/>
        </w:tcBorders>
        <w:shd w:val="clear" w:color="auto" w:fill="ADAD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accent4"/>
      </w:tcPr>
    </w:tblStylePr>
    <w:tblStylePr w:type="lastCol">
      <w:rPr>
        <w:b/>
        <w:bCs/>
        <w:color w:val="FFFFFF" w:themeColor="background1"/>
      </w:rPr>
      <w:tblPr/>
      <w:tcPr>
        <w:tcBorders>
          <w:left w:val="nil"/>
          <w:right w:val="nil"/>
          <w:insideH w:val="nil"/>
          <w:insideV w:val="nil"/>
        </w:tcBorders>
        <w:shd w:val="clear" w:color="auto" w:fill="6E6E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5"/>
      </w:tcPr>
    </w:tblStylePr>
    <w:tblStylePr w:type="lastCol">
      <w:rPr>
        <w:b/>
        <w:bCs/>
        <w:color w:val="FFFFFF" w:themeColor="background1"/>
      </w:rPr>
      <w:tblPr/>
      <w:tcPr>
        <w:tcBorders>
          <w:left w:val="nil"/>
          <w:right w:val="nil"/>
          <w:insideH w:val="nil"/>
          <w:insideV w:val="nil"/>
        </w:tcBorders>
        <w:shd w:val="clear" w:color="auto" w:fill="9999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6"/>
      </w:tcPr>
    </w:tblStylePr>
    <w:tblStylePr w:type="lastCol">
      <w:rPr>
        <w:b/>
        <w:bCs/>
        <w:color w:val="FFFFFF" w:themeColor="background1"/>
      </w:rPr>
      <w:tblPr/>
      <w:tcPr>
        <w:tcBorders>
          <w:left w:val="nil"/>
          <w:right w:val="nil"/>
          <w:insideH w:val="nil"/>
          <w:insideV w:val="nil"/>
        </w:tcBorders>
        <w:shd w:val="clear" w:color="auto" w:fill="A5A5A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B7B7B" w:themeColor="accent1"/>
        </w:tcBorders>
      </w:tcPr>
    </w:tblStylePr>
    <w:tblStylePr w:type="lastRow">
      <w:rPr>
        <w:b/>
        <w:bCs/>
        <w:color w:val="000000" w:themeColor="text2"/>
      </w:rPr>
      <w:tblPr/>
      <w:tcPr>
        <w:tcBorders>
          <w:top w:val="single" w:sz="8" w:space="0" w:color="#7B7B7B" w:themeColor="accent1"/>
          <w:bottom w:val="single" w:sz="8" w:space="0" w:color="#7B7B7B" w:themeColor="accent1"/>
        </w:tcBorders>
      </w:tcPr>
    </w:tblStylePr>
    <w:tblStylePr w:type="firstCol">
      <w:rPr>
        <w:b/>
        <w:bCs/>
      </w:rPr>
    </w:tblStylePr>
    <w:tblStylePr w:type="lastCol">
      <w:rPr>
        <w:b/>
        <w:bCs/>
      </w:rPr>
      <w:tblPr/>
      <w:tcPr>
        <w:tcBorders>
          <w:top w:val="single" w:sz="8" w:space="0" w:color="#7B7B7B" w:themeColor="accent1"/>
          <w:bottom w:val="single" w:sz="8" w:space="0" w:color="#7B7B7B" w:themeColor="accent1"/>
        </w:tcBorders>
      </w:tcPr>
    </w:tblStylePr>
    <w:tblStylePr w:type="band1Vert">
      <w:tblPr/>
      <w:tcPr>
        <w:shd w:val="clear" w:color="auto" w:fill="DEDEDE" w:themeFill="accent1" w:themeFillTint="3F"/>
      </w:tcPr>
    </w:tblStylePr>
    <w:tblStylePr w:type="band1Horz">
      <w:tblPr/>
      <w:tcPr>
        <w:shd w:val="clear" w:color="auto" w:fill="DEDED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86868" w:themeColor="accent2"/>
        </w:tcBorders>
      </w:tcPr>
    </w:tblStylePr>
    <w:tblStylePr w:type="lastRow">
      <w:rPr>
        <w:b/>
        <w:bCs/>
        <w:color w:val="000000" w:themeColor="text2"/>
      </w:rPr>
      <w:tblPr/>
      <w:tcPr>
        <w:tcBorders>
          <w:top w:val="single" w:sz="8" w:space="0" w:color="#686868" w:themeColor="accent2"/>
          <w:bottom w:val="single" w:sz="8" w:space="0" w:color="#686868" w:themeColor="accent2"/>
        </w:tcBorders>
      </w:tcPr>
    </w:tblStylePr>
    <w:tblStylePr w:type="firstCol">
      <w:rPr>
        <w:b/>
        <w:bCs/>
      </w:rPr>
    </w:tblStylePr>
    <w:tblStylePr w:type="lastCol">
      <w:rPr>
        <w:b/>
        <w:bCs/>
      </w:rPr>
      <w:tblPr/>
      <w:tcPr>
        <w:tcBorders>
          <w:top w:val="single" w:sz="8" w:space="0" w:color="#686868" w:themeColor="accent2"/>
          <w:bottom w:val="single" w:sz="8" w:space="0" w:color="#686868" w:themeColor="accent2"/>
        </w:tcBorders>
      </w:tcPr>
    </w:tblStylePr>
    <w:tblStylePr w:type="band1Vert">
      <w:tblPr/>
      <w:tcPr>
        <w:shd w:val="clear" w:color="auto" w:fill="D9D9D9" w:themeFill="accent2" w:themeFillTint="3F"/>
      </w:tcPr>
    </w:tblStylePr>
    <w:tblStylePr w:type="band1Horz">
      <w:tblPr/>
      <w:tcPr>
        <w:shd w:val="clear" w:color="auto" w:fill="D9D9D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DADAD" w:themeColor="accent3"/>
        </w:tcBorders>
      </w:tcPr>
    </w:tblStylePr>
    <w:tblStylePr w:type="lastRow">
      <w:rPr>
        <w:b/>
        <w:bCs/>
        <w:color w:val="000000" w:themeColor="text2"/>
      </w:rPr>
      <w:tblPr/>
      <w:tcPr>
        <w:tcBorders>
          <w:top w:val="single" w:sz="8" w:space="0" w:color="#ADADAD" w:themeColor="accent3"/>
          <w:bottom w:val="single" w:sz="8" w:space="0" w:color="#ADADAD" w:themeColor="accent3"/>
        </w:tcBorders>
      </w:tcPr>
    </w:tblStylePr>
    <w:tblStylePr w:type="firstCol">
      <w:rPr>
        <w:b/>
        <w:bCs/>
      </w:rPr>
    </w:tblStylePr>
    <w:tblStylePr w:type="lastCol">
      <w:rPr>
        <w:b/>
        <w:bCs/>
      </w:rPr>
      <w:tblPr/>
      <w:tcPr>
        <w:tcBorders>
          <w:top w:val="single" w:sz="8" w:space="0" w:color="#ADADAD" w:themeColor="accent3"/>
          <w:bottom w:val="single" w:sz="8" w:space="0" w:color="#ADADAD" w:themeColor="accent3"/>
        </w:tcBorders>
      </w:tcPr>
    </w:tblStylePr>
    <w:tblStylePr w:type="band1Vert">
      <w:tblPr/>
      <w:tcPr>
        <w:shd w:val="clear" w:color="auto" w:fill="EAEAEA" w:themeFill="accent3" w:themeFillTint="3F"/>
      </w:tcPr>
    </w:tblStylePr>
    <w:tblStylePr w:type="band1Horz">
      <w:tblPr/>
      <w:tcPr>
        <w:shd w:val="clear" w:color="auto" w:fill="EAEAE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6E6E" w:themeColor="accent4"/>
        </w:tcBorders>
      </w:tcPr>
    </w:tblStylePr>
    <w:tblStylePr w:type="lastRow">
      <w:rPr>
        <w:b/>
        <w:bCs/>
        <w:color w:val="000000" w:themeColor="text2"/>
      </w:rPr>
      <w:tblPr/>
      <w:tcPr>
        <w:tcBorders>
          <w:top w:val="single" w:sz="8" w:space="0" w:color="#6E6E6E" w:themeColor="accent4"/>
          <w:bottom w:val="single" w:sz="8" w:space="0" w:color="#6E6E6E" w:themeColor="accent4"/>
        </w:tcBorders>
      </w:tcPr>
    </w:tblStylePr>
    <w:tblStylePr w:type="firstCol">
      <w:rPr>
        <w:b/>
        <w:bCs/>
      </w:rPr>
    </w:tblStylePr>
    <w:tblStylePr w:type="lastCol">
      <w:rPr>
        <w:b/>
        <w:bCs/>
      </w:rPr>
      <w:tblPr/>
      <w:tcPr>
        <w:tcBorders>
          <w:top w:val="single" w:sz="8" w:space="0" w:color="#6E6E6E" w:themeColor="accent4"/>
          <w:bottom w:val="single" w:sz="8" w:space="0" w:color="#6E6E6E" w:themeColor="accent4"/>
        </w:tcBorders>
      </w:tcPr>
    </w:tblStylePr>
    <w:tblStylePr w:type="band1Vert">
      <w:tblPr/>
      <w:tcPr>
        <w:shd w:val="clear" w:color="auto" w:fill="DBDBDB" w:themeFill="accent4" w:themeFillTint="3F"/>
      </w:tcPr>
    </w:tblStylePr>
    <w:tblStylePr w:type="band1Horz">
      <w:tblPr/>
      <w:tcPr>
        <w:shd w:val="clear" w:color="auto" w:fill="DBDBDB"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99999" w:themeColor="accent5"/>
        </w:tcBorders>
      </w:tcPr>
    </w:tblStylePr>
    <w:tblStylePr w:type="lastRow">
      <w:rPr>
        <w:b/>
        <w:bCs/>
        <w:color w:val="000000" w:themeColor="text2"/>
      </w:rPr>
      <w:tblPr/>
      <w:tcPr>
        <w:tcBorders>
          <w:top w:val="single" w:sz="8" w:space="0" w:color="#999999" w:themeColor="accent5"/>
          <w:bottom w:val="single" w:sz="8" w:space="0" w:color="#999999" w:themeColor="accent5"/>
        </w:tcBorders>
      </w:tcPr>
    </w:tblStylePr>
    <w:tblStylePr w:type="firstCol">
      <w:rPr>
        <w:b/>
        <w:bCs/>
      </w:rPr>
    </w:tblStylePr>
    <w:tblStylePr w:type="lastCol">
      <w:rPr>
        <w:b/>
        <w:bCs/>
      </w:rPr>
      <w:tblPr/>
      <w:tcPr>
        <w:tcBorders>
          <w:top w:val="single" w:sz="8" w:space="0" w:color="#999999" w:themeColor="accent5"/>
          <w:bottom w:val="single" w:sz="8" w:space="0" w:color="#999999"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6"/>
        </w:tcBorders>
      </w:tcPr>
    </w:tblStylePr>
    <w:tblStylePr w:type="lastRow">
      <w:rPr>
        <w:b/>
        <w:bCs/>
        <w:color w:val="000000" w:themeColor="text2"/>
      </w:rPr>
      <w:tblPr/>
      <w:tcPr>
        <w:tcBorders>
          <w:top w:val="single" w:sz="8" w:space="0" w:color="#A5A5A5" w:themeColor="accent6"/>
          <w:bottom w:val="single" w:sz="8" w:space="0" w:color="#A5A5A5" w:themeColor="accent6"/>
        </w:tcBorders>
      </w:tcPr>
    </w:tblStylePr>
    <w:tblStylePr w:type="firstCol">
      <w:rPr>
        <w:b/>
        <w:bCs/>
      </w:rPr>
    </w:tblStylePr>
    <w:tblStylePr w:type="lastCol">
      <w:rPr>
        <w:b/>
        <w:bCs/>
      </w:rPr>
      <w:tblPr/>
      <w:tcPr>
        <w:tcBorders>
          <w:top w:val="single" w:sz="8" w:space="0" w:color="#A5A5A5" w:themeColor="accent6"/>
          <w:bottom w:val="single" w:sz="8" w:space="0" w:color="#A5A5A5" w:themeColor="accent6"/>
        </w:tcBorders>
      </w:tcPr>
    </w:tblStylePr>
    <w:tblStylePr w:type="band1Vert">
      <w:tblPr/>
      <w:tcPr>
        <w:shd w:val="clear" w:color="auto" w:fill="E8E8E8" w:themeFill="accent6" w:themeFillTint="3F"/>
      </w:tcPr>
    </w:tblStylePr>
    <w:tblStylePr w:type="band1Horz">
      <w:tblPr/>
      <w:tcPr>
        <w:shd w:val="clear" w:color="auto" w:fill="E8E8E8"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B7B7B" w:themeColor="accent1"/>
          <w:right w:val="nil"/>
          <w:insideH w:val="nil"/>
          <w:insideV w:val="nil"/>
        </w:tcBorders>
        <w:shd w:val="clear" w:color="auto" w:fill="FFFFFF" w:themeFill="background1"/>
      </w:tcPr>
    </w:tblStylePr>
    <w:tblStylePr w:type="lastRow">
      <w:tblPr/>
      <w:tcPr>
        <w:tcBorders>
          <w:top w:val="single" w:sz="8" w:space="0" w:color="#7B7B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7B7B" w:themeColor="accent1"/>
          <w:insideH w:val="nil"/>
          <w:insideV w:val="nil"/>
        </w:tcBorders>
        <w:shd w:val="clear" w:color="auto" w:fill="FFFFFF" w:themeFill="background1"/>
      </w:tcPr>
    </w:tblStylePr>
    <w:tblStylePr w:type="lastCol">
      <w:tblPr/>
      <w:tcPr>
        <w:tcBorders>
          <w:top w:val="nil"/>
          <w:left w:val="single" w:sz="8" w:space="0" w:color="#7B7B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tblPr/>
      <w:tcPr>
        <w:tcBorders>
          <w:top w:val="single" w:sz="8" w:space="0" w:color="#68686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6868" w:themeColor="accent2"/>
          <w:insideH w:val="nil"/>
          <w:insideV w:val="nil"/>
        </w:tcBorders>
        <w:shd w:val="clear" w:color="auto" w:fill="FFFFFF" w:themeFill="background1"/>
      </w:tcPr>
    </w:tblStylePr>
    <w:tblStylePr w:type="lastCol">
      <w:tblPr/>
      <w:tcPr>
        <w:tcBorders>
          <w:top w:val="nil"/>
          <w:left w:val="single" w:sz="8" w:space="0" w:color="#68686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top w:val="nil"/>
          <w:bottom w:val="nil"/>
          <w:insideH w:val="nil"/>
          <w:insideV w:val="nil"/>
        </w:tcBorders>
        <w:shd w:val="clear" w:color="auto" w:fill="D9D9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tblPr/>
      <w:tcPr>
        <w:tcBorders>
          <w:top w:val="single" w:sz="8" w:space="0" w:color="#ADAD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ADAD" w:themeColor="accent3"/>
          <w:insideH w:val="nil"/>
          <w:insideV w:val="nil"/>
        </w:tcBorders>
        <w:shd w:val="clear" w:color="auto" w:fill="FFFFFF" w:themeFill="background1"/>
      </w:tcPr>
    </w:tblStylePr>
    <w:tblStylePr w:type="lastCol">
      <w:tblPr/>
      <w:tcPr>
        <w:tcBorders>
          <w:top w:val="nil"/>
          <w:left w:val="single" w:sz="8" w:space="0" w:color="#ADAD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top w:val="nil"/>
          <w:bottom w:val="nil"/>
          <w:insideH w:val="nil"/>
          <w:insideV w:val="nil"/>
        </w:tcBorders>
        <w:shd w:val="clear" w:color="auto" w:fill="EAEA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tblPr/>
      <w:tcPr>
        <w:tcBorders>
          <w:top w:val="single" w:sz="8" w:space="0" w:color="#6E6E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accent4"/>
          <w:insideH w:val="nil"/>
          <w:insideV w:val="nil"/>
        </w:tcBorders>
        <w:shd w:val="clear" w:color="auto" w:fill="FFFFFF" w:themeFill="background1"/>
      </w:tcPr>
    </w:tblStylePr>
    <w:tblStylePr w:type="lastCol">
      <w:tblPr/>
      <w:tcPr>
        <w:tcBorders>
          <w:top w:val="nil"/>
          <w:left w:val="single" w:sz="8" w:space="0" w:color="#6E6E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top w:val="nil"/>
          <w:bottom w:val="nil"/>
          <w:insideH w:val="nil"/>
          <w:insideV w:val="nil"/>
        </w:tcBorders>
        <w:shd w:val="clear" w:color="auto" w:fill="DBDB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tblPr/>
      <w:tcPr>
        <w:tcBorders>
          <w:top w:val="single" w:sz="8" w:space="0" w:color="#9999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5"/>
          <w:insideH w:val="nil"/>
          <w:insideV w:val="nil"/>
        </w:tcBorders>
        <w:shd w:val="clear" w:color="auto" w:fill="FFFFFF" w:themeFill="background1"/>
      </w:tcPr>
    </w:tblStylePr>
    <w:tblStylePr w:type="lastCol">
      <w:tblPr/>
      <w:tcPr>
        <w:tcBorders>
          <w:top w:val="nil"/>
          <w:left w:val="single" w:sz="8" w:space="0" w:color="#9999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tblPr/>
      <w:tcPr>
        <w:tcBorders>
          <w:top w:val="single" w:sz="8" w:space="0" w:color="#A5A5A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6"/>
          <w:insideH w:val="nil"/>
          <w:insideV w:val="nil"/>
        </w:tcBorders>
        <w:shd w:val="clear" w:color="auto" w:fill="FFFFFF" w:themeFill="background1"/>
      </w:tcPr>
    </w:tblStylePr>
    <w:tblStylePr w:type="lastCol">
      <w:tblPr/>
      <w:tcPr>
        <w:tcBorders>
          <w:top w:val="nil"/>
          <w:left w:val="single" w:sz="8" w:space="0" w:color="#A5A5A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top w:val="nil"/>
          <w:bottom w:val="nil"/>
          <w:insideH w:val="nil"/>
          <w:insideV w:val="nil"/>
        </w:tcBorders>
        <w:shd w:val="clear" w:color="auto" w:fill="E8E8E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insideV w:val="single" w:sz="8" w:space="0" w:color="#9B9B9B" w:themeColor="accent1" w:themeTint="BF"/>
      </w:tblBorders>
      <w:tblCellMar>
        <w:top w:w="0" w:type="dxa"/>
        <w:left w:w="108" w:type="dxa"/>
        <w:bottom w:w="0" w:type="dxa"/>
        <w:right w:w="108" w:type="dxa"/>
      </w:tblCellMar>
    </w:tblPr>
    <w:tcPr>
      <w:shd w:val="clear" w:color="auto" w:fill="DEDEDE" w:themeFill="accent1" w:themeFillTint="3F"/>
    </w:tcPr>
    <w:tblStylePr w:type="firstRow">
      <w:rPr>
        <w:b/>
        <w:bCs/>
      </w:rPr>
    </w:tblStylePr>
    <w:tblStylePr w:type="lastRow">
      <w:rPr>
        <w:b/>
        <w:bCs/>
      </w:rPr>
      <w:tblPr/>
      <w:tcPr>
        <w:tcBorders>
          <w:top w:val="single" w:sz="18" w:space="0" w:color="#9B9B9B" w:themeColor="accent1" w:themeTint="BF"/>
        </w:tcBorders>
      </w:tcPr>
    </w:tblStylePr>
    <w:tblStylePr w:type="firstCol">
      <w:rPr>
        <w:b/>
        <w:bCs/>
      </w:rPr>
    </w:tblStylePr>
    <w:tblStylePr w:type="lastCol">
      <w:rPr>
        <w:b/>
        <w:bCs/>
      </w:r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insideV w:val="single" w:sz="8" w:space="0" w:color="#8D8D8D" w:themeColor="accent2" w:themeTint="BF"/>
      </w:tblBorders>
      <w:tblCellMar>
        <w:top w:w="0" w:type="dxa"/>
        <w:left w:w="108" w:type="dxa"/>
        <w:bottom w:w="0" w:type="dxa"/>
        <w:right w:w="108" w:type="dxa"/>
      </w:tblCellMar>
    </w:tblPr>
    <w:tcPr>
      <w:shd w:val="clear" w:color="auto" w:fill="D9D9D9" w:themeFill="accent2" w:themeFillTint="3F"/>
    </w:tcPr>
    <w:tblStylePr w:type="firstRow">
      <w:rPr>
        <w:b/>
        <w:bCs/>
      </w:rPr>
    </w:tblStylePr>
    <w:tblStylePr w:type="lastRow">
      <w:rPr>
        <w:b/>
        <w:bCs/>
      </w:rPr>
      <w:tblPr/>
      <w:tcPr>
        <w:tcBorders>
          <w:top w:val="single" w:sz="18" w:space="0" w:color="#8D8D8D" w:themeColor="accent2" w:themeTint="BF"/>
        </w:tcBorders>
      </w:tcPr>
    </w:tblStylePr>
    <w:tblStylePr w:type="firstCol">
      <w:rPr>
        <w:b/>
        <w:bCs/>
      </w:rPr>
    </w:tblStylePr>
    <w:tblStylePr w:type="lastCol">
      <w:rPr>
        <w:b/>
        <w:bCs/>
      </w:r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insideV w:val="single" w:sz="8" w:space="0" w:color="#C1C1C1" w:themeColor="accent3" w:themeTint="BF"/>
      </w:tblBorders>
      <w:tblCellMar>
        <w:top w:w="0" w:type="dxa"/>
        <w:left w:w="108" w:type="dxa"/>
        <w:bottom w:w="0" w:type="dxa"/>
        <w:right w:w="108" w:type="dxa"/>
      </w:tblCellMar>
    </w:tblPr>
    <w:tcPr>
      <w:shd w:val="clear" w:color="auto" w:fill="EAEAEA" w:themeFill="accent3" w:themeFillTint="3F"/>
    </w:tcPr>
    <w:tblStylePr w:type="firstRow">
      <w:rPr>
        <w:b/>
        <w:bCs/>
      </w:rPr>
    </w:tblStylePr>
    <w:tblStylePr w:type="lastRow">
      <w:rPr>
        <w:b/>
        <w:bCs/>
      </w:rPr>
      <w:tblPr/>
      <w:tcPr>
        <w:tcBorders>
          <w:top w:val="single" w:sz="18" w:space="0" w:color="#C1C1C1" w:themeColor="accent3" w:themeTint="BF"/>
        </w:tcBorders>
      </w:tcPr>
    </w:tblStylePr>
    <w:tblStylePr w:type="firstCol">
      <w:rPr>
        <w:b/>
        <w:bCs/>
      </w:rPr>
    </w:tblStylePr>
    <w:tblStylePr w:type="lastCol">
      <w:rPr>
        <w:b/>
        <w:bCs/>
      </w:r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insideV w:val="single" w:sz="8" w:space="0" w:color="#929292" w:themeColor="accent4" w:themeTint="BF"/>
      </w:tblBorders>
      <w:tblCellMar>
        <w:top w:w="0" w:type="dxa"/>
        <w:left w:w="108" w:type="dxa"/>
        <w:bottom w:w="0" w:type="dxa"/>
        <w:right w:w="108" w:type="dxa"/>
      </w:tblCellMar>
    </w:tblPr>
    <w:tcPr>
      <w:shd w:val="clear" w:color="auto" w:fill="DBDBDB" w:themeFill="accent4" w:themeFillTint="3F"/>
    </w:tcPr>
    <w:tblStylePr w:type="firstRow">
      <w:rPr>
        <w:b/>
        <w:bCs/>
      </w:rPr>
    </w:tblStylePr>
    <w:tblStylePr w:type="lastRow">
      <w:rPr>
        <w:b/>
        <w:bCs/>
      </w:rPr>
      <w:tblPr/>
      <w:tcPr>
        <w:tcBorders>
          <w:top w:val="single" w:sz="18" w:space="0" w:color="#929292" w:themeColor="accent4" w:themeTint="BF"/>
        </w:tcBorders>
      </w:tcPr>
    </w:tblStylePr>
    <w:tblStylePr w:type="firstCol">
      <w:rPr>
        <w:b/>
        <w:bCs/>
      </w:rPr>
    </w:tblStylePr>
    <w:tblStylePr w:type="lastCol">
      <w:rPr>
        <w:b/>
        <w:bCs/>
      </w:r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insideV w:val="single" w:sz="8" w:space="0" w:color="#B2B2B2" w:themeColor="accent5" w:themeTint="BF"/>
      </w:tblBorders>
      <w:tblCellMar>
        <w:top w:w="0" w:type="dxa"/>
        <w:left w:w="108" w:type="dxa"/>
        <w:bottom w:w="0" w:type="dxa"/>
        <w:right w:w="108" w:type="dxa"/>
      </w:tblCellMar>
    </w:tblPr>
    <w:tcPr>
      <w:shd w:val="clear" w:color="auto" w:fill="E5E5E5" w:themeFill="accent5" w:themeFillTint="3F"/>
    </w:tcPr>
    <w:tblStylePr w:type="firstRow">
      <w:rPr>
        <w:b/>
        <w:bCs/>
      </w:rPr>
    </w:tblStylePr>
    <w:tblStylePr w:type="lastRow">
      <w:rPr>
        <w:b/>
        <w:bCs/>
      </w:rPr>
      <w:tblPr/>
      <w:tcPr>
        <w:tcBorders>
          <w:top w:val="single" w:sz="18" w:space="0" w:color="#B2B2B2" w:themeColor="accent5" w:themeTint="BF"/>
        </w:tcBorders>
      </w:tcPr>
    </w:tblStylePr>
    <w:tblStylePr w:type="firstCol">
      <w:rPr>
        <w:b/>
        <w:bCs/>
      </w:rPr>
    </w:tblStylePr>
    <w:tblStylePr w:type="lastCol">
      <w:rPr>
        <w:b/>
        <w:bCs/>
      </w:r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insideV w:val="single" w:sz="8" w:space="0" w:color="#BBBBBB" w:themeColor="accent6" w:themeTint="BF"/>
      </w:tblBorders>
      <w:tblCellMar>
        <w:top w:w="0" w:type="dxa"/>
        <w:left w:w="108" w:type="dxa"/>
        <w:bottom w:w="0" w:type="dxa"/>
        <w:right w:w="108" w:type="dxa"/>
      </w:tblCellMar>
    </w:tblPr>
    <w:tcPr>
      <w:shd w:val="clear" w:color="auto" w:fill="E8E8E8" w:themeFill="accent6" w:themeFillTint="3F"/>
    </w:tcPr>
    <w:tblStylePr w:type="firstRow">
      <w:rPr>
        <w:b/>
        <w:bCs/>
      </w:rPr>
    </w:tblStylePr>
    <w:tblStylePr w:type="lastRow">
      <w:rPr>
        <w:b/>
        <w:bCs/>
      </w:rPr>
      <w:tblPr/>
      <w:tcPr>
        <w:tcBorders>
          <w:top w:val="single" w:sz="18" w:space="0" w:color="#BBBBBB" w:themeColor="accent6" w:themeTint="BF"/>
        </w:tcBorders>
      </w:tcPr>
    </w:tblStylePr>
    <w:tblStylePr w:type="firstCol">
      <w:rPr>
        <w:b/>
        <w:bCs/>
      </w:rPr>
    </w:tblStylePr>
    <w:tblStylePr w:type="lastCol">
      <w:rPr>
        <w:b/>
        <w:bCs/>
      </w:r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cPr>
      <w:shd w:val="clear" w:color="auto" w:fill="DEDEDE" w:themeFill="accent1" w:themeFillTint="3F"/>
    </w:tcPr>
    <w:tblStylePr w:type="firstRow">
      <w:rPr>
        <w:b/>
        <w:bCs/>
        <w:color w:val="000000" w:themeColor="text1"/>
      </w:rPr>
      <w:tblPr/>
      <w:tcPr>
        <w:shd w:val="clear" w:color="auto" w:fill="F1F1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4E4" w:themeFill="accent1" w:themeFillTint="33"/>
      </w:tcPr>
    </w:tblStylePr>
    <w:tblStylePr w:type="band1Vert">
      <w:tblPr/>
      <w:tcPr>
        <w:shd w:val="clear" w:color="auto" w:fill="BCBCBC" w:themeFill="accent1" w:themeFillTint="7F"/>
      </w:tcPr>
    </w:tblStylePr>
    <w:tblStylePr w:type="band1Horz">
      <w:tblPr/>
      <w:tcPr>
        <w:tcBorders>
          <w:insideH w:val="single" w:sz="6" w:space="0" w:color="#7B7B7B" w:themeColor="accent1"/>
          <w:insideV w:val="single" w:sz="6" w:space="0" w:color="#7B7B7B" w:themeColor="accent1"/>
        </w:tcBorders>
        <w:shd w:val="clear" w:color="auto" w:fill="BCBCB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cPr>
      <w:shd w:val="clear" w:color="auto" w:fill="D9D9D9" w:themeFill="accent2" w:themeFillTint="3F"/>
    </w:tcPr>
    <w:tblStylePr w:type="firstRow">
      <w:rPr>
        <w:b/>
        <w:bCs/>
        <w:color w:val="000000" w:themeColor="text1"/>
      </w:rPr>
      <w:tblPr/>
      <w:tcPr>
        <w:shd w:val="clear" w:color="auto" w:fill="EFEF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2" w:themeFillTint="33"/>
      </w:tcPr>
    </w:tblStylePr>
    <w:tblStylePr w:type="band1Vert">
      <w:tblPr/>
      <w:tcPr>
        <w:shd w:val="clear" w:color="auto" w:fill="B3B3B3" w:themeFill="accent2" w:themeFillTint="7F"/>
      </w:tcPr>
    </w:tblStylePr>
    <w:tblStylePr w:type="band1Horz">
      <w:tblPr/>
      <w:tcPr>
        <w:tcBorders>
          <w:insideH w:val="single" w:sz="6" w:space="0" w:color="#686868" w:themeColor="accent2"/>
          <w:insideV w:val="single" w:sz="6" w:space="0" w:color="#686868" w:themeColor="accent2"/>
        </w:tcBorders>
        <w:shd w:val="clear" w:color="auto" w:fill="B3B3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cPr>
      <w:shd w:val="clear" w:color="auto" w:fill="EAEAEA" w:themeFill="accent3" w:themeFillTint="3F"/>
    </w:tcPr>
    <w:tblStylePr w:type="firstRow">
      <w:rPr>
        <w:b/>
        <w:bCs/>
        <w:color w:val="000000" w:themeColor="text1"/>
      </w:rPr>
      <w:tblPr/>
      <w:tcPr>
        <w:shd w:val="clear" w:color="auto" w:fill="F7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EEE" w:themeFill="accent3" w:themeFillTint="33"/>
      </w:tcPr>
    </w:tblStylePr>
    <w:tblStylePr w:type="band1Vert">
      <w:tblPr/>
      <w:tcPr>
        <w:shd w:val="clear" w:color="auto" w:fill="D6D6D6" w:themeFill="accent3" w:themeFillTint="7F"/>
      </w:tcPr>
    </w:tblStylePr>
    <w:tblStylePr w:type="band1Horz">
      <w:tblPr/>
      <w:tcPr>
        <w:tcBorders>
          <w:insideH w:val="single" w:sz="6" w:space="0" w:color="#ADADAD" w:themeColor="accent3"/>
          <w:insideV w:val="single" w:sz="6" w:space="0" w:color="#ADADAD" w:themeColor="accent3"/>
        </w:tcBorders>
        <w:shd w:val="clear" w:color="auto" w:fill="D6D6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cPr>
      <w:shd w:val="clear" w:color="auto" w:fill="DBDBDB" w:themeFill="accent4" w:themeFillTint="3F"/>
    </w:tcPr>
    <w:tblStylePr w:type="firstRow">
      <w:rPr>
        <w:b/>
        <w:bCs/>
        <w:color w:val="000000" w:themeColor="text1"/>
      </w:rPr>
      <w:tblPr/>
      <w:tcPr>
        <w:shd w:val="clear" w:color="auto" w:fill="F0F0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1" w:themeFill="accent4" w:themeFillTint="33"/>
      </w:tcPr>
    </w:tblStylePr>
    <w:tblStylePr w:type="band1Vert">
      <w:tblPr/>
      <w:tcPr>
        <w:shd w:val="clear" w:color="auto" w:fill="B6B6B6" w:themeFill="accent4" w:themeFillTint="7F"/>
      </w:tcPr>
    </w:tblStylePr>
    <w:tblStylePr w:type="band1Horz">
      <w:tblPr/>
      <w:tcPr>
        <w:tcBorders>
          <w:insideH w:val="single" w:sz="6" w:space="0" w:color="#6E6E6E" w:themeColor="accent4"/>
          <w:insideV w:val="single" w:sz="6" w:space="0" w:color="#6E6E6E" w:themeColor="accent4"/>
        </w:tcBorders>
        <w:shd w:val="clear" w:color="auto" w:fill="B6B6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CCCCC" w:themeFill="accent5" w:themeFillTint="7F"/>
      </w:tcPr>
    </w:tblStylePr>
    <w:tblStylePr w:type="band1Horz">
      <w:tblPr/>
      <w:tcPr>
        <w:tcBorders>
          <w:insideH w:val="single" w:sz="6" w:space="0" w:color="#999999" w:themeColor="accent5"/>
          <w:insideV w:val="single" w:sz="6" w:space="0" w:color="#999999" w:themeColor="accent5"/>
        </w:tcBorders>
        <w:shd w:val="clear" w:color="auto" w:fill="CCCC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cPr>
      <w:shd w:val="clear" w:color="auto" w:fill="E8E8E8" w:themeFill="accent6" w:themeFillTint="3F"/>
    </w:tcPr>
    <w:tblStylePr w:type="firstRow">
      <w:rPr>
        <w:b/>
        <w:bCs/>
        <w:color w:val="000000" w:themeColor="text1"/>
      </w:rPr>
      <w:tblPr/>
      <w:tcPr>
        <w:shd w:val="clear" w:color="auto" w:fill="F6F6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6" w:themeFillTint="33"/>
      </w:tcPr>
    </w:tblStylePr>
    <w:tblStylePr w:type="band1Vert">
      <w:tblPr/>
      <w:tcPr>
        <w:shd w:val="clear" w:color="auto" w:fill="D2D2D2" w:themeFill="accent6" w:themeFillTint="7F"/>
      </w:tcPr>
    </w:tblStylePr>
    <w:tblStylePr w:type="band1Horz">
      <w:tblPr/>
      <w:tcPr>
        <w:tcBorders>
          <w:insideH w:val="single" w:sz="6" w:space="0" w:color="#A5A5A5" w:themeColor="accent6"/>
          <w:insideV w:val="single" w:sz="6" w:space="0" w:color="#A5A5A5" w:themeColor="accent6"/>
        </w:tcBorders>
        <w:shd w:val="clear" w:color="auto" w:fill="D2D2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DED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7B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7B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CB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CBC"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D9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686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686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B3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B3B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AEA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AD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AD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D6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D6D6"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DB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B7B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C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A5A5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A5A5A" w:themeFill="accent1" w:themeFillShade="BF"/>
      </w:tcPr>
    </w:tblStylePr>
    <w:tblStylePr w:type="band1Vert">
      <w:tblPr/>
      <w:tcPr>
        <w:tcBorders>
          <w:top w:val="nil"/>
          <w:left w:val="nil"/>
          <w:bottom w:val="nil"/>
          <w:right w:val="nil"/>
          <w:insideH w:val="nil"/>
          <w:insideV w:val="nil"/>
        </w:tcBorders>
        <w:shd w:val="clear" w:color="auto" w:fill="5A5A5A" w:themeFill="accent1" w:themeFillShade="BF"/>
      </w:tcPr>
    </w:tblStylePr>
    <w:tblStylePr w:type="band1Horz">
      <w:tblPr/>
      <w:tcPr>
        <w:tcBorders>
          <w:top w:val="nil"/>
          <w:left w:val="nil"/>
          <w:bottom w:val="nil"/>
          <w:right w:val="nil"/>
          <w:insideH w:val="nil"/>
          <w:insideV w:val="nil"/>
        </w:tcBorders>
        <w:shd w:val="clear" w:color="auto" w:fill="5A5A5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8686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2" w:themeFillShade="BF"/>
      </w:tcPr>
    </w:tblStylePr>
    <w:tblStylePr w:type="band1Vert">
      <w:tblPr/>
      <w:tcPr>
        <w:tcBorders>
          <w:top w:val="nil"/>
          <w:left w:val="nil"/>
          <w:bottom w:val="nil"/>
          <w:right w:val="nil"/>
          <w:insideH w:val="nil"/>
          <w:insideV w:val="nil"/>
        </w:tcBorders>
        <w:shd w:val="clear" w:color="auto" w:fill="4A4A4A" w:themeFill="accent2" w:themeFillShade="BF"/>
      </w:tcPr>
    </w:tblStylePr>
    <w:tblStylePr w:type="band1Horz">
      <w:tblPr/>
      <w:tcPr>
        <w:tcBorders>
          <w:top w:val="nil"/>
          <w:left w:val="nil"/>
          <w:bottom w:val="nil"/>
          <w:right w:val="nil"/>
          <w:insideH w:val="nil"/>
          <w:insideV w:val="nil"/>
        </w:tcBorders>
        <w:shd w:val="clear" w:color="auto" w:fill="4A4A4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DAD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3" w:themeFillShade="BF"/>
      </w:tcPr>
    </w:tblStylePr>
    <w:tblStylePr w:type="band1Vert">
      <w:tblPr/>
      <w:tcPr>
        <w:tcBorders>
          <w:top w:val="nil"/>
          <w:left w:val="nil"/>
          <w:bottom w:val="nil"/>
          <w:right w:val="nil"/>
          <w:insideH w:val="nil"/>
          <w:insideV w:val="nil"/>
        </w:tcBorders>
        <w:shd w:val="clear" w:color="auto" w:fill="868686" w:themeFill="accent3" w:themeFillShade="BF"/>
      </w:tcPr>
    </w:tblStylePr>
    <w:tblStylePr w:type="band1Horz">
      <w:tblPr/>
      <w:tcPr>
        <w:tcBorders>
          <w:top w:val="nil"/>
          <w:left w:val="nil"/>
          <w:bottom w:val="nil"/>
          <w:right w:val="nil"/>
          <w:insideH w:val="nil"/>
          <w:insideV w:val="nil"/>
        </w:tcBorders>
        <w:shd w:val="clear" w:color="auto" w:fill="868686"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6E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151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15151" w:themeFill="accent4" w:themeFillShade="BF"/>
      </w:tcPr>
    </w:tblStylePr>
    <w:tblStylePr w:type="band1Vert">
      <w:tblPr/>
      <w:tcPr>
        <w:tcBorders>
          <w:top w:val="nil"/>
          <w:left w:val="nil"/>
          <w:bottom w:val="nil"/>
          <w:right w:val="nil"/>
          <w:insideH w:val="nil"/>
          <w:insideV w:val="nil"/>
        </w:tcBorders>
        <w:shd w:val="clear" w:color="auto" w:fill="515151" w:themeFill="accent4" w:themeFillShade="BF"/>
      </w:tcPr>
    </w:tblStylePr>
    <w:tblStylePr w:type="band1Horz">
      <w:tblPr/>
      <w:tcPr>
        <w:tcBorders>
          <w:top w:val="nil"/>
          <w:left w:val="nil"/>
          <w:bottom w:val="nil"/>
          <w:right w:val="nil"/>
          <w:insideH w:val="nil"/>
          <w:insideV w:val="nil"/>
        </w:tcBorders>
        <w:shd w:val="clear" w:color="auto" w:fill="515151"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9999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4D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74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7474" w:themeFill="accent5" w:themeFillShade="BF"/>
      </w:tcPr>
    </w:tblStylePr>
    <w:tblStylePr w:type="band1Vert">
      <w:tblPr/>
      <w:tcPr>
        <w:tcBorders>
          <w:top w:val="nil"/>
          <w:left w:val="nil"/>
          <w:bottom w:val="nil"/>
          <w:right w:val="nil"/>
          <w:insideH w:val="nil"/>
          <w:insideV w:val="nil"/>
        </w:tcBorders>
        <w:shd w:val="clear" w:color="auto" w:fill="747474" w:themeFill="accent5" w:themeFillShade="BF"/>
      </w:tcPr>
    </w:tblStylePr>
    <w:tblStylePr w:type="band1Horz">
      <w:tblPr/>
      <w:tcPr>
        <w:tcBorders>
          <w:top w:val="nil"/>
          <w:left w:val="nil"/>
          <w:bottom w:val="nil"/>
          <w:right w:val="nil"/>
          <w:insideH w:val="nil"/>
          <w:insideV w:val="nil"/>
        </w:tcBorders>
        <w:shd w:val="clear" w:color="auto" w:fill="747474"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535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7E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7E7E" w:themeFill="accent6" w:themeFillShade="BF"/>
      </w:tcPr>
    </w:tblStylePr>
    <w:tblStylePr w:type="band1Vert">
      <w:tblPr/>
      <w:tcPr>
        <w:tcBorders>
          <w:top w:val="nil"/>
          <w:left w:val="nil"/>
          <w:bottom w:val="nil"/>
          <w:right w:val="nil"/>
          <w:insideH w:val="nil"/>
          <w:insideV w:val="nil"/>
        </w:tcBorders>
        <w:shd w:val="clear" w:color="auto" w:fill="7E7E7E" w:themeFill="accent6" w:themeFillShade="BF"/>
      </w:tcPr>
    </w:tblStylePr>
    <w:tblStylePr w:type="band1Horz">
      <w:tblPr/>
      <w:tcPr>
        <w:tcBorders>
          <w:top w:val="nil"/>
          <w:left w:val="nil"/>
          <w:bottom w:val="nil"/>
          <w:right w:val="nil"/>
          <w:insideH w:val="nil"/>
          <w:insideV w:val="nil"/>
        </w:tcBorders>
        <w:shd w:val="clear" w:color="auto" w:fill="7E7E7E"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7B7B7B" w:themeColor="accent1"/>
        <w:bottom w:val="single" w:sz="4" w:space="0" w:color="#7B7B7B" w:themeColor="accent1"/>
        <w:right w:val="single" w:sz="4" w:space="0" w:color="#7B7B7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1F1" w:themeFill="accen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848" w:themeFill="accent1" w:themeFillShade="99"/>
      </w:tcPr>
    </w:tblStylePr>
    <w:tblStylePr w:type="firstCol">
      <w:rPr>
        <w:color w:val="FFFFFF" w:themeColor="background1"/>
      </w:rPr>
      <w:tblPr/>
      <w:tcPr>
        <w:tcBorders>
          <w:top w:val="nil"/>
          <w:left w:val="nil"/>
          <w:bottom w:val="nil"/>
          <w:right w:val="nil"/>
          <w:insideH w:val="single" w:sz="4" w:space="0" w:color="#484848" w:themeColor="accent1" w:themeShade="99"/>
          <w:insideV w:val="nil"/>
        </w:tcBorders>
        <w:shd w:val="clear" w:color="auto" w:fill="48484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84848"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686868" w:themeColor="accent2"/>
        <w:bottom w:val="single" w:sz="4" w:space="0" w:color="#686868" w:themeColor="accent2"/>
        <w:right w:val="single" w:sz="4" w:space="0" w:color="#686868"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2"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3C3C" w:themeFill="accent2" w:themeFillShade="99"/>
      </w:tcPr>
    </w:tblStylePr>
    <w:tblStylePr w:type="firstCol">
      <w:rPr>
        <w:color w:val="FFFFFF" w:themeColor="background1"/>
      </w:rPr>
      <w:tblPr/>
      <w:tcPr>
        <w:tcBorders>
          <w:top w:val="nil"/>
          <w:left w:val="nil"/>
          <w:bottom w:val="nil"/>
          <w:right w:val="nil"/>
          <w:insideH w:val="single" w:sz="4" w:space="0" w:color="#3C3C3C" w:themeColor="accent2" w:themeShade="99"/>
          <w:insideV w:val="nil"/>
        </w:tcBorders>
        <w:shd w:val="clear" w:color="auto" w:fill="3C3C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3C3C" w:themeFill="accent2" w:themeFillShade="99"/>
      </w:tcPr>
    </w:tblStylePr>
    <w:tblStylePr w:type="band1Vert">
      <w:tblPr/>
      <w:tcPr>
        <w:shd w:val="clear" w:color="auto" w:fill="C1C1C1" w:themeFill="accent2" w:themeFillTint="66"/>
      </w:tcPr>
    </w:tblStylePr>
    <w:tblStylePr w:type="band1Horz">
      <w:tblPr/>
      <w:tcPr>
        <w:shd w:val="clear" w:color="auto" w:fill="B3B3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E6E6E" w:themeColor="accent4"/>
        <w:left w:val="single" w:sz="4" w:space="0" w:color="#ADADAD" w:themeColor="accent3"/>
        <w:bottom w:val="single" w:sz="4" w:space="0" w:color="#ADADAD" w:themeColor="accent3"/>
        <w:right w:val="single" w:sz="4" w:space="0" w:color="#ADADAD"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7F7" w:themeFill="accent3" w:themeFillTint="19"/>
    </w:tcPr>
    <w:tblStylePr w:type="firstRow">
      <w:rPr>
        <w:b/>
        <w:bCs/>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3" w:themeFillShade="99"/>
      </w:tcPr>
    </w:tblStylePr>
    <w:tblStylePr w:type="firstCol">
      <w:rPr>
        <w:color w:val="FFFFFF" w:themeColor="background1"/>
      </w:rPr>
      <w:tblPr/>
      <w:tcPr>
        <w:tcBorders>
          <w:top w:val="nil"/>
          <w:left w:val="nil"/>
          <w:bottom w:val="nil"/>
          <w:right w:val="nil"/>
          <w:insideH w:val="single" w:sz="4" w:space="0" w:color="#6B6B6B" w:themeColor="accent3" w:themeShade="99"/>
          <w:insideV w:val="nil"/>
        </w:tcBorders>
        <w:shd w:val="clear" w:color="auto" w:fill="6B6B6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3" w:themeFillShade="99"/>
      </w:tcPr>
    </w:tblStylePr>
    <w:tblStylePr w:type="band1Vert">
      <w:tblPr/>
      <w:tcPr>
        <w:shd w:val="clear" w:color="auto" w:fill="DDDDDD" w:themeFill="accent3" w:themeFillTint="66"/>
      </w:tcPr>
    </w:tblStylePr>
    <w:tblStylePr w:type="band1Horz">
      <w:tblPr/>
      <w:tcPr>
        <w:shd w:val="clear" w:color="auto" w:fill="D6D6D6"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DADAD" w:themeColor="accent3"/>
        <w:left w:val="single" w:sz="4" w:space="0" w:color="#6E6E6E" w:themeColor="accent4"/>
        <w:bottom w:val="single" w:sz="4" w:space="0" w:color="#6E6E6E" w:themeColor="accent4"/>
        <w:right w:val="single" w:sz="4" w:space="0" w:color="#6E6E6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0F0" w:themeFill="accent4" w:themeFillTint="19"/>
    </w:tcPr>
    <w:tblStylePr w:type="firstRow">
      <w:rPr>
        <w:b/>
        <w:bCs/>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4141" w:themeFill="accent4" w:themeFillShade="99"/>
      </w:tcPr>
    </w:tblStylePr>
    <w:tblStylePr w:type="firstCol">
      <w:rPr>
        <w:color w:val="FFFFFF" w:themeColor="background1"/>
      </w:rPr>
      <w:tblPr/>
      <w:tcPr>
        <w:tcBorders>
          <w:top w:val="nil"/>
          <w:left w:val="nil"/>
          <w:bottom w:val="nil"/>
          <w:right w:val="nil"/>
          <w:insideH w:val="single" w:sz="4" w:space="0" w:color="#414141" w:themeColor="accent4" w:themeShade="99"/>
          <w:insideV w:val="nil"/>
        </w:tcBorders>
        <w:shd w:val="clear" w:color="auto" w:fill="414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14141" w:themeFill="accent4" w:themeFillShade="99"/>
      </w:tcPr>
    </w:tblStylePr>
    <w:tblStylePr w:type="band1Vert">
      <w:tblPr/>
      <w:tcPr>
        <w:shd w:val="clear" w:color="auto" w:fill="C4C4C4" w:themeFill="accent4" w:themeFillTint="66"/>
      </w:tcPr>
    </w:tblStylePr>
    <w:tblStylePr w:type="band1Horz">
      <w:tblPr/>
      <w:tcPr>
        <w:shd w:val="clear" w:color="auto" w:fill="B6B6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A5A5" w:themeColor="accent6"/>
        <w:left w:val="single" w:sz="4" w:space="0" w:color="#999999" w:themeColor="accent5"/>
        <w:bottom w:val="single" w:sz="4" w:space="0" w:color="#999999" w:themeColor="accent5"/>
        <w:right w:val="single" w:sz="4" w:space="0" w:color="#999999"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5D5D" w:themeFill="accent5" w:themeFillShade="99"/>
      </w:tcPr>
    </w:tblStylePr>
    <w:tblStylePr w:type="firstCol">
      <w:rPr>
        <w:color w:val="FFFFFF" w:themeColor="background1"/>
      </w:rPr>
      <w:tblPr/>
      <w:tcPr>
        <w:tcBorders>
          <w:top w:val="nil"/>
          <w:left w:val="nil"/>
          <w:bottom w:val="nil"/>
          <w:right w:val="nil"/>
          <w:insideH w:val="single" w:sz="4" w:space="0" w:color="#5D5D5D" w:themeColor="accent5" w:themeShade="99"/>
          <w:insideV w:val="nil"/>
        </w:tcBorders>
        <w:shd w:val="clear" w:color="auto" w:fill="5D5D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5D5D" w:themeFill="accent5" w:themeFillShade="99"/>
      </w:tcPr>
    </w:tblStylePr>
    <w:tblStylePr w:type="band1Vert">
      <w:tblPr/>
      <w:tcPr>
        <w:shd w:val="clear" w:color="auto" w:fill="D6D6D6" w:themeFill="accent5" w:themeFillTint="66"/>
      </w:tcPr>
    </w:tblStylePr>
    <w:tblStylePr w:type="band1Horz">
      <w:tblPr/>
      <w:tcPr>
        <w:shd w:val="clear" w:color="auto" w:fill="CCCC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99999" w:themeColor="accent5"/>
        <w:left w:val="single" w:sz="4" w:space="0" w:color="#A5A5A5" w:themeColor="accent6"/>
        <w:bottom w:val="single" w:sz="4" w:space="0" w:color="#A5A5A5" w:themeColor="accent6"/>
        <w:right w:val="single" w:sz="4" w:space="0" w:color="#A5A5A5"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6" w:themeFillTint="19"/>
    </w:tcPr>
    <w:tblStylePr w:type="firstRow">
      <w:rPr>
        <w:b/>
        <w:bCs/>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6565" w:themeFill="accent6" w:themeFillShade="99"/>
      </w:tcPr>
    </w:tblStylePr>
    <w:tblStylePr w:type="firstCol">
      <w:rPr>
        <w:color w:val="FFFFFF" w:themeColor="background1"/>
      </w:rPr>
      <w:tblPr/>
      <w:tcPr>
        <w:tcBorders>
          <w:top w:val="nil"/>
          <w:left w:val="nil"/>
          <w:bottom w:val="nil"/>
          <w:right w:val="nil"/>
          <w:insideH w:val="single" w:sz="4" w:space="0" w:color="#656565" w:themeColor="accent6" w:themeShade="99"/>
          <w:insideV w:val="nil"/>
        </w:tcBorders>
        <w:shd w:val="clear" w:color="auto" w:fill="65656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6565" w:themeFill="accent6" w:themeFillShade="99"/>
      </w:tcPr>
    </w:tblStylePr>
    <w:tblStylePr w:type="band1Vert">
      <w:tblPr/>
      <w:tcPr>
        <w:shd w:val="clear" w:color="auto" w:fill="DADADA" w:themeFill="accent6" w:themeFillTint="66"/>
      </w:tcPr>
    </w:tblStylePr>
    <w:tblStylePr w:type="band1Horz">
      <w:tblPr/>
      <w:tcPr>
        <w:shd w:val="clear" w:color="auto" w:fill="D2D2D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1F1" w:themeFill="accen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1" w:themeFillTint="3F"/>
      </w:tcPr>
    </w:tblStylePr>
    <w:tblStylePr w:type="band1Horz">
      <w:tblPr/>
      <w:tcPr>
        <w:shd w:val="clear" w:color="auto" w:fill="E4E4E4"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2"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2" w:themeFillTint="3F"/>
      </w:tcPr>
    </w:tblStylePr>
    <w:tblStylePr w:type="band1Horz">
      <w:tblPr/>
      <w:tcPr>
        <w:shd w:val="clear" w:color="auto" w:fill="E0E0E0"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3" w:themeFillTint="19"/>
    </w:tcPr>
    <w:tblStylePr w:type="firstRow">
      <w:rPr>
        <w:b/>
        <w:bCs/>
        <w:color w:val="FFFFFF" w:themeColor="background1"/>
      </w:rPr>
      <w:tblPr/>
      <w:tcPr>
        <w:tcBorders>
          <w:bottom w:val="single" w:sz="12" w:space="0" w:color="#FFFFFF" w:themeColor="background1"/>
        </w:tcBorders>
        <w:shd w:val="clear" w:color="auto" w:fill="575757"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AEA" w:themeFill="accent3" w:themeFillTint="3F"/>
      </w:tcPr>
    </w:tblStylePr>
    <w:tblStylePr w:type="band1Horz">
      <w:tblPr/>
      <w:tcPr>
        <w:shd w:val="clear" w:color="auto" w:fill="EEEEEE"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8F8F8F"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4" w:themeFillTint="3F"/>
      </w:tcPr>
    </w:tblStylePr>
    <w:tblStylePr w:type="band1Horz">
      <w:tblPr/>
      <w:tcPr>
        <w:shd w:val="clear" w:color="auto" w:fill="E1E1E1"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868686"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6" w:themeFillTint="19"/>
    </w:tcPr>
    <w:tblStylePr w:type="firstRow">
      <w:rPr>
        <w:b/>
        <w:bCs/>
        <w:color w:val="FFFFFF" w:themeColor="background1"/>
      </w:rPr>
      <w:tblPr/>
      <w:tcPr>
        <w:tcBorders>
          <w:bottom w:val="single" w:sz="12" w:space="0" w:color="#FFFFFF" w:themeColor="background1"/>
        </w:tcBorders>
        <w:shd w:val="clear" w:color="auto" w:fill="7C7C7C"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6" w:themeFillTint="3F"/>
      </w:tcPr>
    </w:tblStylePr>
    <w:tblStylePr w:type="band1Horz">
      <w:tblPr/>
      <w:tcPr>
        <w:shd w:val="clear" w:color="auto" w:fill="ECECE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4E4E4" w:themeFill="accent1" w:themeFillTint="33"/>
    </w:tcPr>
    <w:tblStylePr w:type="firstRow">
      <w:rPr>
        <w:b/>
        <w:bCs/>
      </w:rPr>
      <w:tblPr/>
      <w:tcPr>
        <w:shd w:val="clear" w:color="auto" w:fill="C9C9C9" w:themeFill="accent1" w:themeFillTint="66"/>
      </w:tcPr>
    </w:tblStylePr>
    <w:tblStylePr w:type="lastRow">
      <w:rPr>
        <w:b/>
        <w:bCs/>
        <w:color w:val="000000" w:themeColor="text1"/>
      </w:rPr>
      <w:tblPr/>
      <w:tcPr>
        <w:shd w:val="clear" w:color="auto" w:fill="C9C9C9" w:themeFill="accent1" w:themeFillTint="66"/>
      </w:tcPr>
    </w:tblStylePr>
    <w:tblStylePr w:type="firstCol">
      <w:rPr>
        <w:color w:val="FFFFFF" w:themeColor="background1"/>
      </w:rPr>
      <w:tblPr/>
      <w:tcPr>
        <w:shd w:val="clear" w:color="auto" w:fill="5A5A5A" w:themeFill="accent1" w:themeFillShade="BF"/>
      </w:tcPr>
    </w:tblStylePr>
    <w:tblStylePr w:type="lastCol">
      <w:rPr>
        <w:color w:val="FFFFFF" w:themeColor="background1"/>
      </w:rPr>
      <w:tblPr/>
      <w:tcPr>
        <w:shd w:val="clear" w:color="auto" w:fill="5A5A5A" w:themeFill="accent1" w:themeFillShade="BF"/>
      </w:tc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0E0E0" w:themeFill="accent2" w:themeFillTint="33"/>
    </w:tcPr>
    <w:tblStylePr w:type="firstRow">
      <w:rPr>
        <w:b/>
        <w:bCs/>
      </w:rPr>
      <w:tblPr/>
      <w:tcPr>
        <w:shd w:val="clear" w:color="auto" w:fill="C1C1C1" w:themeFill="accent2" w:themeFillTint="66"/>
      </w:tcPr>
    </w:tblStylePr>
    <w:tblStylePr w:type="lastRow">
      <w:rPr>
        <w:b/>
        <w:bCs/>
        <w:color w:val="000000" w:themeColor="text1"/>
      </w:rPr>
      <w:tblPr/>
      <w:tcPr>
        <w:shd w:val="clear" w:color="auto" w:fill="C1C1C1" w:themeFill="accent2" w:themeFillTint="66"/>
      </w:tcPr>
    </w:tblStylePr>
    <w:tblStylePr w:type="firstCol">
      <w:rPr>
        <w:color w:val="FFFFFF" w:themeColor="background1"/>
      </w:rPr>
      <w:tblPr/>
      <w:tcPr>
        <w:shd w:val="clear" w:color="auto" w:fill="4A4A4A" w:themeFill="accent2" w:themeFillShade="BF"/>
      </w:tcPr>
    </w:tblStylePr>
    <w:tblStylePr w:type="lastCol">
      <w:rPr>
        <w:color w:val="FFFFFF" w:themeColor="background1"/>
      </w:rPr>
      <w:tblPr/>
      <w:tcPr>
        <w:shd w:val="clear" w:color="auto" w:fill="4A4A4A" w:themeFill="accent2" w:themeFillShade="BF"/>
      </w:tc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EEEEE" w:themeFill="accent3" w:themeFillTint="33"/>
    </w:tcPr>
    <w:tblStylePr w:type="firstRow">
      <w:rPr>
        <w:b/>
        <w:bCs/>
      </w:rPr>
      <w:tblPr/>
      <w:tcPr>
        <w:shd w:val="clear" w:color="auto" w:fill="DDDDDD" w:themeFill="accent3" w:themeFillTint="66"/>
      </w:tcPr>
    </w:tblStylePr>
    <w:tblStylePr w:type="lastRow">
      <w:rPr>
        <w:b/>
        <w:bCs/>
        <w:color w:val="000000" w:themeColor="text1"/>
      </w:rPr>
      <w:tblPr/>
      <w:tcPr>
        <w:shd w:val="clear" w:color="auto" w:fill="DDDDDD" w:themeFill="accent3" w:themeFillTint="66"/>
      </w:tcPr>
    </w:tblStylePr>
    <w:tblStylePr w:type="firstCol">
      <w:rPr>
        <w:color w:val="FFFFFF" w:themeColor="background1"/>
      </w:rPr>
      <w:tblPr/>
      <w:tcPr>
        <w:shd w:val="clear" w:color="auto" w:fill="868686" w:themeFill="accent3" w:themeFillShade="BF"/>
      </w:tcPr>
    </w:tblStylePr>
    <w:tblStylePr w:type="lastCol">
      <w:rPr>
        <w:color w:val="FFFFFF" w:themeColor="background1"/>
      </w:rPr>
      <w:tblPr/>
      <w:tcPr>
        <w:shd w:val="clear" w:color="auto" w:fill="868686" w:themeFill="accent3" w:themeFillShade="BF"/>
      </w:tc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1E1" w:themeFill="accent4" w:themeFillTint="33"/>
    </w:tcPr>
    <w:tblStylePr w:type="firstRow">
      <w:rPr>
        <w:b/>
        <w:bCs/>
      </w:rPr>
      <w:tblPr/>
      <w:tcPr>
        <w:shd w:val="clear" w:color="auto" w:fill="C4C4C4" w:themeFill="accent4" w:themeFillTint="66"/>
      </w:tcPr>
    </w:tblStylePr>
    <w:tblStylePr w:type="lastRow">
      <w:rPr>
        <w:b/>
        <w:bCs/>
        <w:color w:val="000000" w:themeColor="text1"/>
      </w:rPr>
      <w:tblPr/>
      <w:tcPr>
        <w:shd w:val="clear" w:color="auto" w:fill="C4C4C4" w:themeFill="accent4" w:themeFillTint="66"/>
      </w:tcPr>
    </w:tblStylePr>
    <w:tblStylePr w:type="firstCol">
      <w:rPr>
        <w:color w:val="FFFFFF" w:themeColor="background1"/>
      </w:rPr>
      <w:tblPr/>
      <w:tcPr>
        <w:shd w:val="clear" w:color="auto" w:fill="515151" w:themeFill="accent4" w:themeFillShade="BF"/>
      </w:tcPr>
    </w:tblStylePr>
    <w:tblStylePr w:type="lastCol">
      <w:rPr>
        <w:color w:val="FFFFFF" w:themeColor="background1"/>
      </w:rPr>
      <w:tblPr/>
      <w:tcPr>
        <w:shd w:val="clear" w:color="auto" w:fill="515151" w:themeFill="accent4" w:themeFillShade="BF"/>
      </w:tc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A" w:themeFill="accent5" w:themeFillTint="33"/>
    </w:tcPr>
    <w:tblStylePr w:type="firstRow">
      <w:rPr>
        <w:b/>
        <w:bCs/>
      </w:rPr>
      <w:tblPr/>
      <w:tcPr>
        <w:shd w:val="clear" w:color="auto" w:fill="D6D6D6" w:themeFill="accent5" w:themeFillTint="66"/>
      </w:tcPr>
    </w:tblStylePr>
    <w:tblStylePr w:type="lastRow">
      <w:rPr>
        <w:b/>
        <w:bCs/>
        <w:color w:val="000000" w:themeColor="text1"/>
      </w:rPr>
      <w:tblPr/>
      <w:tcPr>
        <w:shd w:val="clear" w:color="auto" w:fill="D6D6D6" w:themeFill="accent5" w:themeFillTint="66"/>
      </w:tcPr>
    </w:tblStylePr>
    <w:tblStylePr w:type="firstCol">
      <w:rPr>
        <w:color w:val="FFFFFF" w:themeColor="background1"/>
      </w:rPr>
      <w:tblPr/>
      <w:tcPr>
        <w:shd w:val="clear" w:color="auto" w:fill="747474" w:themeFill="accent5" w:themeFillShade="BF"/>
      </w:tcPr>
    </w:tblStylePr>
    <w:tblStylePr w:type="lastCol">
      <w:rPr>
        <w:color w:val="FFFFFF" w:themeColor="background1"/>
      </w:rPr>
      <w:tblPr/>
      <w:tcPr>
        <w:shd w:val="clear" w:color="auto" w:fill="747474" w:themeFill="accent5" w:themeFillShade="BF"/>
      </w:tc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ECEC" w:themeFill="accent6" w:themeFillTint="33"/>
    </w:tcPr>
    <w:tblStylePr w:type="firstRow">
      <w:rPr>
        <w:b/>
        <w:bCs/>
      </w:rPr>
      <w:tblPr/>
      <w:tcPr>
        <w:shd w:val="clear" w:color="auto" w:fill="DADADA" w:themeFill="accent6" w:themeFillTint="66"/>
      </w:tcPr>
    </w:tblStylePr>
    <w:tblStylePr w:type="lastRow">
      <w:rPr>
        <w:b/>
        <w:bCs/>
        <w:color w:val="000000" w:themeColor="text1"/>
      </w:rPr>
      <w:tblPr/>
      <w:tcPr>
        <w:shd w:val="clear" w:color="auto" w:fill="DADADA" w:themeFill="accent6" w:themeFillTint="66"/>
      </w:tcPr>
    </w:tblStylePr>
    <w:tblStylePr w:type="firstCol">
      <w:rPr>
        <w:color w:val="FFFFFF" w:themeColor="background1"/>
      </w:rPr>
      <w:tblPr/>
      <w:tcPr>
        <w:shd w:val="clear" w:color="auto" w:fill="7E7E7E" w:themeFill="accent6" w:themeFillShade="BF"/>
      </w:tcPr>
    </w:tblStylePr>
    <w:tblStylePr w:type="lastCol">
      <w:rPr>
        <w:color w:val="FFFFFF" w:themeColor="background1"/>
      </w:rPr>
      <w:tblPr/>
      <w:tcPr>
        <w:shd w:val="clear" w:color="auto" w:fill="7E7E7E" w:themeFill="accent6" w:themeFillShade="BF"/>
      </w:tc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s://chestnutcreek.org/hoa-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4444"/>
      </a:dk2>
      <a:lt2>
        <a:srgbClr val="ECECEC"/>
      </a:lt2>
      <a:accent1>
        <a:srgbClr val="7B7B7B"/>
      </a:accent1>
      <a:accent2>
        <a:srgbClr val="686868"/>
      </a:accent2>
      <a:accent3>
        <a:srgbClr val="ADADAD"/>
      </a:accent3>
      <a:accent4>
        <a:srgbClr val="6E6E6E"/>
      </a:accent4>
      <a:accent5>
        <a:srgbClr val="999999"/>
      </a:accent5>
      <a:accent6>
        <a:srgbClr val="A5A5A5"/>
      </a:accent6>
      <a:hlink>
        <a:srgbClr val="121212"/>
      </a:hlink>
      <a:folHlink>
        <a:srgbClr val="24242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Pool Evaluation - Version 4.6 Counsel Review</dc:title>
  <dc:subject>Board and counsel review copy</dc:subject>
  <dc:creator>Chestnut Creek Board of Directors</dc:creator>
  <cp:keywords/>
  <dc:description>Clean copy incorporating the Board's accepted revisions for counsel review.</dc:description>
  <cp:lastModifiedBy/>
  <cp:revision>1</cp:revision>
  <dcterms:created xsi:type="dcterms:W3CDTF">2013-12-23T23:15:00Z</dcterms:created>
  <dcterms:modified xsi:type="dcterms:W3CDTF">2013-12-23T23:15:00Z</dcterms:modified>
  <cp:category/>
</cp:coreProperties>
</file>