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B9C2" w14:textId="77777777" w:rsidR="001E765B" w:rsidRDefault="001E765B" w:rsidP="001E765B">
      <w:pPr>
        <w:pStyle w:val="Title"/>
      </w:pPr>
      <w:r>
        <w:t>Minutes for the</w:t>
      </w:r>
    </w:p>
    <w:p w14:paraId="6DEEF7CE" w14:textId="77777777" w:rsidR="001E765B" w:rsidRDefault="001E765B" w:rsidP="001E765B">
      <w:pPr>
        <w:jc w:val="center"/>
        <w:rPr>
          <w:rFonts w:ascii="Arial" w:hAnsi="Arial" w:cs="Arial"/>
          <w:b/>
          <w:bCs/>
          <w:caps/>
          <w:sz w:val="28"/>
        </w:rPr>
      </w:pPr>
      <w:r>
        <w:rPr>
          <w:rFonts w:ascii="Arial" w:hAnsi="Arial" w:cs="Arial"/>
          <w:b/>
          <w:bCs/>
          <w:caps/>
          <w:sz w:val="28"/>
        </w:rPr>
        <w:t>Clinton County Regional Planning Commission</w:t>
      </w:r>
    </w:p>
    <w:p w14:paraId="03A579C0" w14:textId="77777777" w:rsidR="001E765B" w:rsidRDefault="001E765B" w:rsidP="001E765B">
      <w:pPr>
        <w:jc w:val="center"/>
        <w:rPr>
          <w:rFonts w:ascii="Arial" w:hAnsi="Arial" w:cs="Arial"/>
          <w:b/>
          <w:bCs/>
          <w:caps/>
          <w:sz w:val="28"/>
        </w:rPr>
      </w:pPr>
      <w:r>
        <w:rPr>
          <w:rFonts w:ascii="Arial" w:hAnsi="Arial" w:cs="Arial"/>
          <w:b/>
          <w:bCs/>
          <w:caps/>
          <w:sz w:val="28"/>
        </w:rPr>
        <w:t>Or the Executive Committee</w:t>
      </w:r>
    </w:p>
    <w:p w14:paraId="7E3C5B0A" w14:textId="77777777" w:rsidR="001E765B" w:rsidRPr="003946C3" w:rsidRDefault="001E765B" w:rsidP="001E765B">
      <w:pPr>
        <w:jc w:val="center"/>
        <w:rPr>
          <w:rFonts w:ascii="Arial" w:hAnsi="Arial" w:cs="Arial"/>
          <w:sz w:val="16"/>
          <w:szCs w:val="16"/>
        </w:rPr>
      </w:pPr>
    </w:p>
    <w:p w14:paraId="6C7D99D9" w14:textId="764EA709" w:rsidR="001E765B" w:rsidRDefault="005861C4" w:rsidP="001E765B">
      <w:pPr>
        <w:jc w:val="center"/>
        <w:rPr>
          <w:rFonts w:ascii="Arial" w:hAnsi="Arial" w:cs="Arial"/>
          <w:sz w:val="20"/>
        </w:rPr>
      </w:pPr>
      <w:r>
        <w:rPr>
          <w:rFonts w:ascii="Arial" w:hAnsi="Arial" w:cs="Arial"/>
          <w:sz w:val="20"/>
        </w:rPr>
        <w:t>April 16</w:t>
      </w:r>
      <w:r w:rsidR="008008FD">
        <w:rPr>
          <w:rFonts w:ascii="Arial" w:hAnsi="Arial" w:cs="Arial"/>
          <w:sz w:val="20"/>
        </w:rPr>
        <w:t>,</w:t>
      </w:r>
      <w:r w:rsidR="001E765B">
        <w:rPr>
          <w:rFonts w:ascii="Arial" w:hAnsi="Arial" w:cs="Arial"/>
          <w:sz w:val="20"/>
        </w:rPr>
        <w:t xml:space="preserve"> 202</w:t>
      </w:r>
      <w:r w:rsidR="000B572C">
        <w:rPr>
          <w:rFonts w:ascii="Arial" w:hAnsi="Arial" w:cs="Arial"/>
          <w:sz w:val="20"/>
        </w:rPr>
        <w:t>4</w:t>
      </w:r>
    </w:p>
    <w:p w14:paraId="2984068E" w14:textId="2F33BA16" w:rsidR="001E765B" w:rsidRDefault="006B7A3E" w:rsidP="001E765B">
      <w:pPr>
        <w:jc w:val="center"/>
        <w:rPr>
          <w:rFonts w:ascii="Arial" w:hAnsi="Arial" w:cs="Arial"/>
          <w:sz w:val="20"/>
        </w:rPr>
      </w:pPr>
      <w:r>
        <w:rPr>
          <w:rFonts w:ascii="Arial" w:hAnsi="Arial" w:cs="Arial"/>
          <w:sz w:val="20"/>
        </w:rPr>
        <w:t>Training Room</w:t>
      </w:r>
      <w:r w:rsidR="001E765B" w:rsidRPr="00085879">
        <w:rPr>
          <w:rFonts w:ascii="Arial" w:hAnsi="Arial" w:cs="Arial"/>
          <w:sz w:val="20"/>
        </w:rPr>
        <w:t xml:space="preserve">, </w:t>
      </w:r>
      <w:r>
        <w:rPr>
          <w:rFonts w:ascii="Arial" w:hAnsi="Arial" w:cs="Arial"/>
          <w:sz w:val="20"/>
        </w:rPr>
        <w:t>Clinton County Administration Building</w:t>
      </w:r>
      <w:r w:rsidR="001E765B" w:rsidRPr="00085879">
        <w:rPr>
          <w:rFonts w:ascii="Arial" w:hAnsi="Arial" w:cs="Arial"/>
          <w:sz w:val="20"/>
        </w:rPr>
        <w:t xml:space="preserve">, </w:t>
      </w:r>
      <w:r>
        <w:rPr>
          <w:rFonts w:ascii="Arial" w:hAnsi="Arial" w:cs="Arial"/>
          <w:sz w:val="20"/>
        </w:rPr>
        <w:t xml:space="preserve">1850 </w:t>
      </w:r>
      <w:proofErr w:type="spellStart"/>
      <w:r>
        <w:rPr>
          <w:rFonts w:ascii="Arial" w:hAnsi="Arial" w:cs="Arial"/>
          <w:sz w:val="20"/>
        </w:rPr>
        <w:t>Davids</w:t>
      </w:r>
      <w:proofErr w:type="spellEnd"/>
      <w:r>
        <w:rPr>
          <w:rFonts w:ascii="Arial" w:hAnsi="Arial" w:cs="Arial"/>
          <w:sz w:val="20"/>
        </w:rPr>
        <w:t xml:space="preserve"> Dr., Wilmington, OH 45177</w:t>
      </w:r>
    </w:p>
    <w:p w14:paraId="69F999A2" w14:textId="77777777" w:rsidR="00A477D5" w:rsidRDefault="00A477D5" w:rsidP="001E765B">
      <w:pPr>
        <w:pStyle w:val="Heading1"/>
      </w:pPr>
    </w:p>
    <w:p w14:paraId="48FC3EA4" w14:textId="1DD40612" w:rsidR="001E765B" w:rsidRDefault="001E765B" w:rsidP="001E765B">
      <w:pPr>
        <w:pStyle w:val="Heading1"/>
      </w:pPr>
      <w:r>
        <w:t>ROLL CALL</w:t>
      </w:r>
    </w:p>
    <w:p w14:paraId="0FFBF73E" w14:textId="77777777" w:rsidR="001E765B" w:rsidRPr="008E377C" w:rsidRDefault="001E765B" w:rsidP="001E765B"/>
    <w:p w14:paraId="5048BAF2" w14:textId="1D8C13CF" w:rsidR="001E765B" w:rsidRDefault="001E765B" w:rsidP="001E765B">
      <w:pPr>
        <w:pStyle w:val="BodyText"/>
      </w:pPr>
      <w:r>
        <w:t xml:space="preserve">Chairperson </w:t>
      </w:r>
      <w:r w:rsidR="000B572C">
        <w:t>Ruth Brindle</w:t>
      </w:r>
      <w:r>
        <w:t xml:space="preserve"> called the meeting to order at approximately 7:</w:t>
      </w:r>
      <w:r w:rsidR="0018386E">
        <w:t>0</w:t>
      </w:r>
      <w:r w:rsidR="005861C4">
        <w:t>1</w:t>
      </w:r>
      <w:r>
        <w:t xml:space="preserve"> p.m. local time with</w:t>
      </w:r>
      <w:r w:rsidRPr="00DE092D">
        <w:t xml:space="preserve"> the following Planning Commissioners present.</w:t>
      </w:r>
    </w:p>
    <w:p w14:paraId="1138C350" w14:textId="77777777" w:rsidR="001E765B" w:rsidRDefault="001E765B" w:rsidP="001E765B">
      <w:pPr>
        <w:pStyle w:val="BodyText"/>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2455"/>
        <w:gridCol w:w="2728"/>
        <w:gridCol w:w="2430"/>
      </w:tblGrid>
      <w:tr w:rsidR="0012541B" w:rsidRPr="000C0571" w14:paraId="36589D43" w14:textId="3C069B95" w:rsidTr="0018386E">
        <w:trPr>
          <w:trHeight w:val="333"/>
        </w:trPr>
        <w:tc>
          <w:tcPr>
            <w:tcW w:w="2372" w:type="dxa"/>
          </w:tcPr>
          <w:p w14:paraId="49A98F08" w14:textId="70071563" w:rsidR="0012541B" w:rsidRPr="00360627" w:rsidRDefault="005861C4" w:rsidP="0018386E">
            <w:pPr>
              <w:jc w:val="center"/>
              <w:rPr>
                <w:rFonts w:ascii="Arial" w:hAnsi="Arial" w:cs="Arial"/>
                <w:sz w:val="20"/>
                <w:szCs w:val="20"/>
              </w:rPr>
            </w:pPr>
            <w:r>
              <w:rPr>
                <w:rFonts w:ascii="Arial" w:hAnsi="Arial" w:cs="Arial"/>
                <w:sz w:val="20"/>
                <w:szCs w:val="20"/>
              </w:rPr>
              <w:t>Ryan Bowman</w:t>
            </w:r>
            <w:r w:rsidR="008008FD">
              <w:rPr>
                <w:rFonts w:ascii="Arial" w:hAnsi="Arial" w:cs="Arial"/>
                <w:sz w:val="20"/>
                <w:szCs w:val="20"/>
              </w:rPr>
              <w:t xml:space="preserve"> </w:t>
            </w:r>
          </w:p>
        </w:tc>
        <w:tc>
          <w:tcPr>
            <w:tcW w:w="2455" w:type="dxa"/>
          </w:tcPr>
          <w:p w14:paraId="08E0FDE0" w14:textId="597F1A2D" w:rsidR="0012541B" w:rsidRPr="00360627" w:rsidRDefault="005861C4" w:rsidP="0018386E">
            <w:pPr>
              <w:jc w:val="center"/>
              <w:rPr>
                <w:rFonts w:ascii="Arial" w:hAnsi="Arial" w:cs="Arial"/>
                <w:sz w:val="20"/>
                <w:szCs w:val="20"/>
              </w:rPr>
            </w:pPr>
            <w:r>
              <w:rPr>
                <w:rFonts w:ascii="Arial" w:hAnsi="Arial" w:cs="Arial"/>
                <w:sz w:val="20"/>
                <w:szCs w:val="20"/>
              </w:rPr>
              <w:t>Benjamin Collings</w:t>
            </w:r>
            <w:r w:rsidR="008008FD">
              <w:rPr>
                <w:rFonts w:ascii="Arial" w:hAnsi="Arial" w:cs="Arial"/>
                <w:sz w:val="20"/>
                <w:szCs w:val="20"/>
              </w:rPr>
              <w:t xml:space="preserve"> </w:t>
            </w:r>
          </w:p>
        </w:tc>
        <w:tc>
          <w:tcPr>
            <w:tcW w:w="2728" w:type="dxa"/>
          </w:tcPr>
          <w:p w14:paraId="3A78374B" w14:textId="60AF4567" w:rsidR="0012541B" w:rsidRPr="00360627" w:rsidRDefault="008008FD" w:rsidP="0018386E">
            <w:pPr>
              <w:jc w:val="center"/>
              <w:rPr>
                <w:rFonts w:ascii="Arial" w:hAnsi="Arial" w:cs="Arial"/>
                <w:sz w:val="20"/>
                <w:szCs w:val="20"/>
              </w:rPr>
            </w:pPr>
            <w:r>
              <w:rPr>
                <w:rFonts w:ascii="Arial" w:hAnsi="Arial" w:cs="Arial"/>
                <w:sz w:val="20"/>
                <w:szCs w:val="20"/>
              </w:rPr>
              <w:t>Robert Thobaben, Jr.</w:t>
            </w:r>
          </w:p>
        </w:tc>
        <w:tc>
          <w:tcPr>
            <w:tcW w:w="2430" w:type="dxa"/>
          </w:tcPr>
          <w:p w14:paraId="30EE0593" w14:textId="4D9957C5" w:rsidR="0012541B" w:rsidRPr="00360627" w:rsidRDefault="0012541B" w:rsidP="0018386E">
            <w:pPr>
              <w:jc w:val="center"/>
              <w:rPr>
                <w:rFonts w:ascii="Arial" w:hAnsi="Arial" w:cs="Arial"/>
                <w:sz w:val="20"/>
                <w:szCs w:val="20"/>
              </w:rPr>
            </w:pPr>
          </w:p>
        </w:tc>
      </w:tr>
      <w:tr w:rsidR="0012541B" w:rsidRPr="000C0571" w14:paraId="06628ECA" w14:textId="54D8F830" w:rsidTr="0018386E">
        <w:trPr>
          <w:trHeight w:val="333"/>
        </w:trPr>
        <w:tc>
          <w:tcPr>
            <w:tcW w:w="2372" w:type="dxa"/>
          </w:tcPr>
          <w:p w14:paraId="0095EA69" w14:textId="4386395B" w:rsidR="0012541B" w:rsidRPr="00360627" w:rsidRDefault="005861C4" w:rsidP="0018386E">
            <w:pPr>
              <w:jc w:val="center"/>
              <w:rPr>
                <w:rFonts w:ascii="Arial" w:hAnsi="Arial" w:cs="Arial"/>
                <w:sz w:val="20"/>
                <w:szCs w:val="20"/>
              </w:rPr>
            </w:pPr>
            <w:r>
              <w:rPr>
                <w:rFonts w:ascii="Arial" w:hAnsi="Arial" w:cs="Arial"/>
                <w:sz w:val="20"/>
                <w:szCs w:val="20"/>
              </w:rPr>
              <w:t>Jon Branstrator</w:t>
            </w:r>
            <w:r w:rsidR="008008FD">
              <w:rPr>
                <w:rFonts w:ascii="Arial" w:hAnsi="Arial" w:cs="Arial"/>
                <w:sz w:val="20"/>
                <w:szCs w:val="20"/>
              </w:rPr>
              <w:t xml:space="preserve"> </w:t>
            </w:r>
          </w:p>
        </w:tc>
        <w:tc>
          <w:tcPr>
            <w:tcW w:w="2455" w:type="dxa"/>
          </w:tcPr>
          <w:p w14:paraId="124E742C" w14:textId="6D5249DC" w:rsidR="0012541B" w:rsidRPr="00360627" w:rsidRDefault="00D03EA1" w:rsidP="0018386E">
            <w:pPr>
              <w:jc w:val="center"/>
              <w:rPr>
                <w:rFonts w:ascii="Arial" w:hAnsi="Arial" w:cs="Arial"/>
                <w:sz w:val="20"/>
                <w:szCs w:val="20"/>
              </w:rPr>
            </w:pPr>
            <w:r>
              <w:rPr>
                <w:rFonts w:ascii="Arial" w:hAnsi="Arial" w:cs="Arial"/>
                <w:sz w:val="20"/>
                <w:szCs w:val="20"/>
              </w:rPr>
              <w:t>Jim Fife</w:t>
            </w:r>
          </w:p>
        </w:tc>
        <w:tc>
          <w:tcPr>
            <w:tcW w:w="2728" w:type="dxa"/>
          </w:tcPr>
          <w:p w14:paraId="66CB6E09" w14:textId="450651A8" w:rsidR="0012541B" w:rsidRPr="00360627" w:rsidRDefault="008008FD" w:rsidP="0018386E">
            <w:pPr>
              <w:jc w:val="center"/>
              <w:rPr>
                <w:rFonts w:ascii="Arial" w:hAnsi="Arial" w:cs="Arial"/>
                <w:sz w:val="20"/>
                <w:szCs w:val="20"/>
              </w:rPr>
            </w:pPr>
            <w:r>
              <w:rPr>
                <w:rFonts w:ascii="Arial" w:hAnsi="Arial" w:cs="Arial"/>
                <w:sz w:val="20"/>
                <w:szCs w:val="20"/>
              </w:rPr>
              <w:t>Rick Walker</w:t>
            </w:r>
            <w:r w:rsidR="006B7A3E">
              <w:rPr>
                <w:rFonts w:ascii="Arial" w:hAnsi="Arial" w:cs="Arial"/>
                <w:sz w:val="20"/>
                <w:szCs w:val="20"/>
              </w:rPr>
              <w:t xml:space="preserve"> </w:t>
            </w:r>
          </w:p>
        </w:tc>
        <w:tc>
          <w:tcPr>
            <w:tcW w:w="2430" w:type="dxa"/>
          </w:tcPr>
          <w:p w14:paraId="25494180" w14:textId="4482162B" w:rsidR="0012541B" w:rsidRPr="00360627" w:rsidRDefault="0012541B" w:rsidP="0018386E">
            <w:pPr>
              <w:jc w:val="center"/>
              <w:rPr>
                <w:rFonts w:ascii="Arial" w:hAnsi="Arial" w:cs="Arial"/>
                <w:sz w:val="20"/>
                <w:szCs w:val="20"/>
              </w:rPr>
            </w:pPr>
          </w:p>
        </w:tc>
      </w:tr>
      <w:tr w:rsidR="0012541B" w:rsidRPr="000C0571" w14:paraId="10003FB7" w14:textId="4414A2B1" w:rsidTr="0018386E">
        <w:trPr>
          <w:trHeight w:val="333"/>
        </w:trPr>
        <w:tc>
          <w:tcPr>
            <w:tcW w:w="2372" w:type="dxa"/>
          </w:tcPr>
          <w:p w14:paraId="0E0C9335" w14:textId="4F4BB4D5" w:rsidR="0012541B" w:rsidRPr="0039682B" w:rsidRDefault="000B572C" w:rsidP="0018386E">
            <w:pPr>
              <w:jc w:val="center"/>
              <w:rPr>
                <w:rFonts w:ascii="Arial" w:hAnsi="Arial" w:cs="Arial"/>
                <w:sz w:val="20"/>
                <w:szCs w:val="20"/>
              </w:rPr>
            </w:pPr>
            <w:r>
              <w:rPr>
                <w:rFonts w:ascii="Arial" w:hAnsi="Arial" w:cs="Arial"/>
                <w:sz w:val="20"/>
                <w:szCs w:val="20"/>
              </w:rPr>
              <w:t>Ruth Brindle</w:t>
            </w:r>
          </w:p>
        </w:tc>
        <w:tc>
          <w:tcPr>
            <w:tcW w:w="2455" w:type="dxa"/>
          </w:tcPr>
          <w:p w14:paraId="13781819" w14:textId="27846F44" w:rsidR="0012541B" w:rsidRPr="0083296C" w:rsidRDefault="008008FD" w:rsidP="0018386E">
            <w:pPr>
              <w:jc w:val="center"/>
              <w:rPr>
                <w:rFonts w:ascii="Arial" w:hAnsi="Arial" w:cs="Arial"/>
                <w:sz w:val="20"/>
                <w:szCs w:val="20"/>
              </w:rPr>
            </w:pPr>
            <w:r>
              <w:rPr>
                <w:rFonts w:ascii="Arial" w:hAnsi="Arial" w:cs="Arial"/>
                <w:sz w:val="20"/>
                <w:szCs w:val="20"/>
              </w:rPr>
              <w:t>James Myers</w:t>
            </w:r>
          </w:p>
        </w:tc>
        <w:tc>
          <w:tcPr>
            <w:tcW w:w="2728" w:type="dxa"/>
          </w:tcPr>
          <w:p w14:paraId="01412145" w14:textId="66785B7F" w:rsidR="0012541B" w:rsidRPr="00360627" w:rsidRDefault="00D03EA1" w:rsidP="0018386E">
            <w:pPr>
              <w:jc w:val="center"/>
              <w:rPr>
                <w:rFonts w:ascii="Arial" w:hAnsi="Arial" w:cs="Arial"/>
                <w:sz w:val="20"/>
                <w:szCs w:val="20"/>
              </w:rPr>
            </w:pPr>
            <w:r>
              <w:rPr>
                <w:rFonts w:ascii="Arial" w:hAnsi="Arial" w:cs="Arial"/>
                <w:sz w:val="20"/>
                <w:szCs w:val="20"/>
              </w:rPr>
              <w:t>Pat Thompson</w:t>
            </w:r>
          </w:p>
        </w:tc>
        <w:tc>
          <w:tcPr>
            <w:tcW w:w="2430" w:type="dxa"/>
          </w:tcPr>
          <w:p w14:paraId="3AA611A8" w14:textId="59419871" w:rsidR="0012541B" w:rsidRPr="00360627" w:rsidRDefault="0012541B" w:rsidP="0018386E">
            <w:pPr>
              <w:jc w:val="center"/>
              <w:rPr>
                <w:rFonts w:ascii="Arial" w:hAnsi="Arial" w:cs="Arial"/>
                <w:sz w:val="20"/>
                <w:szCs w:val="20"/>
              </w:rPr>
            </w:pPr>
          </w:p>
        </w:tc>
      </w:tr>
      <w:tr w:rsidR="0012541B" w:rsidRPr="000C0571" w14:paraId="54BE7D82" w14:textId="6019957B" w:rsidTr="0018386E">
        <w:trPr>
          <w:trHeight w:val="333"/>
        </w:trPr>
        <w:tc>
          <w:tcPr>
            <w:tcW w:w="2372" w:type="dxa"/>
          </w:tcPr>
          <w:p w14:paraId="6B795D19" w14:textId="0A186A4D" w:rsidR="0012541B" w:rsidRDefault="000B572C" w:rsidP="0018386E">
            <w:pPr>
              <w:jc w:val="center"/>
              <w:rPr>
                <w:rFonts w:ascii="Arial" w:hAnsi="Arial" w:cs="Arial"/>
                <w:sz w:val="20"/>
                <w:szCs w:val="20"/>
              </w:rPr>
            </w:pPr>
            <w:r>
              <w:rPr>
                <w:rFonts w:ascii="Arial" w:hAnsi="Arial" w:cs="Arial"/>
                <w:sz w:val="20"/>
                <w:szCs w:val="20"/>
              </w:rPr>
              <w:t>John Carman</w:t>
            </w:r>
          </w:p>
        </w:tc>
        <w:tc>
          <w:tcPr>
            <w:tcW w:w="2455" w:type="dxa"/>
          </w:tcPr>
          <w:p w14:paraId="29F57554" w14:textId="54F0B63F" w:rsidR="0012541B" w:rsidRDefault="005861C4" w:rsidP="0018386E">
            <w:pPr>
              <w:jc w:val="center"/>
              <w:rPr>
                <w:rFonts w:ascii="Arial" w:hAnsi="Arial" w:cs="Arial"/>
                <w:sz w:val="20"/>
                <w:szCs w:val="20"/>
              </w:rPr>
            </w:pPr>
            <w:r>
              <w:rPr>
                <w:rFonts w:ascii="Arial" w:hAnsi="Arial" w:cs="Arial"/>
                <w:sz w:val="20"/>
                <w:szCs w:val="20"/>
              </w:rPr>
              <w:t>Michelle Morrison</w:t>
            </w:r>
          </w:p>
        </w:tc>
        <w:tc>
          <w:tcPr>
            <w:tcW w:w="2728" w:type="dxa"/>
          </w:tcPr>
          <w:p w14:paraId="48A2EB0F" w14:textId="14AA68CF" w:rsidR="0012541B" w:rsidRDefault="005861C4" w:rsidP="0018386E">
            <w:pPr>
              <w:jc w:val="center"/>
              <w:rPr>
                <w:rFonts w:ascii="Arial" w:hAnsi="Arial" w:cs="Arial"/>
                <w:sz w:val="20"/>
                <w:szCs w:val="20"/>
              </w:rPr>
            </w:pPr>
            <w:r>
              <w:rPr>
                <w:rFonts w:ascii="Arial" w:hAnsi="Arial" w:cs="Arial"/>
                <w:sz w:val="20"/>
                <w:szCs w:val="20"/>
              </w:rPr>
              <w:t xml:space="preserve">Matt </w:t>
            </w:r>
            <w:proofErr w:type="spellStart"/>
            <w:r>
              <w:rPr>
                <w:rFonts w:ascii="Arial" w:hAnsi="Arial" w:cs="Arial"/>
                <w:sz w:val="20"/>
                <w:szCs w:val="20"/>
              </w:rPr>
              <w:t>Purkey</w:t>
            </w:r>
            <w:proofErr w:type="spellEnd"/>
          </w:p>
        </w:tc>
        <w:tc>
          <w:tcPr>
            <w:tcW w:w="2430" w:type="dxa"/>
          </w:tcPr>
          <w:p w14:paraId="2D208C98" w14:textId="1DCD0020" w:rsidR="0012541B" w:rsidRPr="00360627" w:rsidRDefault="0012541B" w:rsidP="0018386E">
            <w:pPr>
              <w:jc w:val="center"/>
              <w:rPr>
                <w:rFonts w:ascii="Arial" w:hAnsi="Arial" w:cs="Arial"/>
                <w:sz w:val="20"/>
                <w:szCs w:val="20"/>
              </w:rPr>
            </w:pPr>
          </w:p>
        </w:tc>
      </w:tr>
      <w:tr w:rsidR="0012541B" w:rsidRPr="000C0571" w14:paraId="2F052744" w14:textId="1C2B2C85" w:rsidTr="0018386E">
        <w:trPr>
          <w:trHeight w:val="333"/>
        </w:trPr>
        <w:tc>
          <w:tcPr>
            <w:tcW w:w="2372" w:type="dxa"/>
          </w:tcPr>
          <w:p w14:paraId="6B464879" w14:textId="32D402AA" w:rsidR="000B572C" w:rsidRDefault="000B572C" w:rsidP="000B572C">
            <w:pPr>
              <w:rPr>
                <w:rFonts w:ascii="Arial" w:hAnsi="Arial" w:cs="Arial"/>
                <w:sz w:val="20"/>
                <w:szCs w:val="20"/>
              </w:rPr>
            </w:pPr>
            <w:r>
              <w:rPr>
                <w:rFonts w:ascii="Arial" w:hAnsi="Arial" w:cs="Arial"/>
                <w:sz w:val="20"/>
                <w:szCs w:val="20"/>
              </w:rPr>
              <w:t xml:space="preserve">       </w:t>
            </w:r>
            <w:r w:rsidR="00D03EA1">
              <w:rPr>
                <w:rFonts w:ascii="Arial" w:hAnsi="Arial" w:cs="Arial"/>
                <w:sz w:val="20"/>
                <w:szCs w:val="20"/>
              </w:rPr>
              <w:t>J</w:t>
            </w:r>
            <w:r>
              <w:rPr>
                <w:rFonts w:ascii="Arial" w:hAnsi="Arial" w:cs="Arial"/>
                <w:sz w:val="20"/>
                <w:szCs w:val="20"/>
              </w:rPr>
              <w:t>ohn</w:t>
            </w:r>
            <w:r w:rsidR="00D03EA1">
              <w:rPr>
                <w:rFonts w:ascii="Arial" w:hAnsi="Arial" w:cs="Arial"/>
                <w:sz w:val="20"/>
                <w:szCs w:val="20"/>
              </w:rPr>
              <w:t xml:space="preserve"> Cohmer</w:t>
            </w:r>
          </w:p>
        </w:tc>
        <w:tc>
          <w:tcPr>
            <w:tcW w:w="2455" w:type="dxa"/>
          </w:tcPr>
          <w:p w14:paraId="02573628" w14:textId="38D31DD6" w:rsidR="0012541B" w:rsidRDefault="008008FD" w:rsidP="0018386E">
            <w:pPr>
              <w:jc w:val="center"/>
              <w:rPr>
                <w:rFonts w:ascii="Arial" w:hAnsi="Arial" w:cs="Arial"/>
                <w:sz w:val="20"/>
                <w:szCs w:val="20"/>
              </w:rPr>
            </w:pPr>
            <w:r>
              <w:rPr>
                <w:rFonts w:ascii="Arial" w:hAnsi="Arial" w:cs="Arial"/>
                <w:sz w:val="20"/>
                <w:szCs w:val="20"/>
              </w:rPr>
              <w:t xml:space="preserve">Mike McCarty </w:t>
            </w:r>
          </w:p>
        </w:tc>
        <w:tc>
          <w:tcPr>
            <w:tcW w:w="2728" w:type="dxa"/>
          </w:tcPr>
          <w:p w14:paraId="66C55B18" w14:textId="7FC23A40" w:rsidR="0012541B" w:rsidRDefault="0012541B" w:rsidP="0018386E">
            <w:pPr>
              <w:jc w:val="center"/>
              <w:rPr>
                <w:rFonts w:ascii="Arial" w:hAnsi="Arial" w:cs="Arial"/>
                <w:sz w:val="20"/>
                <w:szCs w:val="20"/>
              </w:rPr>
            </w:pPr>
          </w:p>
        </w:tc>
        <w:tc>
          <w:tcPr>
            <w:tcW w:w="2430" w:type="dxa"/>
          </w:tcPr>
          <w:p w14:paraId="3C449B43" w14:textId="77777777" w:rsidR="0012541B" w:rsidRPr="00360627" w:rsidRDefault="0012541B" w:rsidP="0018386E">
            <w:pPr>
              <w:jc w:val="center"/>
              <w:rPr>
                <w:rFonts w:ascii="Arial" w:hAnsi="Arial" w:cs="Arial"/>
                <w:sz w:val="20"/>
                <w:szCs w:val="20"/>
              </w:rPr>
            </w:pPr>
          </w:p>
        </w:tc>
      </w:tr>
    </w:tbl>
    <w:p w14:paraId="3D28F40F" w14:textId="77777777" w:rsidR="007F5FE0" w:rsidRDefault="007F5FE0" w:rsidP="001E765B">
      <w:pPr>
        <w:rPr>
          <w:rFonts w:ascii="Arial" w:hAnsi="Arial" w:cs="Arial"/>
          <w:sz w:val="20"/>
        </w:rPr>
      </w:pPr>
    </w:p>
    <w:p w14:paraId="7FE608B4" w14:textId="77ACD9B5" w:rsidR="001E765B" w:rsidRDefault="001E765B" w:rsidP="001E765B">
      <w:pPr>
        <w:rPr>
          <w:rFonts w:ascii="Arial" w:hAnsi="Arial" w:cs="Arial"/>
          <w:sz w:val="20"/>
        </w:rPr>
      </w:pPr>
      <w:r>
        <w:rPr>
          <w:rFonts w:ascii="Arial" w:hAnsi="Arial" w:cs="Arial"/>
          <w:sz w:val="20"/>
        </w:rPr>
        <w:t>The Commission attained a quorum.</w:t>
      </w:r>
    </w:p>
    <w:p w14:paraId="36E8E664" w14:textId="77777777" w:rsidR="001E765B" w:rsidRDefault="001E765B" w:rsidP="001E765B">
      <w:pPr>
        <w:rPr>
          <w:rFonts w:ascii="Arial" w:hAnsi="Arial" w:cs="Arial"/>
          <w:b/>
          <w:caps/>
          <w:sz w:val="16"/>
          <w:szCs w:val="16"/>
        </w:rPr>
      </w:pPr>
    </w:p>
    <w:p w14:paraId="2A9ADA70" w14:textId="77777777" w:rsidR="001E765B" w:rsidRDefault="001E765B" w:rsidP="001E765B">
      <w:pPr>
        <w:rPr>
          <w:rFonts w:ascii="Arial" w:hAnsi="Arial" w:cs="Arial"/>
          <w:sz w:val="20"/>
          <w:szCs w:val="16"/>
        </w:rPr>
      </w:pPr>
    </w:p>
    <w:p w14:paraId="11BACB9D" w14:textId="7B140FC2" w:rsidR="001E765B" w:rsidRPr="00F434C3" w:rsidRDefault="001E765B" w:rsidP="001E765B">
      <w:pPr>
        <w:rPr>
          <w:rFonts w:ascii="Arial" w:hAnsi="Arial" w:cs="Arial"/>
          <w:caps/>
          <w:sz w:val="20"/>
          <w:szCs w:val="16"/>
        </w:rPr>
      </w:pPr>
      <w:r w:rsidRPr="00F434C3">
        <w:rPr>
          <w:rFonts w:ascii="Arial" w:hAnsi="Arial" w:cs="Arial"/>
          <w:sz w:val="20"/>
          <w:szCs w:val="16"/>
        </w:rPr>
        <w:t>A motion</w:t>
      </w:r>
      <w:r>
        <w:rPr>
          <w:rFonts w:ascii="Arial" w:hAnsi="Arial" w:cs="Arial"/>
          <w:sz w:val="20"/>
          <w:szCs w:val="16"/>
        </w:rPr>
        <w:t xml:space="preserve"> was made</w:t>
      </w:r>
      <w:r w:rsidRPr="00F434C3">
        <w:rPr>
          <w:rFonts w:ascii="Arial" w:hAnsi="Arial" w:cs="Arial"/>
          <w:sz w:val="20"/>
          <w:szCs w:val="16"/>
        </w:rPr>
        <w:t xml:space="preserve"> to </w:t>
      </w:r>
      <w:r>
        <w:rPr>
          <w:rFonts w:ascii="Arial" w:hAnsi="Arial" w:cs="Arial"/>
          <w:sz w:val="20"/>
          <w:szCs w:val="16"/>
        </w:rPr>
        <w:t>approve the agenda</w:t>
      </w:r>
      <w:r w:rsidRPr="00F434C3">
        <w:rPr>
          <w:rFonts w:ascii="Arial" w:hAnsi="Arial" w:cs="Arial"/>
          <w:sz w:val="20"/>
          <w:szCs w:val="16"/>
        </w:rPr>
        <w:t xml:space="preserve"> by</w:t>
      </w:r>
      <w:r w:rsidRPr="00B223C0">
        <w:rPr>
          <w:rFonts w:ascii="Arial" w:hAnsi="Arial" w:cs="Arial"/>
          <w:sz w:val="20"/>
          <w:szCs w:val="16"/>
        </w:rPr>
        <w:t xml:space="preserve"> </w:t>
      </w:r>
      <w:r w:rsidR="005861C4">
        <w:rPr>
          <w:rFonts w:ascii="Arial" w:hAnsi="Arial" w:cs="Arial"/>
          <w:sz w:val="20"/>
          <w:szCs w:val="20"/>
        </w:rPr>
        <w:t>John Carmen</w:t>
      </w:r>
      <w:r w:rsidRPr="00C75C6E">
        <w:rPr>
          <w:rFonts w:ascii="Arial" w:hAnsi="Arial" w:cs="Arial"/>
          <w:sz w:val="20"/>
          <w:szCs w:val="16"/>
        </w:rPr>
        <w:t xml:space="preserve">, </w:t>
      </w:r>
      <w:r w:rsidRPr="00121AD4">
        <w:rPr>
          <w:rFonts w:ascii="Arial" w:hAnsi="Arial" w:cs="Arial"/>
          <w:sz w:val="20"/>
          <w:szCs w:val="16"/>
        </w:rPr>
        <w:t xml:space="preserve">seconded by </w:t>
      </w:r>
      <w:r w:rsidR="005861C4">
        <w:rPr>
          <w:rFonts w:ascii="Arial" w:hAnsi="Arial" w:cs="Arial"/>
          <w:sz w:val="20"/>
          <w:szCs w:val="20"/>
        </w:rPr>
        <w:t>Rick Walker</w:t>
      </w:r>
      <w:r w:rsidRPr="00121AD4">
        <w:rPr>
          <w:rFonts w:ascii="Arial" w:hAnsi="Arial" w:cs="Arial"/>
          <w:sz w:val="20"/>
          <w:szCs w:val="16"/>
        </w:rPr>
        <w:t xml:space="preserve">, and a voice vote: all </w:t>
      </w:r>
      <w:r w:rsidR="005B79D7" w:rsidRPr="00121AD4">
        <w:rPr>
          <w:rFonts w:ascii="Arial" w:hAnsi="Arial" w:cs="Arial"/>
          <w:sz w:val="20"/>
          <w:szCs w:val="16"/>
        </w:rPr>
        <w:t>yeas</w:t>
      </w:r>
      <w:r w:rsidRPr="00121AD4">
        <w:rPr>
          <w:rFonts w:ascii="Arial" w:hAnsi="Arial" w:cs="Arial"/>
          <w:sz w:val="20"/>
          <w:szCs w:val="16"/>
        </w:rPr>
        <w:t>.</w:t>
      </w:r>
      <w:r w:rsidRPr="00F434C3">
        <w:rPr>
          <w:rFonts w:ascii="Arial" w:hAnsi="Arial" w:cs="Arial"/>
          <w:sz w:val="20"/>
          <w:szCs w:val="16"/>
        </w:rPr>
        <w:t xml:space="preserve"> </w:t>
      </w:r>
    </w:p>
    <w:p w14:paraId="4622001B" w14:textId="77777777" w:rsidR="001E765B" w:rsidRDefault="001E765B" w:rsidP="001E765B">
      <w:pPr>
        <w:rPr>
          <w:rFonts w:ascii="Arial" w:hAnsi="Arial" w:cs="Arial"/>
          <w:b/>
          <w:caps/>
          <w:sz w:val="18"/>
          <w:szCs w:val="16"/>
        </w:rPr>
      </w:pPr>
    </w:p>
    <w:p w14:paraId="216ADCE2" w14:textId="77777777" w:rsidR="001E765B" w:rsidRDefault="001E765B" w:rsidP="001E765B">
      <w:pPr>
        <w:rPr>
          <w:rFonts w:ascii="Arial" w:hAnsi="Arial" w:cs="Arial"/>
          <w:b/>
          <w:caps/>
          <w:sz w:val="18"/>
          <w:szCs w:val="16"/>
        </w:rPr>
      </w:pPr>
    </w:p>
    <w:p w14:paraId="1BA8921C" w14:textId="77777777" w:rsidR="001E765B" w:rsidRDefault="001E765B" w:rsidP="001E765B">
      <w:pPr>
        <w:rPr>
          <w:rFonts w:ascii="Arial" w:hAnsi="Arial" w:cs="Arial"/>
          <w:b/>
          <w:caps/>
          <w:sz w:val="20"/>
        </w:rPr>
      </w:pPr>
      <w:r>
        <w:rPr>
          <w:rFonts w:ascii="Arial" w:hAnsi="Arial" w:cs="Arial"/>
          <w:b/>
          <w:caps/>
          <w:sz w:val="20"/>
        </w:rPr>
        <w:t>Minutes from the Previous Meeting</w:t>
      </w:r>
    </w:p>
    <w:p w14:paraId="2CFA0501" w14:textId="77777777" w:rsidR="001E765B" w:rsidRDefault="001E765B" w:rsidP="001E765B">
      <w:pPr>
        <w:rPr>
          <w:rFonts w:ascii="Arial" w:hAnsi="Arial" w:cs="Arial"/>
          <w:b/>
          <w:caps/>
          <w:sz w:val="20"/>
        </w:rPr>
      </w:pPr>
    </w:p>
    <w:p w14:paraId="6760938C" w14:textId="63039732" w:rsidR="00BF4F83" w:rsidRDefault="0018386E" w:rsidP="001E765B">
      <w:pPr>
        <w:rPr>
          <w:rFonts w:ascii="Arial" w:hAnsi="Arial" w:cs="Arial"/>
          <w:sz w:val="20"/>
        </w:rPr>
      </w:pPr>
      <w:r w:rsidRPr="0018386E">
        <w:rPr>
          <w:rFonts w:ascii="Arial" w:hAnsi="Arial" w:cs="Arial"/>
          <w:sz w:val="20"/>
        </w:rPr>
        <w:t xml:space="preserve">Minutes of the </w:t>
      </w:r>
      <w:r w:rsidR="005861C4">
        <w:rPr>
          <w:rFonts w:ascii="Arial" w:hAnsi="Arial" w:cs="Arial"/>
          <w:sz w:val="20"/>
        </w:rPr>
        <w:t>March 26</w:t>
      </w:r>
      <w:r w:rsidR="006B7A3E">
        <w:rPr>
          <w:rFonts w:ascii="Arial" w:hAnsi="Arial" w:cs="Arial"/>
          <w:sz w:val="20"/>
        </w:rPr>
        <w:t>, 2024</w:t>
      </w:r>
      <w:r w:rsidRPr="0018386E">
        <w:rPr>
          <w:rFonts w:ascii="Arial" w:hAnsi="Arial" w:cs="Arial"/>
          <w:sz w:val="20"/>
        </w:rPr>
        <w:t xml:space="preserve">, Regular Meeting (Full Commission) and the </w:t>
      </w:r>
      <w:r w:rsidR="005861C4">
        <w:rPr>
          <w:rFonts w:ascii="Arial" w:hAnsi="Arial" w:cs="Arial"/>
          <w:sz w:val="20"/>
        </w:rPr>
        <w:t>April 11</w:t>
      </w:r>
      <w:r w:rsidR="006B7A3E">
        <w:rPr>
          <w:rFonts w:ascii="Arial" w:hAnsi="Arial" w:cs="Arial"/>
          <w:sz w:val="20"/>
        </w:rPr>
        <w:t>, 2024</w:t>
      </w:r>
      <w:r w:rsidR="008008FD">
        <w:rPr>
          <w:rFonts w:ascii="Arial" w:hAnsi="Arial" w:cs="Arial"/>
          <w:sz w:val="20"/>
        </w:rPr>
        <w:t xml:space="preserve"> </w:t>
      </w:r>
      <w:r w:rsidRPr="0018386E">
        <w:rPr>
          <w:rFonts w:ascii="Arial" w:hAnsi="Arial" w:cs="Arial"/>
          <w:sz w:val="20"/>
        </w:rPr>
        <w:t xml:space="preserve">Meeting (Executive Committee) were presented and approved by motion from </w:t>
      </w:r>
      <w:r w:rsidR="005861C4">
        <w:rPr>
          <w:rFonts w:ascii="Arial" w:hAnsi="Arial" w:cs="Arial"/>
          <w:sz w:val="20"/>
        </w:rPr>
        <w:t>Mike McCarty</w:t>
      </w:r>
      <w:r w:rsidRPr="0018386E">
        <w:rPr>
          <w:rFonts w:ascii="Arial" w:hAnsi="Arial" w:cs="Arial"/>
          <w:sz w:val="20"/>
        </w:rPr>
        <w:t xml:space="preserve"> seconded by </w:t>
      </w:r>
      <w:r w:rsidR="005861C4">
        <w:rPr>
          <w:rFonts w:ascii="Arial" w:hAnsi="Arial" w:cs="Arial"/>
          <w:sz w:val="20"/>
        </w:rPr>
        <w:t>James Myers</w:t>
      </w:r>
      <w:r w:rsidRPr="0018386E">
        <w:rPr>
          <w:rFonts w:ascii="Arial" w:hAnsi="Arial" w:cs="Arial"/>
          <w:sz w:val="20"/>
        </w:rPr>
        <w:t xml:space="preserve"> and </w:t>
      </w:r>
      <w:bookmarkStart w:id="0" w:name="_Hlk164324110"/>
      <w:r w:rsidRPr="0018386E">
        <w:rPr>
          <w:rFonts w:ascii="Arial" w:hAnsi="Arial" w:cs="Arial"/>
          <w:sz w:val="20"/>
        </w:rPr>
        <w:t>voice vote: all yeas.</w:t>
      </w:r>
    </w:p>
    <w:bookmarkEnd w:id="0"/>
    <w:p w14:paraId="70FE0590" w14:textId="77777777" w:rsidR="0018386E" w:rsidRPr="0043076B" w:rsidRDefault="0018386E" w:rsidP="001E765B">
      <w:pPr>
        <w:rPr>
          <w:rFonts w:ascii="Arial" w:hAnsi="Arial" w:cs="Arial"/>
          <w:sz w:val="20"/>
          <w:szCs w:val="20"/>
        </w:rPr>
      </w:pPr>
    </w:p>
    <w:p w14:paraId="209C8376" w14:textId="7EB8CD61" w:rsidR="001E765B" w:rsidRDefault="00907162" w:rsidP="001E765B">
      <w:pPr>
        <w:rPr>
          <w:rFonts w:ascii="Arial" w:hAnsi="Arial" w:cs="Arial"/>
          <w:sz w:val="20"/>
        </w:rPr>
      </w:pPr>
      <w:r>
        <w:rPr>
          <w:rFonts w:ascii="Arial" w:hAnsi="Arial" w:cs="Arial"/>
          <w:b/>
          <w:bCs/>
          <w:sz w:val="20"/>
          <w:szCs w:val="20"/>
        </w:rPr>
        <w:t>OLD</w:t>
      </w:r>
      <w:r w:rsidR="001E765B" w:rsidRPr="002264B5">
        <w:rPr>
          <w:rFonts w:ascii="Arial" w:hAnsi="Arial" w:cs="Arial"/>
          <w:b/>
          <w:bCs/>
          <w:sz w:val="20"/>
          <w:szCs w:val="20"/>
        </w:rPr>
        <w:t xml:space="preserve"> BUSINES</w:t>
      </w:r>
      <w:r w:rsidR="001E765B">
        <w:rPr>
          <w:rFonts w:ascii="Arial" w:hAnsi="Arial" w:cs="Arial"/>
          <w:b/>
          <w:bCs/>
          <w:sz w:val="20"/>
          <w:szCs w:val="20"/>
        </w:rPr>
        <w:t>S</w:t>
      </w:r>
    </w:p>
    <w:p w14:paraId="2F6C15F8" w14:textId="77777777" w:rsidR="001E765B" w:rsidRDefault="001E765B" w:rsidP="001E765B">
      <w:pPr>
        <w:rPr>
          <w:rFonts w:ascii="Arial" w:hAnsi="Arial" w:cs="Arial"/>
          <w:sz w:val="20"/>
        </w:rPr>
      </w:pPr>
    </w:p>
    <w:p w14:paraId="0250D0A8" w14:textId="77777777" w:rsidR="0018386E" w:rsidRDefault="0018386E" w:rsidP="00431984">
      <w:pPr>
        <w:rPr>
          <w:rFonts w:ascii="Arial" w:hAnsi="Arial" w:cs="Arial"/>
          <w:b/>
          <w:bCs/>
          <w:sz w:val="20"/>
          <w:szCs w:val="20"/>
        </w:rPr>
      </w:pPr>
    </w:p>
    <w:p w14:paraId="083A197A" w14:textId="312C0F39" w:rsidR="00431984" w:rsidRDefault="00AA1516" w:rsidP="00431984">
      <w:pPr>
        <w:rPr>
          <w:rFonts w:ascii="Arial" w:hAnsi="Arial" w:cs="Arial"/>
          <w:b/>
          <w:bCs/>
          <w:sz w:val="20"/>
          <w:szCs w:val="20"/>
        </w:rPr>
      </w:pPr>
      <w:r>
        <w:rPr>
          <w:rFonts w:ascii="Arial" w:hAnsi="Arial" w:cs="Arial"/>
          <w:b/>
          <w:bCs/>
          <w:sz w:val="20"/>
          <w:szCs w:val="20"/>
        </w:rPr>
        <w:t>NEW</w:t>
      </w:r>
      <w:r w:rsidRPr="002264B5">
        <w:rPr>
          <w:rFonts w:ascii="Arial" w:hAnsi="Arial" w:cs="Arial"/>
          <w:b/>
          <w:bCs/>
          <w:sz w:val="20"/>
          <w:szCs w:val="20"/>
        </w:rPr>
        <w:t xml:space="preserve"> BUSINES</w:t>
      </w:r>
      <w:r>
        <w:rPr>
          <w:rFonts w:ascii="Arial" w:hAnsi="Arial" w:cs="Arial"/>
          <w:b/>
          <w:bCs/>
          <w:sz w:val="20"/>
          <w:szCs w:val="20"/>
        </w:rPr>
        <w:t>S</w:t>
      </w:r>
    </w:p>
    <w:p w14:paraId="0D710E6D" w14:textId="77777777" w:rsidR="00431984" w:rsidRDefault="00431984" w:rsidP="00431984">
      <w:pPr>
        <w:rPr>
          <w:rFonts w:ascii="Arial" w:hAnsi="Arial" w:cs="Arial"/>
          <w:b/>
          <w:bCs/>
          <w:sz w:val="20"/>
          <w:szCs w:val="20"/>
        </w:rPr>
      </w:pPr>
    </w:p>
    <w:p w14:paraId="1AEB9AFC" w14:textId="387BF7AE" w:rsidR="00FB16C5" w:rsidRDefault="0018386E" w:rsidP="001E765B">
      <w:pPr>
        <w:keepNext/>
        <w:outlineLvl w:val="0"/>
        <w:rPr>
          <w:rFonts w:ascii="Arial" w:hAnsi="Arial" w:cs="Arial"/>
          <w:sz w:val="20"/>
          <w:u w:val="single"/>
        </w:rPr>
      </w:pPr>
      <w:r w:rsidRPr="0018386E">
        <w:rPr>
          <w:rFonts w:ascii="Arial" w:hAnsi="Arial" w:cs="Arial"/>
          <w:sz w:val="20"/>
          <w:u w:val="single"/>
        </w:rPr>
        <w:t>Applicant #</w:t>
      </w:r>
      <w:r w:rsidR="00D03EA1">
        <w:rPr>
          <w:rFonts w:ascii="Arial" w:hAnsi="Arial" w:cs="Arial"/>
          <w:sz w:val="20"/>
          <w:u w:val="single"/>
        </w:rPr>
        <w:t>2024-</w:t>
      </w:r>
      <w:r w:rsidR="005861C4">
        <w:rPr>
          <w:rFonts w:ascii="Arial" w:hAnsi="Arial" w:cs="Arial"/>
          <w:sz w:val="20"/>
          <w:u w:val="single"/>
        </w:rPr>
        <w:t>10</w:t>
      </w:r>
      <w:r w:rsidRPr="0018386E">
        <w:rPr>
          <w:rFonts w:ascii="Arial" w:hAnsi="Arial" w:cs="Arial"/>
          <w:sz w:val="20"/>
          <w:u w:val="single"/>
        </w:rPr>
        <w:t>—</w:t>
      </w:r>
      <w:r w:rsidR="00BE5E75">
        <w:rPr>
          <w:rFonts w:ascii="Arial" w:hAnsi="Arial" w:cs="Arial"/>
          <w:sz w:val="20"/>
          <w:u w:val="single"/>
        </w:rPr>
        <w:t xml:space="preserve"> </w:t>
      </w:r>
      <w:r w:rsidR="005861C4">
        <w:rPr>
          <w:rFonts w:ascii="Arial" w:hAnsi="Arial" w:cs="Arial"/>
          <w:sz w:val="20"/>
          <w:u w:val="single"/>
        </w:rPr>
        <w:t>Site Plan Review</w:t>
      </w:r>
      <w:r w:rsidR="00BE5E75">
        <w:rPr>
          <w:rFonts w:ascii="Arial" w:hAnsi="Arial" w:cs="Arial"/>
          <w:sz w:val="20"/>
          <w:u w:val="single"/>
        </w:rPr>
        <w:t xml:space="preserve"> </w:t>
      </w:r>
      <w:r w:rsidRPr="0018386E">
        <w:rPr>
          <w:rFonts w:ascii="Arial" w:hAnsi="Arial" w:cs="Arial"/>
          <w:sz w:val="20"/>
          <w:u w:val="single"/>
        </w:rPr>
        <w:t>—</w:t>
      </w:r>
      <w:r w:rsidR="006B7A3E">
        <w:rPr>
          <w:rFonts w:ascii="Arial" w:hAnsi="Arial" w:cs="Arial"/>
          <w:sz w:val="20"/>
          <w:u w:val="single"/>
        </w:rPr>
        <w:t xml:space="preserve"> </w:t>
      </w:r>
      <w:r w:rsidR="005861C4">
        <w:rPr>
          <w:rFonts w:ascii="Arial" w:hAnsi="Arial" w:cs="Arial"/>
          <w:sz w:val="20"/>
          <w:u w:val="single"/>
        </w:rPr>
        <w:t>Sandy Creek Partners, LLC</w:t>
      </w:r>
      <w:r w:rsidR="00BE5E75">
        <w:rPr>
          <w:rFonts w:ascii="Arial" w:hAnsi="Arial" w:cs="Arial"/>
          <w:sz w:val="20"/>
          <w:u w:val="single"/>
        </w:rPr>
        <w:t xml:space="preserve"> </w:t>
      </w:r>
      <w:r w:rsidR="006B7A3E">
        <w:rPr>
          <w:rFonts w:ascii="Arial" w:hAnsi="Arial" w:cs="Arial"/>
          <w:sz w:val="20"/>
          <w:u w:val="single"/>
        </w:rPr>
        <w:t xml:space="preserve"> </w:t>
      </w:r>
      <w:r w:rsidR="00D03EA1">
        <w:rPr>
          <w:rFonts w:ascii="Arial" w:hAnsi="Arial" w:cs="Arial"/>
          <w:sz w:val="20"/>
          <w:u w:val="single"/>
        </w:rPr>
        <w:t xml:space="preserve"> </w:t>
      </w:r>
    </w:p>
    <w:p w14:paraId="6E0DB4C3" w14:textId="77777777" w:rsidR="0085627E" w:rsidRDefault="0085627E" w:rsidP="001E765B">
      <w:pPr>
        <w:keepNext/>
        <w:outlineLvl w:val="0"/>
        <w:rPr>
          <w:rFonts w:ascii="Arial" w:hAnsi="Arial" w:cs="Arial"/>
          <w:sz w:val="20"/>
          <w:u w:val="single"/>
        </w:rPr>
      </w:pPr>
    </w:p>
    <w:p w14:paraId="0FA5FCE9" w14:textId="77FE5BA0" w:rsidR="00FF360C" w:rsidRDefault="009B7DFA" w:rsidP="009B7DFA">
      <w:pPr>
        <w:keepNext/>
        <w:outlineLvl w:val="0"/>
        <w:rPr>
          <w:rFonts w:ascii="Arial" w:hAnsi="Arial" w:cs="Arial"/>
          <w:bCs/>
          <w:sz w:val="20"/>
        </w:rPr>
      </w:pPr>
      <w:r w:rsidRPr="009B7DFA">
        <w:rPr>
          <w:rFonts w:ascii="Arial" w:hAnsi="Arial" w:cs="Arial"/>
          <w:sz w:val="20"/>
        </w:rPr>
        <w:t>Jessica Looper, representing Sandy Creek Partners, LLC</w:t>
      </w:r>
      <w:r w:rsidR="002C323E" w:rsidRPr="009B7DFA">
        <w:rPr>
          <w:rFonts w:ascii="Arial" w:hAnsi="Arial" w:cs="Arial"/>
          <w:sz w:val="20"/>
        </w:rPr>
        <w:t xml:space="preserve"> </w:t>
      </w:r>
      <w:r w:rsidR="004C5F96" w:rsidRPr="009B7DFA">
        <w:rPr>
          <w:rFonts w:ascii="Arial" w:hAnsi="Arial" w:cs="Arial"/>
          <w:sz w:val="20"/>
        </w:rPr>
        <w:t xml:space="preserve">came to the front of the room </w:t>
      </w:r>
      <w:r w:rsidRPr="009B7DFA">
        <w:rPr>
          <w:rFonts w:ascii="Arial" w:hAnsi="Arial" w:cs="Arial"/>
          <w:sz w:val="20"/>
        </w:rPr>
        <w:t>to present updated documentation pertaining to the Final Site Plan approval of the Little Miami Mitigation Bank on parcel number 270071301000000. The subject property is 234.69 acres, and is situated along Jenkins Road in Union Township. The applicable Zoning designations for the property include Agriculture-Residential Transition District (A-3) and the Airport Zoning Districts 2,3, and 4 (AZD-2, AZD-3, AZD-4)</w:t>
      </w:r>
      <w:r w:rsidR="00FF360C">
        <w:rPr>
          <w:rFonts w:ascii="Arial" w:hAnsi="Arial" w:cs="Arial"/>
          <w:sz w:val="20"/>
        </w:rPr>
        <w:t xml:space="preserve">. </w:t>
      </w:r>
      <w:r w:rsidR="00F06E53" w:rsidRPr="009B7DFA">
        <w:rPr>
          <w:rFonts w:ascii="Arial" w:hAnsi="Arial" w:cs="Arial"/>
          <w:sz w:val="20"/>
        </w:rPr>
        <w:t xml:space="preserve"> </w:t>
      </w:r>
      <w:r w:rsidR="001144BE" w:rsidRPr="00FF360C">
        <w:rPr>
          <w:rFonts w:ascii="Arial" w:hAnsi="Arial" w:cs="Arial"/>
          <w:sz w:val="20"/>
        </w:rPr>
        <w:t xml:space="preserve">The staff report was read which </w:t>
      </w:r>
      <w:r w:rsidR="001144BE" w:rsidRPr="00FF360C">
        <w:rPr>
          <w:rFonts w:ascii="Arial" w:hAnsi="Arial" w:cs="Arial"/>
          <w:bCs/>
          <w:sz w:val="20"/>
        </w:rPr>
        <w:t xml:space="preserve">recommends </w:t>
      </w:r>
      <w:r w:rsidR="00D600C7" w:rsidRPr="00FF360C">
        <w:rPr>
          <w:rFonts w:ascii="Arial" w:hAnsi="Arial" w:cs="Arial"/>
          <w:bCs/>
          <w:sz w:val="20"/>
        </w:rPr>
        <w:t xml:space="preserve">that </w:t>
      </w:r>
      <w:r w:rsidR="00FF360C" w:rsidRPr="00FF360C">
        <w:rPr>
          <w:rFonts w:ascii="Arial" w:hAnsi="Arial" w:cs="Arial"/>
          <w:bCs/>
          <w:sz w:val="20"/>
        </w:rPr>
        <w:t>after careful review of the application and all related documents, the board table the application so that the applicant can address the concerns with potentially hazardous wildlife within the Airport Zoning District Overlay.</w:t>
      </w:r>
      <w:r w:rsidR="00FF360C">
        <w:rPr>
          <w:rFonts w:ascii="Arial" w:hAnsi="Arial" w:cs="Arial"/>
          <w:bCs/>
          <w:sz w:val="20"/>
        </w:rPr>
        <w:t xml:space="preserve"> The staff report included comments from the Clinton County Building and Zoning Department, the Clinton County Engineers Office, and the Clinton County Port Authority which </w:t>
      </w:r>
      <w:proofErr w:type="gramStart"/>
      <w:r w:rsidR="00FF360C">
        <w:rPr>
          <w:rFonts w:ascii="Arial" w:hAnsi="Arial" w:cs="Arial"/>
          <w:bCs/>
          <w:sz w:val="20"/>
        </w:rPr>
        <w:t>show  below</w:t>
      </w:r>
      <w:proofErr w:type="gramEnd"/>
      <w:r w:rsidR="00FF360C">
        <w:rPr>
          <w:rFonts w:ascii="Arial" w:hAnsi="Arial" w:cs="Arial"/>
          <w:bCs/>
          <w:sz w:val="20"/>
        </w:rPr>
        <w:t xml:space="preserve">:  </w:t>
      </w:r>
    </w:p>
    <w:p w14:paraId="740E044E" w14:textId="58C815DA" w:rsidR="00FF360C" w:rsidRDefault="00FF360C" w:rsidP="009B7DFA">
      <w:pPr>
        <w:keepNext/>
        <w:outlineLvl w:val="0"/>
        <w:rPr>
          <w:rFonts w:ascii="Arial" w:hAnsi="Arial" w:cs="Arial"/>
          <w:bCs/>
          <w:sz w:val="20"/>
        </w:rPr>
      </w:pPr>
    </w:p>
    <w:p w14:paraId="0EFB2D3B" w14:textId="4C4A5D5D" w:rsidR="00FF360C" w:rsidRDefault="00FF360C" w:rsidP="009B7DFA">
      <w:pPr>
        <w:keepNext/>
        <w:outlineLvl w:val="0"/>
        <w:rPr>
          <w:rFonts w:ascii="Arial" w:hAnsi="Arial" w:cs="Arial"/>
          <w:b/>
          <w:sz w:val="20"/>
        </w:rPr>
      </w:pPr>
      <w:r w:rsidRPr="00FF360C">
        <w:rPr>
          <w:rFonts w:ascii="Arial" w:hAnsi="Arial" w:cs="Arial"/>
          <w:b/>
          <w:sz w:val="20"/>
        </w:rPr>
        <w:t xml:space="preserve">Clinton County Building and Zoning Department: </w:t>
      </w:r>
    </w:p>
    <w:p w14:paraId="63A40AC7" w14:textId="3389AF44" w:rsidR="00FF360C" w:rsidRDefault="00FF360C" w:rsidP="009B7DFA">
      <w:pPr>
        <w:keepNext/>
        <w:outlineLvl w:val="0"/>
        <w:rPr>
          <w:rFonts w:ascii="Arial" w:hAnsi="Arial" w:cs="Arial"/>
          <w:bCs/>
          <w:sz w:val="20"/>
        </w:rPr>
      </w:pPr>
      <w:r w:rsidRPr="00FF360C">
        <w:rPr>
          <w:rFonts w:ascii="Arial" w:hAnsi="Arial" w:cs="Arial"/>
          <w:bCs/>
          <w:sz w:val="20"/>
        </w:rPr>
        <w:t xml:space="preserve">The Clinton County Building and Zoning Department issued comments that further demonstrate the conflictions with the Clinton County Zoning Resolution and the proposed use. The “conservation area” is synonymous in practical and real terms with a wildlife sanctuary, which means the use is permitted within the Agricultural-Residential Transition District (A-3). However, the construction of “pools” along a riparian corridor would attract waterfowl. As mentioned, this is conflicting with section 6.06 of the CCZR as well as section 1.05.A, which states that the zoning resolution, at a minimum, is </w:t>
      </w:r>
      <w:r w:rsidRPr="00FF360C">
        <w:rPr>
          <w:rFonts w:ascii="Arial" w:hAnsi="Arial" w:cs="Arial"/>
          <w:bCs/>
          <w:sz w:val="20"/>
        </w:rPr>
        <w:lastRenderedPageBreak/>
        <w:t>intended to promote public health, safety, convenience, comfort, and welfare. Staff believes that an increased number of waterfowl in this vicinity endangers the public health, safety, and welfare of residents due to an increased chance of an airplane/wildlife collision. After review of the application and submitted documentation, absent any additional facts or public discourse, the Building and Zoning department recommended that the Regional Planning Commission deny the applicants’ request for site plan approval. The applicant will be required to demonstrate compliance with all applicable CCZR standards prior to zoning/ land use permits for the effected parcel should Site Plan Review be approved.</w:t>
      </w:r>
    </w:p>
    <w:p w14:paraId="4415978C" w14:textId="0B63B984" w:rsidR="00FF360C" w:rsidRDefault="00FF360C" w:rsidP="009B7DFA">
      <w:pPr>
        <w:keepNext/>
        <w:outlineLvl w:val="0"/>
        <w:rPr>
          <w:rFonts w:ascii="Arial" w:hAnsi="Arial" w:cs="Arial"/>
          <w:bCs/>
          <w:sz w:val="20"/>
        </w:rPr>
      </w:pPr>
    </w:p>
    <w:p w14:paraId="0BD0C6C3" w14:textId="4C1C005F" w:rsidR="00FF360C" w:rsidRDefault="00FF360C" w:rsidP="009B7DFA">
      <w:pPr>
        <w:keepNext/>
        <w:outlineLvl w:val="0"/>
        <w:rPr>
          <w:rFonts w:ascii="Arial" w:hAnsi="Arial" w:cs="Arial"/>
          <w:b/>
          <w:sz w:val="20"/>
        </w:rPr>
      </w:pPr>
      <w:r w:rsidRPr="00FF360C">
        <w:rPr>
          <w:rFonts w:ascii="Arial" w:hAnsi="Arial" w:cs="Arial"/>
          <w:b/>
          <w:sz w:val="20"/>
        </w:rPr>
        <w:t xml:space="preserve">Clinton County Engineers Office: </w:t>
      </w:r>
    </w:p>
    <w:p w14:paraId="69470BDC" w14:textId="35F05504" w:rsidR="00FF360C" w:rsidRDefault="00FF360C" w:rsidP="009B7DFA">
      <w:pPr>
        <w:keepNext/>
        <w:outlineLvl w:val="0"/>
        <w:rPr>
          <w:rFonts w:ascii="Arial" w:hAnsi="Arial" w:cs="Arial"/>
          <w:bCs/>
          <w:sz w:val="20"/>
        </w:rPr>
      </w:pPr>
      <w:r w:rsidRPr="00FF360C">
        <w:rPr>
          <w:rFonts w:ascii="Arial" w:hAnsi="Arial" w:cs="Arial"/>
          <w:bCs/>
          <w:sz w:val="20"/>
        </w:rPr>
        <w:t>The Clinton County Engineers Office issued comments stating that the construction drawings do not include a stormwater pollution prevention plan (SWPPP), which is required in order to demonstrate compliance with the Water Management and Sediment Control Regulations. This plan was requested from the developer on March 13th, but has not yet been received. The Engineer’s Office also stated that due to the semi-permanent nature of the development, they recommend that the Regional Planning Commission require the dedication of right-of-way along Jenkins Road, consistent with what is required from a Major Subdivision. This additional right-of-way dedication should be thirty-five feet (35’) in width measured from the center of the road, and will ensure that the Township has adequate room to make road improvements when future development occurs on Jenkins Road. Following the satisfaction of each of these comments, the Engineer’s Office would then issue a Floodplain Development Permit.</w:t>
      </w:r>
    </w:p>
    <w:p w14:paraId="5FFA52B8" w14:textId="214435A3" w:rsidR="00FF360C" w:rsidRDefault="00FF360C" w:rsidP="009B7DFA">
      <w:pPr>
        <w:keepNext/>
        <w:outlineLvl w:val="0"/>
        <w:rPr>
          <w:rFonts w:ascii="Arial" w:hAnsi="Arial" w:cs="Arial"/>
          <w:bCs/>
          <w:sz w:val="20"/>
        </w:rPr>
      </w:pPr>
    </w:p>
    <w:p w14:paraId="50CA6B0E" w14:textId="41A49FD5" w:rsidR="00FF360C" w:rsidRDefault="00FF360C" w:rsidP="009B7DFA">
      <w:pPr>
        <w:keepNext/>
        <w:outlineLvl w:val="0"/>
        <w:rPr>
          <w:rFonts w:ascii="Arial" w:hAnsi="Arial" w:cs="Arial"/>
          <w:b/>
          <w:sz w:val="20"/>
        </w:rPr>
      </w:pPr>
      <w:r w:rsidRPr="00FF360C">
        <w:rPr>
          <w:rFonts w:ascii="Arial" w:hAnsi="Arial" w:cs="Arial"/>
          <w:b/>
          <w:sz w:val="20"/>
        </w:rPr>
        <w:t xml:space="preserve">Clinton County Port Authority: </w:t>
      </w:r>
    </w:p>
    <w:p w14:paraId="790B5539" w14:textId="77777777" w:rsidR="00FF360C" w:rsidRPr="00FF360C" w:rsidRDefault="00FF360C" w:rsidP="00FF360C">
      <w:pPr>
        <w:keepNext/>
        <w:outlineLvl w:val="0"/>
        <w:rPr>
          <w:rFonts w:ascii="Arial" w:hAnsi="Arial" w:cs="Arial"/>
          <w:bCs/>
          <w:sz w:val="20"/>
        </w:rPr>
      </w:pPr>
      <w:r w:rsidRPr="00FF360C">
        <w:rPr>
          <w:rFonts w:ascii="Arial" w:hAnsi="Arial" w:cs="Arial"/>
          <w:bCs/>
          <w:sz w:val="20"/>
        </w:rPr>
        <w:t>The Clinton County Port Authority, which owns and operates the Wilmington Air Park, issued comments regarding the project that echo the statements made throughout the staff report. After careful review of the project, the Port Authority is opposed to the development due to the fact that the proposed use is a non-compatible land use with the potential for being hazardous to normal aircraft operations or the increase of the potential for personal and property damage in the event of an aircraft accident. The Port Authority’s main concern is the potential increase in wildlife, including but not limited to waterfowl, that would be detrimental to the safety of aircraft operations.</w:t>
      </w:r>
    </w:p>
    <w:p w14:paraId="42D15F79" w14:textId="77777777" w:rsidR="00FF360C" w:rsidRPr="00FF360C" w:rsidRDefault="00FF360C" w:rsidP="00FF360C">
      <w:pPr>
        <w:keepNext/>
        <w:outlineLvl w:val="0"/>
        <w:rPr>
          <w:rFonts w:ascii="Arial" w:hAnsi="Arial" w:cs="Arial"/>
          <w:bCs/>
          <w:sz w:val="20"/>
        </w:rPr>
      </w:pPr>
    </w:p>
    <w:p w14:paraId="754870DB" w14:textId="77777777" w:rsidR="00FF360C" w:rsidRPr="00FF360C" w:rsidRDefault="00FF360C" w:rsidP="00FF360C">
      <w:pPr>
        <w:keepNext/>
        <w:outlineLvl w:val="0"/>
        <w:rPr>
          <w:rFonts w:ascii="Arial" w:hAnsi="Arial" w:cs="Arial"/>
          <w:bCs/>
          <w:sz w:val="20"/>
        </w:rPr>
      </w:pPr>
      <w:r w:rsidRPr="00FF360C">
        <w:rPr>
          <w:rFonts w:ascii="Arial" w:hAnsi="Arial" w:cs="Arial"/>
          <w:bCs/>
          <w:sz w:val="20"/>
        </w:rPr>
        <w:t xml:space="preserve">Separate from the CCZR, the Wilmington Air Park is a Title 14, Code of Federal Regulations, Part 139 Certified Airport. The Wilmington Air Park is located on approximately 1,900 acres directly adjacent to and in the general vicinity of the Project Site. As a Part 139 Certified Airport, the Wilmington Air Park operates under a Wildlife Hazard Management Plan (WHMP) approved by the Federal Aviation Administration. This WHMP has been reviewed and accepted by the Federal Aviation Administration and is part of the Airport Certification Manual (ACM). The WHMP places emphasis on identification and abatement of wildlife hazards within the airfield environment. Additional wildlife attractants (lakes, ponds, landfills, changing land use practices, etc.) within a five-mile radius of the airfield are also addressed, since these attractants jeopardize safe aviation operations into and out of the Wilmington Air Park by increasing the </w:t>
      </w:r>
      <w:proofErr w:type="gramStart"/>
      <w:r w:rsidRPr="00FF360C">
        <w:rPr>
          <w:rFonts w:ascii="Arial" w:hAnsi="Arial" w:cs="Arial"/>
          <w:bCs/>
          <w:sz w:val="20"/>
        </w:rPr>
        <w:t>amount</w:t>
      </w:r>
      <w:proofErr w:type="gramEnd"/>
      <w:r w:rsidRPr="00FF360C">
        <w:rPr>
          <w:rFonts w:ascii="Arial" w:hAnsi="Arial" w:cs="Arial"/>
          <w:bCs/>
          <w:sz w:val="20"/>
        </w:rPr>
        <w:t xml:space="preserve"> of birds, greatly increasing the potential for a serious, and potentially fatal, bird strike with an aircraft. Wilmington Air Park wildlife mitigation efforts are performed under compliance with all Federal, State, and municipal laws and regulations. </w:t>
      </w:r>
    </w:p>
    <w:p w14:paraId="771E81D5" w14:textId="77777777" w:rsidR="00FF360C" w:rsidRPr="00FF360C" w:rsidRDefault="00FF360C" w:rsidP="00FF360C">
      <w:pPr>
        <w:keepNext/>
        <w:outlineLvl w:val="0"/>
        <w:rPr>
          <w:rFonts w:ascii="Arial" w:hAnsi="Arial" w:cs="Arial"/>
          <w:bCs/>
          <w:sz w:val="20"/>
        </w:rPr>
      </w:pPr>
    </w:p>
    <w:p w14:paraId="63947C61" w14:textId="6867C761" w:rsidR="00FF360C" w:rsidRPr="00FF360C" w:rsidRDefault="00FF360C" w:rsidP="00FF360C">
      <w:pPr>
        <w:keepNext/>
        <w:outlineLvl w:val="0"/>
        <w:rPr>
          <w:rFonts w:ascii="Arial" w:hAnsi="Arial" w:cs="Arial"/>
          <w:bCs/>
          <w:sz w:val="20"/>
        </w:rPr>
      </w:pPr>
      <w:r w:rsidRPr="00FF360C">
        <w:rPr>
          <w:rFonts w:ascii="Arial" w:hAnsi="Arial" w:cs="Arial"/>
          <w:bCs/>
          <w:sz w:val="20"/>
        </w:rPr>
        <w:t>Pursuant to applicable federal law, the Port Authority and its agents are authorized to enter properties within a five-mile radius of the Air Park (such as the Project Site) to undertake such Wildlife Hazard Management activities. In the event the Project is approved despite the objections of the Port Authority, it will be necessary for the Port Authority to memorialize the authority of the Port Authority and its agents to enter onto the Project Site and conduct any Wildlife Hazard Management activities (which may include removing trees, overgrowth, animals, or other remediation activities) by executing a Memorandum of Understanding (MOU) with adjacent landowners to gain access to property in the airport environment, to mitigate and control wildlife populations that are detrimental to safe aviation operations. To date, however, the Port Authority has been unsuccessful in obtaining this Memorandum of Understanding with the Project site owners.</w:t>
      </w:r>
    </w:p>
    <w:p w14:paraId="3B371B38" w14:textId="77777777" w:rsidR="00FF360C" w:rsidRPr="00FF360C" w:rsidRDefault="00FF360C" w:rsidP="009B7DFA">
      <w:pPr>
        <w:keepNext/>
        <w:outlineLvl w:val="0"/>
        <w:rPr>
          <w:rFonts w:ascii="Arial" w:hAnsi="Arial" w:cs="Arial"/>
          <w:b/>
          <w:sz w:val="20"/>
        </w:rPr>
      </w:pPr>
    </w:p>
    <w:p w14:paraId="61A76B28" w14:textId="3E65DC6F" w:rsidR="009B7DFA" w:rsidRPr="00FF360C" w:rsidRDefault="009B7DFA" w:rsidP="009B7DFA">
      <w:pPr>
        <w:keepNext/>
        <w:outlineLvl w:val="0"/>
        <w:rPr>
          <w:rFonts w:ascii="Arial" w:hAnsi="Arial" w:cs="Arial"/>
          <w:bCs/>
          <w:sz w:val="20"/>
          <w:highlight w:val="yellow"/>
        </w:rPr>
      </w:pPr>
      <w:r w:rsidRPr="002404D5">
        <w:rPr>
          <w:rFonts w:ascii="Arial" w:hAnsi="Arial" w:cs="Arial"/>
          <w:sz w:val="20"/>
        </w:rPr>
        <w:t xml:space="preserve">Following </w:t>
      </w:r>
      <w:r w:rsidR="00FF360C" w:rsidRPr="002404D5">
        <w:rPr>
          <w:rFonts w:ascii="Arial" w:hAnsi="Arial" w:cs="Arial"/>
          <w:sz w:val="20"/>
        </w:rPr>
        <w:t>the staff report,</w:t>
      </w:r>
      <w:r w:rsidRPr="002404D5">
        <w:rPr>
          <w:rFonts w:ascii="Arial" w:hAnsi="Arial" w:cs="Arial"/>
          <w:sz w:val="20"/>
        </w:rPr>
        <w:t xml:space="preserve"> comments were solicited from several </w:t>
      </w:r>
      <w:r w:rsidR="002404D5" w:rsidRPr="002404D5">
        <w:rPr>
          <w:rFonts w:ascii="Arial" w:hAnsi="Arial" w:cs="Arial"/>
          <w:sz w:val="20"/>
        </w:rPr>
        <w:t xml:space="preserve">board members and other agencies. </w:t>
      </w:r>
    </w:p>
    <w:p w14:paraId="6EC6B69E" w14:textId="77777777" w:rsidR="009B7DFA" w:rsidRPr="009B7DFA" w:rsidRDefault="009B7DFA" w:rsidP="009B7DFA">
      <w:pPr>
        <w:keepNext/>
        <w:outlineLvl w:val="0"/>
        <w:rPr>
          <w:rFonts w:ascii="Arial" w:hAnsi="Arial" w:cs="Arial"/>
          <w:sz w:val="20"/>
          <w:highlight w:val="magenta"/>
        </w:rPr>
      </w:pPr>
    </w:p>
    <w:p w14:paraId="5858CA7A" w14:textId="5E3CDBB5" w:rsidR="009B7DFA" w:rsidRPr="002404D5" w:rsidRDefault="009B7DFA" w:rsidP="009B7DFA">
      <w:pPr>
        <w:keepNext/>
        <w:outlineLvl w:val="0"/>
        <w:rPr>
          <w:rFonts w:ascii="Arial" w:hAnsi="Arial" w:cs="Arial"/>
          <w:sz w:val="20"/>
        </w:rPr>
      </w:pPr>
      <w:r w:rsidRPr="002404D5">
        <w:rPr>
          <w:rFonts w:ascii="Arial" w:hAnsi="Arial" w:cs="Arial"/>
          <w:sz w:val="20"/>
        </w:rPr>
        <w:t xml:space="preserve">Jessica Looper, representing Sandy Creek Partners, LLC, presented documents addressing various concerns raised by the involved agencies. Alex Beres, Executive Director of the CCPA, conveyed </w:t>
      </w:r>
      <w:proofErr w:type="gramStart"/>
      <w:r w:rsidRPr="002404D5">
        <w:rPr>
          <w:rFonts w:ascii="Arial" w:hAnsi="Arial" w:cs="Arial"/>
          <w:sz w:val="20"/>
        </w:rPr>
        <w:t>that historical documents</w:t>
      </w:r>
      <w:proofErr w:type="gramEnd"/>
      <w:r w:rsidRPr="002404D5">
        <w:rPr>
          <w:rFonts w:ascii="Arial" w:hAnsi="Arial" w:cs="Arial"/>
          <w:sz w:val="20"/>
        </w:rPr>
        <w:t xml:space="preserve"> do not exceed the zoning overlay, highlighting the need for clear understanding and documentation regarding the </w:t>
      </w:r>
      <w:r w:rsidR="002404D5" w:rsidRPr="002404D5">
        <w:rPr>
          <w:rFonts w:ascii="Arial" w:hAnsi="Arial" w:cs="Arial"/>
          <w:sz w:val="20"/>
        </w:rPr>
        <w:t>management of wildlife on the property.</w:t>
      </w:r>
    </w:p>
    <w:p w14:paraId="615C868E" w14:textId="77777777" w:rsidR="009B7DFA" w:rsidRPr="002404D5" w:rsidRDefault="009B7DFA" w:rsidP="009B7DFA">
      <w:pPr>
        <w:keepNext/>
        <w:outlineLvl w:val="0"/>
        <w:rPr>
          <w:rFonts w:ascii="Arial" w:hAnsi="Arial" w:cs="Arial"/>
          <w:sz w:val="20"/>
        </w:rPr>
      </w:pPr>
    </w:p>
    <w:p w14:paraId="35A2E66E" w14:textId="600A7995" w:rsidR="009B7DFA" w:rsidRPr="002404D5" w:rsidRDefault="009B7DFA" w:rsidP="009B7DFA">
      <w:pPr>
        <w:keepNext/>
        <w:outlineLvl w:val="0"/>
        <w:rPr>
          <w:rFonts w:ascii="Arial" w:hAnsi="Arial" w:cs="Arial"/>
          <w:sz w:val="20"/>
        </w:rPr>
      </w:pPr>
      <w:r w:rsidRPr="002404D5">
        <w:rPr>
          <w:rFonts w:ascii="Arial" w:hAnsi="Arial" w:cs="Arial"/>
          <w:sz w:val="20"/>
        </w:rPr>
        <w:t xml:space="preserve">Concerns were raised about potential impacts on the nearby airport, with discussions focusing on the increased risk of wildlife interference due to the proposed change from agricultural to natural habitats. </w:t>
      </w:r>
      <w:proofErr w:type="spellStart"/>
      <w:r w:rsidRPr="002404D5">
        <w:rPr>
          <w:rFonts w:ascii="Arial" w:hAnsi="Arial" w:cs="Arial"/>
          <w:sz w:val="20"/>
        </w:rPr>
        <w:t>Chamblin</w:t>
      </w:r>
      <w:proofErr w:type="spellEnd"/>
      <w:r w:rsidRPr="002404D5">
        <w:rPr>
          <w:rFonts w:ascii="Arial" w:hAnsi="Arial" w:cs="Arial"/>
          <w:sz w:val="20"/>
        </w:rPr>
        <w:t xml:space="preserve"> emphasized the need for </w:t>
      </w:r>
      <w:r w:rsidRPr="002404D5">
        <w:rPr>
          <w:rFonts w:ascii="Arial" w:hAnsi="Arial" w:cs="Arial"/>
          <w:sz w:val="20"/>
        </w:rPr>
        <w:lastRenderedPageBreak/>
        <w:t>the port to be allowed to manage and remove wildlife, emphasizing the importance of having an MOU in place to address any such issues.</w:t>
      </w:r>
    </w:p>
    <w:p w14:paraId="456ED291" w14:textId="77777777" w:rsidR="009B7DFA" w:rsidRPr="002404D5" w:rsidRDefault="009B7DFA" w:rsidP="009B7DFA">
      <w:pPr>
        <w:keepNext/>
        <w:outlineLvl w:val="0"/>
        <w:rPr>
          <w:rFonts w:ascii="Arial" w:hAnsi="Arial" w:cs="Arial"/>
          <w:sz w:val="20"/>
        </w:rPr>
      </w:pPr>
    </w:p>
    <w:p w14:paraId="4790DEE4" w14:textId="0D22DDBF" w:rsidR="009B7DFA" w:rsidRPr="002404D5" w:rsidRDefault="009B7DFA" w:rsidP="009B7DFA">
      <w:pPr>
        <w:keepNext/>
        <w:outlineLvl w:val="0"/>
        <w:rPr>
          <w:rFonts w:ascii="Arial" w:hAnsi="Arial" w:cs="Arial"/>
          <w:sz w:val="20"/>
        </w:rPr>
      </w:pPr>
      <w:r w:rsidRPr="002404D5">
        <w:rPr>
          <w:rFonts w:ascii="Arial" w:hAnsi="Arial" w:cs="Arial"/>
          <w:sz w:val="20"/>
        </w:rPr>
        <w:t xml:space="preserve">Jessica Looper reassured the group that there should be no immediate problem, suggesting that any issues could be addressed through an MOU if they arise. Rick Walker inquired about </w:t>
      </w:r>
      <w:r w:rsidR="002404D5" w:rsidRPr="002404D5">
        <w:rPr>
          <w:rFonts w:ascii="Arial" w:hAnsi="Arial" w:cs="Arial"/>
          <w:sz w:val="20"/>
        </w:rPr>
        <w:t>letters</w:t>
      </w:r>
      <w:r w:rsidRPr="002404D5">
        <w:rPr>
          <w:rFonts w:ascii="Arial" w:hAnsi="Arial" w:cs="Arial"/>
          <w:sz w:val="20"/>
        </w:rPr>
        <w:t xml:space="preserve"> from neighboring landowners, prompting </w:t>
      </w:r>
      <w:proofErr w:type="spellStart"/>
      <w:r w:rsidRPr="002404D5">
        <w:rPr>
          <w:rFonts w:ascii="Arial" w:hAnsi="Arial" w:cs="Arial"/>
          <w:sz w:val="20"/>
        </w:rPr>
        <w:t>Chamblin</w:t>
      </w:r>
      <w:proofErr w:type="spellEnd"/>
      <w:r w:rsidRPr="002404D5">
        <w:rPr>
          <w:rFonts w:ascii="Arial" w:hAnsi="Arial" w:cs="Arial"/>
          <w:sz w:val="20"/>
        </w:rPr>
        <w:t xml:space="preserve"> to confirm the existence of MOUs with adjacent landowners.</w:t>
      </w:r>
    </w:p>
    <w:p w14:paraId="1BC39EFB" w14:textId="77777777" w:rsidR="009B7DFA" w:rsidRPr="009B7DFA" w:rsidRDefault="009B7DFA" w:rsidP="009B7DFA">
      <w:pPr>
        <w:keepNext/>
        <w:outlineLvl w:val="0"/>
        <w:rPr>
          <w:rFonts w:ascii="Arial" w:hAnsi="Arial" w:cs="Arial"/>
          <w:sz w:val="20"/>
          <w:highlight w:val="magenta"/>
        </w:rPr>
      </w:pPr>
    </w:p>
    <w:p w14:paraId="3AB6C7F8" w14:textId="77777777" w:rsidR="009B7DFA" w:rsidRPr="002404D5" w:rsidRDefault="009B7DFA" w:rsidP="009B7DFA">
      <w:pPr>
        <w:keepNext/>
        <w:outlineLvl w:val="0"/>
        <w:rPr>
          <w:rFonts w:ascii="Arial" w:hAnsi="Arial" w:cs="Arial"/>
          <w:sz w:val="20"/>
        </w:rPr>
      </w:pPr>
      <w:r w:rsidRPr="002404D5">
        <w:rPr>
          <w:rFonts w:ascii="Arial" w:hAnsi="Arial" w:cs="Arial"/>
          <w:sz w:val="20"/>
        </w:rPr>
        <w:t>Bob Thobaben, with experience in wildlife management, expressed concerns about the potential attraction of animals to newly created natural habitats. Thobaben suggested tabling the application until further discussions could be held with relevant agencies.</w:t>
      </w:r>
    </w:p>
    <w:p w14:paraId="313CA9B6" w14:textId="77777777" w:rsidR="009B7DFA" w:rsidRPr="009B7DFA" w:rsidRDefault="009B7DFA" w:rsidP="009B7DFA">
      <w:pPr>
        <w:keepNext/>
        <w:outlineLvl w:val="0"/>
        <w:rPr>
          <w:rFonts w:ascii="Arial" w:hAnsi="Arial" w:cs="Arial"/>
          <w:sz w:val="20"/>
        </w:rPr>
      </w:pPr>
    </w:p>
    <w:p w14:paraId="70D5A429" w14:textId="77777777" w:rsidR="004C5F96" w:rsidRPr="005861C4" w:rsidRDefault="004C5F96" w:rsidP="001144BE">
      <w:pPr>
        <w:keepNext/>
        <w:outlineLvl w:val="0"/>
        <w:rPr>
          <w:rFonts w:ascii="Arial" w:hAnsi="Arial" w:cs="Arial"/>
          <w:sz w:val="20"/>
          <w:highlight w:val="yellow"/>
        </w:rPr>
      </w:pPr>
    </w:p>
    <w:p w14:paraId="325B733D" w14:textId="50C21D78" w:rsidR="004C5F96" w:rsidRDefault="0018386E" w:rsidP="0018386E">
      <w:pPr>
        <w:keepNext/>
        <w:outlineLvl w:val="0"/>
        <w:rPr>
          <w:rFonts w:ascii="Arial" w:hAnsi="Arial" w:cs="Arial"/>
          <w:sz w:val="20"/>
        </w:rPr>
      </w:pPr>
      <w:bookmarkStart w:id="1" w:name="_Hlk162607993"/>
      <w:r w:rsidRPr="00080C57">
        <w:rPr>
          <w:rFonts w:ascii="Arial" w:hAnsi="Arial" w:cs="Arial"/>
          <w:sz w:val="20"/>
        </w:rPr>
        <w:t xml:space="preserve">A motion to </w:t>
      </w:r>
      <w:r w:rsidR="005861C4" w:rsidRPr="00080C57">
        <w:rPr>
          <w:rFonts w:ascii="Arial" w:hAnsi="Arial" w:cs="Arial"/>
          <w:sz w:val="20"/>
        </w:rPr>
        <w:t>table</w:t>
      </w:r>
      <w:r w:rsidRPr="00080C57">
        <w:rPr>
          <w:rFonts w:ascii="Arial" w:hAnsi="Arial" w:cs="Arial"/>
          <w:sz w:val="20"/>
        </w:rPr>
        <w:t xml:space="preserve"> the</w:t>
      </w:r>
      <w:r w:rsidR="00BA15CF" w:rsidRPr="00080C57">
        <w:rPr>
          <w:rFonts w:ascii="Arial" w:hAnsi="Arial" w:cs="Arial"/>
          <w:sz w:val="20"/>
        </w:rPr>
        <w:t xml:space="preserve"> </w:t>
      </w:r>
      <w:r w:rsidR="005861C4" w:rsidRPr="00080C57">
        <w:rPr>
          <w:rFonts w:ascii="Arial" w:hAnsi="Arial" w:cs="Arial"/>
          <w:sz w:val="20"/>
        </w:rPr>
        <w:t>site plan review application</w:t>
      </w:r>
      <w:r w:rsidR="00080C57" w:rsidRPr="00080C57">
        <w:rPr>
          <w:rFonts w:ascii="Arial" w:hAnsi="Arial" w:cs="Arial"/>
          <w:sz w:val="20"/>
        </w:rPr>
        <w:t xml:space="preserve"> for Sandy Creek Partners, LLC</w:t>
      </w:r>
      <w:r w:rsidR="005861C4" w:rsidRPr="00080C57">
        <w:rPr>
          <w:rFonts w:ascii="Arial" w:hAnsi="Arial" w:cs="Arial"/>
          <w:sz w:val="20"/>
        </w:rPr>
        <w:t xml:space="preserve"> so that the applicant can address the concerns with potentially hazardous wildlife within the Airport Zoning District</w:t>
      </w:r>
      <w:r w:rsidR="00080C57" w:rsidRPr="00080C57">
        <w:rPr>
          <w:rFonts w:ascii="Arial" w:hAnsi="Arial" w:cs="Arial"/>
          <w:sz w:val="20"/>
        </w:rPr>
        <w:t xml:space="preserve"> overlay</w:t>
      </w:r>
      <w:r w:rsidR="005861C4" w:rsidRPr="00080C57">
        <w:rPr>
          <w:rFonts w:ascii="Arial" w:hAnsi="Arial" w:cs="Arial"/>
          <w:sz w:val="20"/>
        </w:rPr>
        <w:t xml:space="preserve"> </w:t>
      </w:r>
      <w:bookmarkEnd w:id="1"/>
      <w:r w:rsidRPr="00080C57">
        <w:rPr>
          <w:rFonts w:ascii="Arial" w:hAnsi="Arial" w:cs="Arial"/>
          <w:sz w:val="20"/>
        </w:rPr>
        <w:t xml:space="preserve">was made by </w:t>
      </w:r>
      <w:r w:rsidR="00080C57" w:rsidRPr="00080C57">
        <w:rPr>
          <w:rFonts w:ascii="Arial" w:hAnsi="Arial" w:cs="Arial"/>
          <w:sz w:val="20"/>
        </w:rPr>
        <w:t>Bob Thobaben</w:t>
      </w:r>
      <w:r w:rsidRPr="00080C57">
        <w:rPr>
          <w:rFonts w:ascii="Arial" w:hAnsi="Arial" w:cs="Arial"/>
          <w:sz w:val="20"/>
        </w:rPr>
        <w:t xml:space="preserve">, seconded by </w:t>
      </w:r>
      <w:r w:rsidR="00080C57" w:rsidRPr="00080C57">
        <w:rPr>
          <w:rFonts w:ascii="Arial" w:hAnsi="Arial" w:cs="Arial"/>
          <w:sz w:val="20"/>
        </w:rPr>
        <w:t>Ryan Bowman</w:t>
      </w:r>
      <w:r w:rsidRPr="00080C57">
        <w:rPr>
          <w:rFonts w:ascii="Arial" w:hAnsi="Arial" w:cs="Arial"/>
          <w:sz w:val="20"/>
        </w:rPr>
        <w:t xml:space="preserve">, and a roll call vote: </w:t>
      </w:r>
      <w:r w:rsidR="00080C57" w:rsidRPr="00080C57">
        <w:rPr>
          <w:rFonts w:ascii="Arial" w:hAnsi="Arial" w:cs="Arial"/>
          <w:sz w:val="20"/>
        </w:rPr>
        <w:t>12</w:t>
      </w:r>
      <w:r w:rsidRPr="00080C57">
        <w:rPr>
          <w:rFonts w:ascii="Arial" w:hAnsi="Arial" w:cs="Arial"/>
          <w:sz w:val="20"/>
        </w:rPr>
        <w:t xml:space="preserve"> yea, </w:t>
      </w:r>
      <w:r w:rsidR="000A0DE0" w:rsidRPr="00080C57">
        <w:rPr>
          <w:rFonts w:ascii="Arial" w:hAnsi="Arial" w:cs="Arial"/>
          <w:sz w:val="20"/>
        </w:rPr>
        <w:t>0</w:t>
      </w:r>
      <w:r w:rsidRPr="00080C57">
        <w:rPr>
          <w:rFonts w:ascii="Arial" w:hAnsi="Arial" w:cs="Arial"/>
          <w:sz w:val="20"/>
        </w:rPr>
        <w:t xml:space="preserve"> nay, </w:t>
      </w:r>
      <w:r w:rsidR="00080C57" w:rsidRPr="00080C57">
        <w:rPr>
          <w:rFonts w:ascii="Arial" w:hAnsi="Arial" w:cs="Arial"/>
          <w:sz w:val="20"/>
        </w:rPr>
        <w:t>2</w:t>
      </w:r>
      <w:r w:rsidRPr="00080C57">
        <w:rPr>
          <w:rFonts w:ascii="Arial" w:hAnsi="Arial" w:cs="Arial"/>
          <w:sz w:val="20"/>
        </w:rPr>
        <w:t xml:space="preserve"> abstention.</w:t>
      </w:r>
    </w:p>
    <w:p w14:paraId="6813D88F" w14:textId="77777777" w:rsidR="0018386E" w:rsidRDefault="0018386E" w:rsidP="0018386E">
      <w:pPr>
        <w:keepNext/>
        <w:outlineLvl w:val="0"/>
        <w:rPr>
          <w:rFonts w:ascii="Arial" w:hAnsi="Arial" w:cs="Arial"/>
          <w:sz w:val="20"/>
        </w:rPr>
      </w:pPr>
    </w:p>
    <w:p w14:paraId="70E8C293" w14:textId="77777777" w:rsidR="00BA15CF" w:rsidRPr="001E548E" w:rsidRDefault="00BA15CF" w:rsidP="001E548E">
      <w:pPr>
        <w:keepNext/>
        <w:outlineLvl w:val="0"/>
        <w:rPr>
          <w:rFonts w:ascii="Arial" w:hAnsi="Arial" w:cs="Arial"/>
          <w:sz w:val="20"/>
        </w:rPr>
      </w:pPr>
    </w:p>
    <w:p w14:paraId="553ED44F" w14:textId="5C030A29" w:rsidR="001E765B" w:rsidRPr="00C325E4" w:rsidRDefault="001E765B" w:rsidP="001E765B">
      <w:pPr>
        <w:keepNext/>
        <w:outlineLvl w:val="0"/>
        <w:rPr>
          <w:rFonts w:ascii="Arial" w:hAnsi="Arial" w:cs="Arial"/>
          <w:b/>
          <w:bCs/>
          <w:sz w:val="20"/>
        </w:rPr>
      </w:pPr>
      <w:bookmarkStart w:id="2" w:name="_Hlk156812521"/>
      <w:r w:rsidRPr="00C325E4">
        <w:rPr>
          <w:rFonts w:ascii="Arial" w:hAnsi="Arial" w:cs="Arial"/>
          <w:b/>
          <w:bCs/>
          <w:sz w:val="20"/>
        </w:rPr>
        <w:t>FINANCIAL REPORT</w:t>
      </w:r>
      <w:r>
        <w:rPr>
          <w:rFonts w:ascii="Arial" w:hAnsi="Arial" w:cs="Arial"/>
          <w:b/>
          <w:bCs/>
          <w:sz w:val="20"/>
        </w:rPr>
        <w:t xml:space="preserve"> AND BILLS</w:t>
      </w:r>
    </w:p>
    <w:bookmarkEnd w:id="2"/>
    <w:p w14:paraId="6663CF5C" w14:textId="77777777" w:rsidR="001E765B" w:rsidRDefault="001E765B" w:rsidP="001E765B">
      <w:pPr>
        <w:rPr>
          <w:rFonts w:ascii="Arial" w:hAnsi="Arial" w:cs="Arial"/>
          <w:sz w:val="20"/>
          <w:szCs w:val="20"/>
        </w:rPr>
      </w:pPr>
    </w:p>
    <w:p w14:paraId="52F22ACC" w14:textId="4CDDDCCC" w:rsidR="00443611" w:rsidRDefault="00605B70" w:rsidP="00624066">
      <w:pPr>
        <w:rPr>
          <w:rFonts w:ascii="Arial" w:hAnsi="Arial" w:cs="Arial"/>
          <w:sz w:val="20"/>
          <w:szCs w:val="20"/>
        </w:rPr>
      </w:pPr>
      <w:r>
        <w:rPr>
          <w:rFonts w:ascii="Arial" w:hAnsi="Arial" w:cs="Arial"/>
          <w:sz w:val="20"/>
          <w:szCs w:val="20"/>
        </w:rPr>
        <w:t>Drew DeMarsh</w:t>
      </w:r>
      <w:r w:rsidR="00624066" w:rsidRPr="00624066">
        <w:rPr>
          <w:rFonts w:ascii="Arial" w:hAnsi="Arial" w:cs="Arial"/>
          <w:sz w:val="20"/>
          <w:szCs w:val="20"/>
        </w:rPr>
        <w:t xml:space="preserve"> presented the </w:t>
      </w:r>
      <w:r>
        <w:rPr>
          <w:rFonts w:ascii="Arial" w:hAnsi="Arial" w:cs="Arial"/>
          <w:sz w:val="20"/>
          <w:szCs w:val="20"/>
        </w:rPr>
        <w:t xml:space="preserve">financial reports and noted that </w:t>
      </w:r>
      <w:r w:rsidR="005861C4">
        <w:rPr>
          <w:rFonts w:ascii="Arial" w:hAnsi="Arial" w:cs="Arial"/>
          <w:sz w:val="20"/>
          <w:szCs w:val="20"/>
        </w:rPr>
        <w:t>a bill</w:t>
      </w:r>
      <w:r>
        <w:rPr>
          <w:rFonts w:ascii="Arial" w:hAnsi="Arial" w:cs="Arial"/>
          <w:sz w:val="20"/>
          <w:szCs w:val="20"/>
        </w:rPr>
        <w:t xml:space="preserve"> </w:t>
      </w:r>
      <w:r w:rsidR="005861C4">
        <w:rPr>
          <w:rFonts w:ascii="Arial" w:hAnsi="Arial" w:cs="Arial"/>
          <w:sz w:val="20"/>
          <w:szCs w:val="20"/>
        </w:rPr>
        <w:t>was</w:t>
      </w:r>
      <w:r>
        <w:rPr>
          <w:rFonts w:ascii="Arial" w:hAnsi="Arial" w:cs="Arial"/>
          <w:sz w:val="20"/>
          <w:szCs w:val="20"/>
        </w:rPr>
        <w:t xml:space="preserve"> approved at the Executive Committee meeting and the bill w</w:t>
      </w:r>
      <w:r w:rsidR="005861C4">
        <w:rPr>
          <w:rFonts w:ascii="Arial" w:hAnsi="Arial" w:cs="Arial"/>
          <w:sz w:val="20"/>
          <w:szCs w:val="20"/>
        </w:rPr>
        <w:t>as</w:t>
      </w:r>
      <w:r>
        <w:rPr>
          <w:rFonts w:ascii="Arial" w:hAnsi="Arial" w:cs="Arial"/>
          <w:sz w:val="20"/>
          <w:szCs w:val="20"/>
        </w:rPr>
        <w:t xml:space="preserve"> listed in the meeting minutes</w:t>
      </w:r>
      <w:r w:rsidR="006B7A3E">
        <w:rPr>
          <w:rFonts w:ascii="Arial" w:hAnsi="Arial" w:cs="Arial"/>
          <w:sz w:val="20"/>
          <w:szCs w:val="20"/>
        </w:rPr>
        <w:t>. The</w:t>
      </w:r>
      <w:r w:rsidR="000417F4">
        <w:rPr>
          <w:rFonts w:ascii="Arial" w:hAnsi="Arial" w:cs="Arial"/>
          <w:sz w:val="20"/>
          <w:szCs w:val="20"/>
        </w:rPr>
        <w:t xml:space="preserve"> </w:t>
      </w:r>
      <w:r w:rsidR="005861C4">
        <w:rPr>
          <w:rFonts w:ascii="Arial" w:hAnsi="Arial" w:cs="Arial"/>
          <w:sz w:val="20"/>
          <w:szCs w:val="20"/>
        </w:rPr>
        <w:t>bill</w:t>
      </w:r>
      <w:r w:rsidR="006B7A3E">
        <w:rPr>
          <w:rFonts w:ascii="Arial" w:hAnsi="Arial" w:cs="Arial"/>
          <w:sz w:val="20"/>
          <w:szCs w:val="20"/>
        </w:rPr>
        <w:t xml:space="preserve"> </w:t>
      </w:r>
      <w:r w:rsidR="005861C4">
        <w:rPr>
          <w:rFonts w:ascii="Arial" w:hAnsi="Arial" w:cs="Arial"/>
          <w:sz w:val="20"/>
          <w:szCs w:val="20"/>
        </w:rPr>
        <w:t xml:space="preserve">was for paying the Ohio Secretary of State for Clinton Count Land Bank updates in the amount of $55.00 that will be reimbursed by the Land Bank. </w:t>
      </w:r>
      <w:r w:rsidR="00533D25">
        <w:rPr>
          <w:rFonts w:ascii="Arial" w:hAnsi="Arial" w:cs="Arial"/>
          <w:sz w:val="20"/>
          <w:szCs w:val="20"/>
        </w:rPr>
        <w:t xml:space="preserve">Drew DeMarsh also provided an update that the CCRPC would have an intern starting in May and that the RPC has the funds to cover the </w:t>
      </w:r>
      <w:proofErr w:type="gramStart"/>
      <w:r w:rsidR="00533D25">
        <w:rPr>
          <w:rFonts w:ascii="Arial" w:hAnsi="Arial" w:cs="Arial"/>
          <w:sz w:val="20"/>
          <w:szCs w:val="20"/>
        </w:rPr>
        <w:t>interns</w:t>
      </w:r>
      <w:proofErr w:type="gramEnd"/>
      <w:r w:rsidR="00533D25">
        <w:rPr>
          <w:rFonts w:ascii="Arial" w:hAnsi="Arial" w:cs="Arial"/>
          <w:sz w:val="20"/>
          <w:szCs w:val="20"/>
        </w:rPr>
        <w:t xml:space="preserve"> wage. </w:t>
      </w:r>
    </w:p>
    <w:p w14:paraId="159B4556" w14:textId="00BFBB34" w:rsidR="00BE5E75" w:rsidRDefault="00BE5E75" w:rsidP="00624066">
      <w:pPr>
        <w:rPr>
          <w:rFonts w:ascii="Arial" w:hAnsi="Arial" w:cs="Arial"/>
          <w:sz w:val="20"/>
          <w:szCs w:val="20"/>
        </w:rPr>
      </w:pPr>
    </w:p>
    <w:p w14:paraId="567D6DE4" w14:textId="0EED8543" w:rsidR="00BE5E75" w:rsidRDefault="00BE5E75" w:rsidP="00624066">
      <w:pPr>
        <w:rPr>
          <w:rFonts w:ascii="Arial" w:hAnsi="Arial" w:cs="Arial"/>
          <w:sz w:val="20"/>
          <w:szCs w:val="20"/>
        </w:rPr>
      </w:pPr>
      <w:r>
        <w:rPr>
          <w:rFonts w:ascii="Arial" w:hAnsi="Arial" w:cs="Arial"/>
          <w:sz w:val="20"/>
          <w:szCs w:val="20"/>
        </w:rPr>
        <w:t xml:space="preserve">A motion to approve the financial reports was made by </w:t>
      </w:r>
      <w:r w:rsidR="005861C4">
        <w:rPr>
          <w:rFonts w:ascii="Arial" w:hAnsi="Arial" w:cs="Arial"/>
          <w:sz w:val="20"/>
          <w:szCs w:val="20"/>
        </w:rPr>
        <w:t>John Cohmer</w:t>
      </w:r>
      <w:r>
        <w:rPr>
          <w:rFonts w:ascii="Arial" w:hAnsi="Arial" w:cs="Arial"/>
          <w:sz w:val="20"/>
          <w:szCs w:val="20"/>
        </w:rPr>
        <w:t xml:space="preserve">, seconded by </w:t>
      </w:r>
      <w:r w:rsidR="005861C4">
        <w:rPr>
          <w:rFonts w:ascii="Arial" w:hAnsi="Arial" w:cs="Arial"/>
          <w:sz w:val="20"/>
          <w:szCs w:val="20"/>
        </w:rPr>
        <w:t>Benjamin Collings</w:t>
      </w:r>
      <w:r>
        <w:rPr>
          <w:rFonts w:ascii="Arial" w:hAnsi="Arial" w:cs="Arial"/>
          <w:sz w:val="20"/>
          <w:szCs w:val="20"/>
        </w:rPr>
        <w:t xml:space="preserve">, and a </w:t>
      </w:r>
      <w:r w:rsidR="005861C4" w:rsidRPr="005861C4">
        <w:rPr>
          <w:rFonts w:ascii="Arial" w:hAnsi="Arial" w:cs="Arial"/>
          <w:sz w:val="20"/>
          <w:szCs w:val="20"/>
        </w:rPr>
        <w:t>voice vote: all yeas.</w:t>
      </w:r>
    </w:p>
    <w:p w14:paraId="2D81F7FB" w14:textId="6E132F2C" w:rsidR="00443611" w:rsidRDefault="00443611" w:rsidP="00624066">
      <w:pPr>
        <w:rPr>
          <w:rFonts w:ascii="Arial" w:hAnsi="Arial" w:cs="Arial"/>
          <w:sz w:val="20"/>
          <w:szCs w:val="20"/>
        </w:rPr>
      </w:pPr>
    </w:p>
    <w:p w14:paraId="5F12C102" w14:textId="77777777" w:rsidR="001E765B" w:rsidRDefault="001E765B" w:rsidP="001E765B">
      <w:pPr>
        <w:rPr>
          <w:rFonts w:ascii="Arial" w:hAnsi="Arial" w:cs="Arial"/>
          <w:b/>
          <w:sz w:val="20"/>
        </w:rPr>
      </w:pPr>
    </w:p>
    <w:p w14:paraId="6D8354CC" w14:textId="58FF6C6B" w:rsidR="001E765B" w:rsidRDefault="001E765B" w:rsidP="001E765B">
      <w:pPr>
        <w:rPr>
          <w:rFonts w:ascii="Arial" w:hAnsi="Arial" w:cs="Arial"/>
          <w:b/>
          <w:sz w:val="20"/>
        </w:rPr>
      </w:pPr>
      <w:r>
        <w:rPr>
          <w:rFonts w:ascii="Arial" w:hAnsi="Arial" w:cs="Arial"/>
          <w:b/>
          <w:sz w:val="20"/>
        </w:rPr>
        <w:t>RPC STAFF UPDATE</w:t>
      </w:r>
    </w:p>
    <w:p w14:paraId="59EF265A" w14:textId="469F3099" w:rsidR="006B7A3E" w:rsidRDefault="006B7A3E" w:rsidP="001E765B">
      <w:pPr>
        <w:rPr>
          <w:rFonts w:ascii="Arial" w:hAnsi="Arial" w:cs="Arial"/>
          <w:b/>
          <w:sz w:val="20"/>
        </w:rPr>
      </w:pPr>
    </w:p>
    <w:p w14:paraId="257B07B8" w14:textId="6C615906" w:rsidR="00080C57" w:rsidRDefault="00080C57" w:rsidP="001E765B">
      <w:pPr>
        <w:rPr>
          <w:rFonts w:ascii="Arial" w:hAnsi="Arial" w:cs="Arial"/>
          <w:sz w:val="20"/>
        </w:rPr>
      </w:pPr>
      <w:r>
        <w:rPr>
          <w:rFonts w:ascii="Arial" w:hAnsi="Arial" w:cs="Arial"/>
          <w:sz w:val="20"/>
        </w:rPr>
        <w:t xml:space="preserve">The Clinton County Port Authority and Clinton County Economic Development presented an update of what projects they are working on and how their organizations can be of help and collaborate with the County leaders and businesses. </w:t>
      </w:r>
      <w:r w:rsidR="00533D25">
        <w:rPr>
          <w:rFonts w:ascii="Arial" w:hAnsi="Arial" w:cs="Arial"/>
          <w:sz w:val="20"/>
        </w:rPr>
        <w:t>Ruth Brindle with Workforce Development invited members of the Regional Planning Commission to attend Site Selection</w:t>
      </w:r>
      <w:r w:rsidR="006B6D09">
        <w:rPr>
          <w:rFonts w:ascii="Arial" w:hAnsi="Arial" w:cs="Arial"/>
          <w:sz w:val="20"/>
        </w:rPr>
        <w:t xml:space="preserve"> Trends with InSite Consulting on Tuesday April 23</w:t>
      </w:r>
      <w:r w:rsidR="006B6D09" w:rsidRPr="006B6D09">
        <w:rPr>
          <w:rFonts w:ascii="Arial" w:hAnsi="Arial" w:cs="Arial"/>
          <w:sz w:val="20"/>
          <w:vertAlign w:val="superscript"/>
        </w:rPr>
        <w:t>rd</w:t>
      </w:r>
      <w:r w:rsidR="006B6D09">
        <w:rPr>
          <w:rFonts w:ascii="Arial" w:hAnsi="Arial" w:cs="Arial"/>
          <w:sz w:val="20"/>
        </w:rPr>
        <w:t xml:space="preserve">, 2024 at the Wilmington Air Park. </w:t>
      </w:r>
    </w:p>
    <w:p w14:paraId="7231D6CC" w14:textId="77777777" w:rsidR="00080C57" w:rsidRDefault="00080C57" w:rsidP="001E765B">
      <w:pPr>
        <w:rPr>
          <w:rFonts w:ascii="Arial" w:hAnsi="Arial" w:cs="Arial"/>
          <w:sz w:val="20"/>
        </w:rPr>
      </w:pPr>
    </w:p>
    <w:p w14:paraId="188A7B3C" w14:textId="7BE3EE17" w:rsidR="00080C57" w:rsidRDefault="00080C57" w:rsidP="001E765B">
      <w:pPr>
        <w:rPr>
          <w:rFonts w:ascii="Arial" w:hAnsi="Arial" w:cs="Arial"/>
          <w:sz w:val="20"/>
        </w:rPr>
      </w:pPr>
      <w:r>
        <w:rPr>
          <w:rFonts w:ascii="Arial" w:hAnsi="Arial" w:cs="Arial"/>
          <w:sz w:val="20"/>
        </w:rPr>
        <w:t xml:space="preserve">Drew DeMarsh provided an updated revision of the CCRPC’s bylaws that needed to be approved. Pat Thompson asked that the updated bylaws be added to the CCRPC’s website. </w:t>
      </w:r>
    </w:p>
    <w:p w14:paraId="61324EC2" w14:textId="62044922" w:rsidR="00080C57" w:rsidRDefault="00080C57" w:rsidP="001E765B">
      <w:pPr>
        <w:rPr>
          <w:rFonts w:ascii="Arial" w:hAnsi="Arial" w:cs="Arial"/>
          <w:sz w:val="20"/>
        </w:rPr>
      </w:pPr>
    </w:p>
    <w:p w14:paraId="59768354" w14:textId="766C5C71" w:rsidR="00080C57" w:rsidRDefault="00080C57" w:rsidP="001E765B">
      <w:pPr>
        <w:rPr>
          <w:rFonts w:ascii="Arial" w:hAnsi="Arial" w:cs="Arial"/>
          <w:sz w:val="20"/>
        </w:rPr>
      </w:pPr>
      <w:r>
        <w:rPr>
          <w:rFonts w:ascii="Arial" w:hAnsi="Arial" w:cs="Arial"/>
          <w:sz w:val="20"/>
        </w:rPr>
        <w:t xml:space="preserve">A motion to approve the updated bylaws was made by Benjamin Collings, seconded by John Cohmer, and a roll call vote: 14 yea, 0 nay, 0 abstention. </w:t>
      </w:r>
    </w:p>
    <w:p w14:paraId="36234F31" w14:textId="6DA11A69" w:rsidR="00533D25" w:rsidRDefault="00533D25" w:rsidP="001E765B">
      <w:pPr>
        <w:rPr>
          <w:rFonts w:ascii="Arial" w:hAnsi="Arial" w:cs="Arial"/>
          <w:sz w:val="20"/>
        </w:rPr>
      </w:pPr>
    </w:p>
    <w:p w14:paraId="587F2940" w14:textId="77777777" w:rsidR="006B6D09" w:rsidRDefault="006B6D09" w:rsidP="001E765B">
      <w:pPr>
        <w:rPr>
          <w:rFonts w:ascii="Arial" w:hAnsi="Arial" w:cs="Arial"/>
          <w:sz w:val="20"/>
        </w:rPr>
      </w:pPr>
    </w:p>
    <w:p w14:paraId="3B2BA6A3" w14:textId="71CC2353" w:rsidR="00533D25" w:rsidRDefault="006B6D09" w:rsidP="001E765B">
      <w:pPr>
        <w:rPr>
          <w:rFonts w:ascii="Arial" w:hAnsi="Arial" w:cs="Arial"/>
          <w:sz w:val="20"/>
        </w:rPr>
      </w:pPr>
      <w:r>
        <w:rPr>
          <w:rFonts w:ascii="Arial" w:hAnsi="Arial" w:cs="Arial"/>
          <w:sz w:val="20"/>
        </w:rPr>
        <w:t xml:space="preserve">Drew DeMarsh gave an update to the Commission that </w:t>
      </w:r>
      <w:r w:rsidRPr="006B6D09">
        <w:rPr>
          <w:rFonts w:ascii="Arial" w:hAnsi="Arial" w:cs="Arial"/>
          <w:sz w:val="20"/>
        </w:rPr>
        <w:t>David Milender concluded his tenure at the County Prosecutor's office. Following his departure, he presented a proposal from his firm, Ohio Valley Legal, including a quote to represent the Regional Planning Commission</w:t>
      </w:r>
      <w:r>
        <w:rPr>
          <w:rFonts w:ascii="Arial" w:hAnsi="Arial" w:cs="Arial"/>
          <w:sz w:val="20"/>
        </w:rPr>
        <w:t xml:space="preserve">. Drew DeMarsh told the board the Executive Committee approved to hire Ohio Valley Legal and </w:t>
      </w:r>
      <w:r w:rsidR="00934348">
        <w:rPr>
          <w:rFonts w:ascii="Arial" w:hAnsi="Arial" w:cs="Arial"/>
          <w:sz w:val="20"/>
        </w:rPr>
        <w:t>that the Committee</w:t>
      </w:r>
      <w:r>
        <w:rPr>
          <w:rFonts w:ascii="Arial" w:hAnsi="Arial" w:cs="Arial"/>
          <w:sz w:val="20"/>
        </w:rPr>
        <w:t xml:space="preserve"> recommend</w:t>
      </w:r>
      <w:r w:rsidR="00934348">
        <w:rPr>
          <w:rFonts w:ascii="Arial" w:hAnsi="Arial" w:cs="Arial"/>
          <w:sz w:val="20"/>
        </w:rPr>
        <w:t>s</w:t>
      </w:r>
      <w:r>
        <w:rPr>
          <w:rFonts w:ascii="Arial" w:hAnsi="Arial" w:cs="Arial"/>
          <w:sz w:val="20"/>
        </w:rPr>
        <w:t xml:space="preserve"> the Land Bank hire Ohio Valley Legal to represent </w:t>
      </w:r>
      <w:r w:rsidR="00934348">
        <w:rPr>
          <w:rFonts w:ascii="Arial" w:hAnsi="Arial" w:cs="Arial"/>
          <w:sz w:val="20"/>
        </w:rPr>
        <w:t xml:space="preserve">the Land Bank as well. </w:t>
      </w:r>
      <w:r w:rsidR="00934348" w:rsidRPr="00934348">
        <w:rPr>
          <w:rFonts w:ascii="Arial" w:hAnsi="Arial" w:cs="Arial"/>
          <w:sz w:val="20"/>
        </w:rPr>
        <w:t>The board discussed the proposal and asked questions to clarify its details.</w:t>
      </w:r>
    </w:p>
    <w:p w14:paraId="261B4D34" w14:textId="77777777" w:rsidR="002A5D05" w:rsidRDefault="002A5D05" w:rsidP="001E765B">
      <w:pPr>
        <w:rPr>
          <w:rFonts w:ascii="Arial" w:hAnsi="Arial" w:cs="Arial"/>
          <w:sz w:val="20"/>
        </w:rPr>
      </w:pPr>
    </w:p>
    <w:p w14:paraId="0EBE8C63" w14:textId="3BB4D474" w:rsidR="001E765B" w:rsidRDefault="001E765B" w:rsidP="001E765B">
      <w:pPr>
        <w:rPr>
          <w:rFonts w:ascii="Arial" w:hAnsi="Arial" w:cs="Arial"/>
          <w:sz w:val="20"/>
        </w:rPr>
      </w:pPr>
      <w:r>
        <w:rPr>
          <w:rFonts w:ascii="Arial" w:hAnsi="Arial" w:cs="Arial"/>
          <w:sz w:val="20"/>
        </w:rPr>
        <w:t xml:space="preserve">With no further business to conduct, the Commission adjourned by motion from </w:t>
      </w:r>
      <w:r w:rsidR="005861C4">
        <w:rPr>
          <w:rFonts w:ascii="Arial" w:hAnsi="Arial" w:cs="Arial"/>
          <w:sz w:val="20"/>
          <w:szCs w:val="20"/>
        </w:rPr>
        <w:t>Pat Thompson</w:t>
      </w:r>
      <w:r>
        <w:rPr>
          <w:rFonts w:ascii="Arial" w:hAnsi="Arial" w:cs="Arial"/>
          <w:sz w:val="20"/>
          <w:szCs w:val="20"/>
        </w:rPr>
        <w:t xml:space="preserve"> a</w:t>
      </w:r>
      <w:r>
        <w:rPr>
          <w:rFonts w:ascii="Arial" w:hAnsi="Arial" w:cs="Arial"/>
          <w:sz w:val="20"/>
        </w:rPr>
        <w:t xml:space="preserve">t approx. </w:t>
      </w:r>
      <w:r w:rsidR="006B7A3E">
        <w:rPr>
          <w:rFonts w:ascii="Arial" w:hAnsi="Arial" w:cs="Arial"/>
          <w:sz w:val="20"/>
        </w:rPr>
        <w:t>8:</w:t>
      </w:r>
      <w:r w:rsidR="005861C4">
        <w:rPr>
          <w:rFonts w:ascii="Arial" w:hAnsi="Arial" w:cs="Arial"/>
          <w:sz w:val="20"/>
        </w:rPr>
        <w:t>09</w:t>
      </w:r>
      <w:r w:rsidR="00AF604B">
        <w:rPr>
          <w:rFonts w:ascii="Arial" w:hAnsi="Arial" w:cs="Arial"/>
          <w:sz w:val="20"/>
        </w:rPr>
        <w:t xml:space="preserve"> </w:t>
      </w:r>
      <w:r>
        <w:rPr>
          <w:rFonts w:ascii="Arial" w:hAnsi="Arial" w:cs="Arial"/>
          <w:sz w:val="20"/>
        </w:rPr>
        <w:t>pm</w:t>
      </w:r>
      <w:r w:rsidR="00114469">
        <w:rPr>
          <w:rFonts w:ascii="Arial" w:hAnsi="Arial" w:cs="Arial"/>
          <w:sz w:val="20"/>
        </w:rPr>
        <w:t xml:space="preserve">, seconded by </w:t>
      </w:r>
      <w:r w:rsidR="005861C4">
        <w:rPr>
          <w:rFonts w:ascii="Arial" w:hAnsi="Arial" w:cs="Arial"/>
          <w:sz w:val="20"/>
        </w:rPr>
        <w:t>John Carmen</w:t>
      </w:r>
      <w:r w:rsidR="00114469">
        <w:rPr>
          <w:rFonts w:ascii="Arial" w:hAnsi="Arial" w:cs="Arial"/>
          <w:sz w:val="20"/>
        </w:rPr>
        <w:t xml:space="preserve">. </w:t>
      </w:r>
    </w:p>
    <w:p w14:paraId="0D32DF9D" w14:textId="0DA1AA8D" w:rsidR="001E765B" w:rsidRDefault="001E765B" w:rsidP="001E765B">
      <w:pPr>
        <w:rPr>
          <w:rFonts w:ascii="Arial" w:hAnsi="Arial" w:cs="Arial"/>
          <w:sz w:val="20"/>
        </w:rPr>
      </w:pPr>
    </w:p>
    <w:p w14:paraId="0E18A59D" w14:textId="629628F6" w:rsidR="002404D5" w:rsidRDefault="002404D5" w:rsidP="001E765B">
      <w:pPr>
        <w:rPr>
          <w:rFonts w:ascii="Arial" w:hAnsi="Arial" w:cs="Arial"/>
          <w:sz w:val="20"/>
        </w:rPr>
      </w:pPr>
    </w:p>
    <w:p w14:paraId="35AE56A9" w14:textId="7C3F5D72" w:rsidR="002404D5" w:rsidRDefault="002404D5" w:rsidP="001E765B">
      <w:pPr>
        <w:rPr>
          <w:rFonts w:ascii="Arial" w:hAnsi="Arial" w:cs="Arial"/>
          <w:sz w:val="20"/>
        </w:rPr>
      </w:pPr>
    </w:p>
    <w:p w14:paraId="25F0C644" w14:textId="20F2EF41" w:rsidR="002404D5" w:rsidRDefault="002404D5" w:rsidP="001E765B">
      <w:pPr>
        <w:rPr>
          <w:rFonts w:ascii="Arial" w:hAnsi="Arial" w:cs="Arial"/>
          <w:sz w:val="20"/>
        </w:rPr>
      </w:pPr>
    </w:p>
    <w:p w14:paraId="22D14E35" w14:textId="52B20691" w:rsidR="002404D5" w:rsidRDefault="002404D5" w:rsidP="001E765B">
      <w:pPr>
        <w:rPr>
          <w:rFonts w:ascii="Arial" w:hAnsi="Arial" w:cs="Arial"/>
          <w:sz w:val="20"/>
        </w:rPr>
      </w:pPr>
    </w:p>
    <w:p w14:paraId="12B2D52D" w14:textId="77777777" w:rsidR="002404D5" w:rsidRDefault="002404D5" w:rsidP="001E765B">
      <w:pPr>
        <w:rPr>
          <w:rFonts w:ascii="Arial" w:hAnsi="Arial" w:cs="Arial"/>
          <w:sz w:val="20"/>
        </w:rPr>
      </w:pPr>
    </w:p>
    <w:p w14:paraId="46E1A954" w14:textId="77777777" w:rsidR="00605B70" w:rsidRDefault="00605B70" w:rsidP="001E765B">
      <w:pPr>
        <w:rPr>
          <w:rFonts w:ascii="Arial" w:hAnsi="Arial" w:cs="Arial"/>
          <w:sz w:val="20"/>
        </w:rPr>
      </w:pPr>
    </w:p>
    <w:p w14:paraId="256551A9" w14:textId="1423FC20" w:rsidR="001E765B" w:rsidRPr="003946C3" w:rsidRDefault="001E765B" w:rsidP="001E765B">
      <w:pPr>
        <w:rPr>
          <w:rFonts w:ascii="Arial" w:hAnsi="Arial" w:cs="Arial"/>
          <w:sz w:val="16"/>
          <w:szCs w:val="16"/>
        </w:rPr>
      </w:pPr>
      <w:r>
        <w:rPr>
          <w:rFonts w:ascii="Arial" w:hAnsi="Arial" w:cs="Arial"/>
          <w:sz w:val="20"/>
        </w:rPr>
        <w:lastRenderedPageBreak/>
        <w:t>Respectfully submitted and approved this _________ day of _________ 202</w:t>
      </w:r>
      <w:r w:rsidR="00605B70">
        <w:rPr>
          <w:rFonts w:ascii="Arial" w:hAnsi="Arial" w:cs="Arial"/>
          <w:sz w:val="20"/>
        </w:rPr>
        <w:t>4</w:t>
      </w:r>
      <w:r>
        <w:rPr>
          <w:rFonts w:ascii="Arial" w:hAnsi="Arial" w:cs="Arial"/>
          <w:sz w:val="20"/>
        </w:rPr>
        <w:t>.</w:t>
      </w:r>
    </w:p>
    <w:tbl>
      <w:tblPr>
        <w:tblW w:w="0" w:type="auto"/>
        <w:tblLook w:val="0000" w:firstRow="0" w:lastRow="0" w:firstColumn="0" w:lastColumn="0" w:noHBand="0" w:noVBand="0"/>
      </w:tblPr>
      <w:tblGrid>
        <w:gridCol w:w="5718"/>
        <w:gridCol w:w="3858"/>
      </w:tblGrid>
      <w:tr w:rsidR="001E765B" w14:paraId="409906B4" w14:textId="77777777" w:rsidTr="006D04BD">
        <w:tc>
          <w:tcPr>
            <w:tcW w:w="5718" w:type="dxa"/>
          </w:tcPr>
          <w:p w14:paraId="3AFA7AC4" w14:textId="77777777" w:rsidR="001E765B" w:rsidRDefault="001E765B" w:rsidP="006D04BD">
            <w:pPr>
              <w:rPr>
                <w:rFonts w:ascii="Arial" w:hAnsi="Arial" w:cs="Arial"/>
                <w:sz w:val="20"/>
              </w:rPr>
            </w:pPr>
          </w:p>
          <w:p w14:paraId="364477C9" w14:textId="77777777" w:rsidR="001E765B" w:rsidRDefault="001E765B" w:rsidP="006D04BD">
            <w:pPr>
              <w:rPr>
                <w:rFonts w:ascii="Arial" w:hAnsi="Arial" w:cs="Arial"/>
                <w:sz w:val="20"/>
              </w:rPr>
            </w:pPr>
          </w:p>
          <w:p w14:paraId="7BB437E7"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4BD1899C" w14:textId="77777777" w:rsidR="001E765B" w:rsidRDefault="001E765B" w:rsidP="006D04BD">
            <w:pPr>
              <w:rPr>
                <w:rFonts w:ascii="Arial" w:hAnsi="Arial" w:cs="Arial"/>
                <w:sz w:val="20"/>
              </w:rPr>
            </w:pPr>
          </w:p>
        </w:tc>
      </w:tr>
      <w:tr w:rsidR="001E765B" w14:paraId="1A5FA4A0" w14:textId="77777777" w:rsidTr="006D04BD">
        <w:tc>
          <w:tcPr>
            <w:tcW w:w="5718" w:type="dxa"/>
          </w:tcPr>
          <w:p w14:paraId="49A309D9" w14:textId="2E5181B7" w:rsidR="001E765B" w:rsidRDefault="00605B70" w:rsidP="006D04BD">
            <w:pPr>
              <w:rPr>
                <w:rFonts w:ascii="Arial" w:hAnsi="Arial" w:cs="Arial"/>
                <w:sz w:val="18"/>
              </w:rPr>
            </w:pPr>
            <w:r>
              <w:rPr>
                <w:rFonts w:ascii="Arial" w:hAnsi="Arial" w:cs="Arial"/>
                <w:sz w:val="18"/>
              </w:rPr>
              <w:t>Ruth Brindle</w:t>
            </w:r>
            <w:r w:rsidR="001E765B">
              <w:rPr>
                <w:rFonts w:ascii="Arial" w:hAnsi="Arial" w:cs="Arial"/>
                <w:sz w:val="18"/>
              </w:rPr>
              <w:t>, Chairman</w:t>
            </w:r>
          </w:p>
        </w:tc>
        <w:tc>
          <w:tcPr>
            <w:tcW w:w="3858" w:type="dxa"/>
          </w:tcPr>
          <w:p w14:paraId="0EBD973C" w14:textId="77777777" w:rsidR="001E765B" w:rsidRDefault="001E765B" w:rsidP="006D04BD">
            <w:pPr>
              <w:rPr>
                <w:rFonts w:ascii="Arial" w:hAnsi="Arial" w:cs="Arial"/>
                <w:sz w:val="18"/>
              </w:rPr>
            </w:pPr>
          </w:p>
        </w:tc>
      </w:tr>
      <w:tr w:rsidR="001E765B" w14:paraId="3FB768C5" w14:textId="77777777" w:rsidTr="006D04BD">
        <w:tc>
          <w:tcPr>
            <w:tcW w:w="5718" w:type="dxa"/>
          </w:tcPr>
          <w:p w14:paraId="623B6112" w14:textId="77777777" w:rsidR="001E765B" w:rsidRDefault="001E765B" w:rsidP="006D04BD">
            <w:pPr>
              <w:rPr>
                <w:rFonts w:ascii="Arial" w:hAnsi="Arial" w:cs="Arial"/>
                <w:sz w:val="20"/>
              </w:rPr>
            </w:pPr>
          </w:p>
          <w:p w14:paraId="1B07CC4E"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15357ADF" w14:textId="77777777" w:rsidR="001E765B" w:rsidRDefault="001E765B" w:rsidP="006D04BD">
            <w:pPr>
              <w:rPr>
                <w:rFonts w:ascii="Arial" w:hAnsi="Arial" w:cs="Arial"/>
                <w:sz w:val="20"/>
              </w:rPr>
            </w:pPr>
          </w:p>
        </w:tc>
      </w:tr>
      <w:tr w:rsidR="001E765B" w14:paraId="4EC8887C" w14:textId="77777777" w:rsidTr="006D04BD">
        <w:tc>
          <w:tcPr>
            <w:tcW w:w="5718" w:type="dxa"/>
          </w:tcPr>
          <w:p w14:paraId="7A3B2A66" w14:textId="77777777" w:rsidR="001E765B" w:rsidRDefault="001E765B" w:rsidP="006D04BD">
            <w:pPr>
              <w:rPr>
                <w:rFonts w:ascii="Arial" w:hAnsi="Arial" w:cs="Arial"/>
                <w:sz w:val="18"/>
              </w:rPr>
            </w:pPr>
            <w:r w:rsidRPr="006B7A3E">
              <w:rPr>
                <w:rFonts w:ascii="Arial" w:hAnsi="Arial" w:cs="Arial"/>
                <w:sz w:val="18"/>
              </w:rPr>
              <w:t>Robert Thobaben, Secretary</w:t>
            </w:r>
          </w:p>
          <w:p w14:paraId="4AD68D48" w14:textId="77777777" w:rsidR="001E765B" w:rsidRDefault="001E765B" w:rsidP="006D04BD">
            <w:pPr>
              <w:rPr>
                <w:rFonts w:ascii="Arial" w:hAnsi="Arial" w:cs="Arial"/>
                <w:sz w:val="18"/>
              </w:rPr>
            </w:pPr>
          </w:p>
        </w:tc>
        <w:tc>
          <w:tcPr>
            <w:tcW w:w="3858" w:type="dxa"/>
          </w:tcPr>
          <w:p w14:paraId="23F6D14F" w14:textId="77777777" w:rsidR="001E765B" w:rsidRDefault="001E765B" w:rsidP="006D04BD">
            <w:pPr>
              <w:rPr>
                <w:rFonts w:ascii="Arial" w:hAnsi="Arial" w:cs="Arial"/>
                <w:sz w:val="18"/>
              </w:rPr>
            </w:pPr>
          </w:p>
        </w:tc>
      </w:tr>
      <w:tr w:rsidR="001E765B" w14:paraId="4D261651" w14:textId="77777777" w:rsidTr="006D04BD">
        <w:tc>
          <w:tcPr>
            <w:tcW w:w="5718" w:type="dxa"/>
          </w:tcPr>
          <w:p w14:paraId="7E28CD24" w14:textId="77777777" w:rsidR="001E765B" w:rsidRDefault="001E765B" w:rsidP="006D04BD">
            <w:pPr>
              <w:rPr>
                <w:rFonts w:ascii="Arial" w:hAnsi="Arial" w:cs="Arial"/>
                <w:sz w:val="20"/>
              </w:rPr>
            </w:pPr>
            <w:r>
              <w:rPr>
                <w:rFonts w:ascii="Arial" w:hAnsi="Arial" w:cs="Arial"/>
                <w:sz w:val="20"/>
              </w:rPr>
              <w:t>____________________________________</w:t>
            </w:r>
          </w:p>
        </w:tc>
        <w:tc>
          <w:tcPr>
            <w:tcW w:w="3858" w:type="dxa"/>
          </w:tcPr>
          <w:p w14:paraId="7E52E4F2" w14:textId="77777777" w:rsidR="001E765B" w:rsidRDefault="001E765B" w:rsidP="006D04BD">
            <w:pPr>
              <w:rPr>
                <w:rFonts w:ascii="Arial" w:hAnsi="Arial" w:cs="Arial"/>
                <w:sz w:val="20"/>
              </w:rPr>
            </w:pPr>
          </w:p>
        </w:tc>
      </w:tr>
      <w:tr w:rsidR="001E765B" w14:paraId="029C0937" w14:textId="77777777" w:rsidTr="006D04BD">
        <w:tc>
          <w:tcPr>
            <w:tcW w:w="5718" w:type="dxa"/>
          </w:tcPr>
          <w:p w14:paraId="49330BC0" w14:textId="6A5CFB7E" w:rsidR="001E765B" w:rsidRDefault="00605B70" w:rsidP="006D04BD">
            <w:pPr>
              <w:rPr>
                <w:rFonts w:ascii="Arial" w:hAnsi="Arial" w:cs="Arial"/>
                <w:sz w:val="18"/>
              </w:rPr>
            </w:pPr>
            <w:r>
              <w:rPr>
                <w:rFonts w:ascii="Arial" w:hAnsi="Arial" w:cs="Arial"/>
                <w:sz w:val="18"/>
              </w:rPr>
              <w:t>Drew DeMarsh</w:t>
            </w:r>
            <w:r w:rsidR="001E765B">
              <w:rPr>
                <w:rFonts w:ascii="Arial" w:hAnsi="Arial" w:cs="Arial"/>
                <w:sz w:val="18"/>
              </w:rPr>
              <w:t xml:space="preserve">, </w:t>
            </w:r>
            <w:r>
              <w:rPr>
                <w:rFonts w:ascii="Arial" w:hAnsi="Arial" w:cs="Arial"/>
                <w:sz w:val="18"/>
              </w:rPr>
              <w:t xml:space="preserve">Interim </w:t>
            </w:r>
            <w:r w:rsidR="005B79D7">
              <w:rPr>
                <w:rFonts w:ascii="Arial" w:hAnsi="Arial" w:cs="Arial"/>
                <w:sz w:val="18"/>
              </w:rPr>
              <w:t>Executive</w:t>
            </w:r>
            <w:r w:rsidR="001E765B">
              <w:rPr>
                <w:rFonts w:ascii="Arial" w:hAnsi="Arial" w:cs="Arial"/>
                <w:sz w:val="18"/>
              </w:rPr>
              <w:t xml:space="preserve"> Director</w:t>
            </w:r>
          </w:p>
        </w:tc>
        <w:tc>
          <w:tcPr>
            <w:tcW w:w="3858" w:type="dxa"/>
          </w:tcPr>
          <w:p w14:paraId="465694EC" w14:textId="77777777" w:rsidR="001E765B" w:rsidRDefault="001E765B" w:rsidP="006D04BD">
            <w:pPr>
              <w:rPr>
                <w:rFonts w:ascii="Arial" w:hAnsi="Arial" w:cs="Arial"/>
                <w:sz w:val="18"/>
              </w:rPr>
            </w:pPr>
          </w:p>
        </w:tc>
      </w:tr>
    </w:tbl>
    <w:p w14:paraId="346620FC" w14:textId="77777777" w:rsidR="00B43341" w:rsidRDefault="00B43341"/>
    <w:sectPr w:rsidR="00B43341" w:rsidSect="0006564B">
      <w:pgSz w:w="12240" w:h="15840"/>
      <w:pgMar w:top="1350" w:right="720" w:bottom="13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FC57" w14:textId="77777777" w:rsidR="00237DF3" w:rsidRDefault="00237DF3">
      <w:r>
        <w:separator/>
      </w:r>
    </w:p>
  </w:endnote>
  <w:endnote w:type="continuationSeparator" w:id="0">
    <w:p w14:paraId="567F5817" w14:textId="77777777" w:rsidR="00237DF3" w:rsidRDefault="0023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5270" w14:textId="77777777" w:rsidR="00237DF3" w:rsidRDefault="00237DF3">
      <w:r>
        <w:separator/>
      </w:r>
    </w:p>
  </w:footnote>
  <w:footnote w:type="continuationSeparator" w:id="0">
    <w:p w14:paraId="6627D6AE" w14:textId="77777777" w:rsidR="00237DF3" w:rsidRDefault="00237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97FF6"/>
    <w:multiLevelType w:val="multilevel"/>
    <w:tmpl w:val="BB181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4A3409"/>
    <w:multiLevelType w:val="hybridMultilevel"/>
    <w:tmpl w:val="D81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70E5B"/>
    <w:multiLevelType w:val="hybridMultilevel"/>
    <w:tmpl w:val="98C8BE30"/>
    <w:lvl w:ilvl="0" w:tplc="59405E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005F91"/>
    <w:multiLevelType w:val="hybridMultilevel"/>
    <w:tmpl w:val="21F62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5B"/>
    <w:rsid w:val="00001D73"/>
    <w:rsid w:val="00015DC2"/>
    <w:rsid w:val="00031710"/>
    <w:rsid w:val="000404ED"/>
    <w:rsid w:val="000417F4"/>
    <w:rsid w:val="00056301"/>
    <w:rsid w:val="00060B37"/>
    <w:rsid w:val="00061EB2"/>
    <w:rsid w:val="0006285C"/>
    <w:rsid w:val="00077478"/>
    <w:rsid w:val="00080C57"/>
    <w:rsid w:val="00092CCB"/>
    <w:rsid w:val="000A0DE0"/>
    <w:rsid w:val="000B572C"/>
    <w:rsid w:val="00104379"/>
    <w:rsid w:val="00114469"/>
    <w:rsid w:val="001144BE"/>
    <w:rsid w:val="00121AD4"/>
    <w:rsid w:val="0012541B"/>
    <w:rsid w:val="00126CE3"/>
    <w:rsid w:val="001535DA"/>
    <w:rsid w:val="0018386E"/>
    <w:rsid w:val="001A1831"/>
    <w:rsid w:val="001B2256"/>
    <w:rsid w:val="001B751E"/>
    <w:rsid w:val="001D525A"/>
    <w:rsid w:val="001E548E"/>
    <w:rsid w:val="001E6A8A"/>
    <w:rsid w:val="001E765B"/>
    <w:rsid w:val="0021178E"/>
    <w:rsid w:val="0021283D"/>
    <w:rsid w:val="00212FB4"/>
    <w:rsid w:val="00220E50"/>
    <w:rsid w:val="00233DEC"/>
    <w:rsid w:val="00237AA8"/>
    <w:rsid w:val="00237DF3"/>
    <w:rsid w:val="002404D5"/>
    <w:rsid w:val="00250731"/>
    <w:rsid w:val="002717F1"/>
    <w:rsid w:val="002A5A5E"/>
    <w:rsid w:val="002A5D05"/>
    <w:rsid w:val="002C323E"/>
    <w:rsid w:val="002D7B19"/>
    <w:rsid w:val="002E2575"/>
    <w:rsid w:val="003035C6"/>
    <w:rsid w:val="00332496"/>
    <w:rsid w:val="00343C64"/>
    <w:rsid w:val="00345834"/>
    <w:rsid w:val="0035757A"/>
    <w:rsid w:val="003719C7"/>
    <w:rsid w:val="00396066"/>
    <w:rsid w:val="003A0942"/>
    <w:rsid w:val="003C5C0D"/>
    <w:rsid w:val="003D4297"/>
    <w:rsid w:val="00422118"/>
    <w:rsid w:val="004304E4"/>
    <w:rsid w:val="00431984"/>
    <w:rsid w:val="00437B77"/>
    <w:rsid w:val="00441EA6"/>
    <w:rsid w:val="00443611"/>
    <w:rsid w:val="004443CF"/>
    <w:rsid w:val="00453FA7"/>
    <w:rsid w:val="00454E84"/>
    <w:rsid w:val="00475375"/>
    <w:rsid w:val="004C5F96"/>
    <w:rsid w:val="004E0D60"/>
    <w:rsid w:val="004E0DC4"/>
    <w:rsid w:val="004E245D"/>
    <w:rsid w:val="005078D7"/>
    <w:rsid w:val="00533D25"/>
    <w:rsid w:val="005468CB"/>
    <w:rsid w:val="00555D5D"/>
    <w:rsid w:val="0056462F"/>
    <w:rsid w:val="005861C4"/>
    <w:rsid w:val="005B79D7"/>
    <w:rsid w:val="00605B70"/>
    <w:rsid w:val="00624066"/>
    <w:rsid w:val="00630358"/>
    <w:rsid w:val="00663ED5"/>
    <w:rsid w:val="00694BE6"/>
    <w:rsid w:val="006A4273"/>
    <w:rsid w:val="006B40E5"/>
    <w:rsid w:val="006B6D09"/>
    <w:rsid w:val="006B7A3E"/>
    <w:rsid w:val="006E433A"/>
    <w:rsid w:val="006E46FC"/>
    <w:rsid w:val="0071423D"/>
    <w:rsid w:val="007377BA"/>
    <w:rsid w:val="00745D0A"/>
    <w:rsid w:val="0076653D"/>
    <w:rsid w:val="0077411E"/>
    <w:rsid w:val="00777B50"/>
    <w:rsid w:val="007A0C1E"/>
    <w:rsid w:val="007A604C"/>
    <w:rsid w:val="007C3F4E"/>
    <w:rsid w:val="007D7F74"/>
    <w:rsid w:val="007F5FE0"/>
    <w:rsid w:val="008008FD"/>
    <w:rsid w:val="00847772"/>
    <w:rsid w:val="0085627E"/>
    <w:rsid w:val="00871218"/>
    <w:rsid w:val="0087264A"/>
    <w:rsid w:val="00873FA7"/>
    <w:rsid w:val="00881F04"/>
    <w:rsid w:val="0089489C"/>
    <w:rsid w:val="00894F62"/>
    <w:rsid w:val="008D495C"/>
    <w:rsid w:val="008D5C7B"/>
    <w:rsid w:val="00907162"/>
    <w:rsid w:val="00912C6E"/>
    <w:rsid w:val="00934348"/>
    <w:rsid w:val="00942E30"/>
    <w:rsid w:val="00952377"/>
    <w:rsid w:val="00965591"/>
    <w:rsid w:val="00975157"/>
    <w:rsid w:val="009A1FCA"/>
    <w:rsid w:val="009A30BD"/>
    <w:rsid w:val="009B7DFA"/>
    <w:rsid w:val="00A12BF7"/>
    <w:rsid w:val="00A45275"/>
    <w:rsid w:val="00A477D5"/>
    <w:rsid w:val="00A5045D"/>
    <w:rsid w:val="00A516A3"/>
    <w:rsid w:val="00A76633"/>
    <w:rsid w:val="00A91B8A"/>
    <w:rsid w:val="00AA1516"/>
    <w:rsid w:val="00AA6F52"/>
    <w:rsid w:val="00AE2AF1"/>
    <w:rsid w:val="00AF0C0E"/>
    <w:rsid w:val="00AF604B"/>
    <w:rsid w:val="00B04CE9"/>
    <w:rsid w:val="00B15913"/>
    <w:rsid w:val="00B16DD4"/>
    <w:rsid w:val="00B30CCE"/>
    <w:rsid w:val="00B34FC3"/>
    <w:rsid w:val="00B4127A"/>
    <w:rsid w:val="00B43341"/>
    <w:rsid w:val="00B44F5F"/>
    <w:rsid w:val="00B46D7E"/>
    <w:rsid w:val="00BA15CF"/>
    <w:rsid w:val="00BB445E"/>
    <w:rsid w:val="00BB5A5A"/>
    <w:rsid w:val="00BC2036"/>
    <w:rsid w:val="00BC2F6C"/>
    <w:rsid w:val="00BD457F"/>
    <w:rsid w:val="00BE5E75"/>
    <w:rsid w:val="00BF4F83"/>
    <w:rsid w:val="00C13D09"/>
    <w:rsid w:val="00C1746C"/>
    <w:rsid w:val="00C4766D"/>
    <w:rsid w:val="00C57A73"/>
    <w:rsid w:val="00C75C6E"/>
    <w:rsid w:val="00D03A83"/>
    <w:rsid w:val="00D03EA1"/>
    <w:rsid w:val="00D44BCA"/>
    <w:rsid w:val="00D51EE1"/>
    <w:rsid w:val="00D550B2"/>
    <w:rsid w:val="00D600C7"/>
    <w:rsid w:val="00DB5019"/>
    <w:rsid w:val="00DC03C6"/>
    <w:rsid w:val="00DC2678"/>
    <w:rsid w:val="00E1414F"/>
    <w:rsid w:val="00E41167"/>
    <w:rsid w:val="00E452D7"/>
    <w:rsid w:val="00E602E3"/>
    <w:rsid w:val="00ED10BF"/>
    <w:rsid w:val="00F06E53"/>
    <w:rsid w:val="00F43557"/>
    <w:rsid w:val="00F4776E"/>
    <w:rsid w:val="00F56428"/>
    <w:rsid w:val="00F6159D"/>
    <w:rsid w:val="00FA4E34"/>
    <w:rsid w:val="00FB16C5"/>
    <w:rsid w:val="00FB241F"/>
    <w:rsid w:val="00FB613C"/>
    <w:rsid w:val="00FC18E0"/>
    <w:rsid w:val="00FF1269"/>
    <w:rsid w:val="00FF360C"/>
    <w:rsid w:val="00FF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8B5DAFB"/>
  <w15:chartTrackingRefBased/>
  <w15:docId w15:val="{358C69C2-2ACE-49D2-8FFC-844B5A05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2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765B"/>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65B"/>
    <w:rPr>
      <w:rFonts w:ascii="Arial" w:eastAsia="Times New Roman" w:hAnsi="Arial" w:cs="Arial"/>
      <w:b/>
      <w:bCs/>
      <w:sz w:val="20"/>
      <w:szCs w:val="24"/>
    </w:rPr>
  </w:style>
  <w:style w:type="paragraph" w:styleId="Title">
    <w:name w:val="Title"/>
    <w:basedOn w:val="Normal"/>
    <w:link w:val="TitleChar"/>
    <w:qFormat/>
    <w:rsid w:val="001E765B"/>
    <w:pPr>
      <w:jc w:val="center"/>
    </w:pPr>
    <w:rPr>
      <w:rFonts w:ascii="Arial" w:hAnsi="Arial" w:cs="Arial"/>
      <w:b/>
      <w:bCs/>
      <w:sz w:val="28"/>
    </w:rPr>
  </w:style>
  <w:style w:type="character" w:customStyle="1" w:styleId="TitleChar">
    <w:name w:val="Title Char"/>
    <w:basedOn w:val="DefaultParagraphFont"/>
    <w:link w:val="Title"/>
    <w:rsid w:val="001E765B"/>
    <w:rPr>
      <w:rFonts w:ascii="Arial" w:eastAsia="Times New Roman" w:hAnsi="Arial" w:cs="Arial"/>
      <w:b/>
      <w:bCs/>
      <w:sz w:val="28"/>
      <w:szCs w:val="24"/>
    </w:rPr>
  </w:style>
  <w:style w:type="paragraph" w:styleId="BodyText">
    <w:name w:val="Body Text"/>
    <w:basedOn w:val="Normal"/>
    <w:link w:val="BodyTextChar"/>
    <w:semiHidden/>
    <w:rsid w:val="001E765B"/>
    <w:rPr>
      <w:rFonts w:ascii="Arial" w:hAnsi="Arial" w:cs="Arial"/>
      <w:sz w:val="20"/>
    </w:rPr>
  </w:style>
  <w:style w:type="character" w:customStyle="1" w:styleId="BodyTextChar">
    <w:name w:val="Body Text Char"/>
    <w:basedOn w:val="DefaultParagraphFont"/>
    <w:link w:val="BodyText"/>
    <w:semiHidden/>
    <w:rsid w:val="001E765B"/>
    <w:rPr>
      <w:rFonts w:ascii="Arial" w:eastAsia="Times New Roman" w:hAnsi="Arial" w:cs="Arial"/>
      <w:sz w:val="20"/>
      <w:szCs w:val="24"/>
    </w:rPr>
  </w:style>
  <w:style w:type="paragraph" w:styleId="Header">
    <w:name w:val="header"/>
    <w:basedOn w:val="Normal"/>
    <w:link w:val="HeaderChar"/>
    <w:semiHidden/>
    <w:rsid w:val="001E765B"/>
    <w:pPr>
      <w:tabs>
        <w:tab w:val="center" w:pos="4320"/>
        <w:tab w:val="right" w:pos="8640"/>
      </w:tabs>
    </w:pPr>
  </w:style>
  <w:style w:type="character" w:customStyle="1" w:styleId="HeaderChar">
    <w:name w:val="Header Char"/>
    <w:basedOn w:val="DefaultParagraphFont"/>
    <w:link w:val="Header"/>
    <w:semiHidden/>
    <w:rsid w:val="001E765B"/>
    <w:rPr>
      <w:rFonts w:ascii="Times New Roman" w:eastAsia="Times New Roman" w:hAnsi="Times New Roman" w:cs="Times New Roman"/>
      <w:sz w:val="24"/>
      <w:szCs w:val="24"/>
    </w:rPr>
  </w:style>
  <w:style w:type="paragraph" w:styleId="Footer">
    <w:name w:val="footer"/>
    <w:basedOn w:val="Normal"/>
    <w:link w:val="FooterChar"/>
    <w:uiPriority w:val="99"/>
    <w:rsid w:val="001E765B"/>
    <w:pPr>
      <w:tabs>
        <w:tab w:val="center" w:pos="4320"/>
        <w:tab w:val="right" w:pos="8640"/>
      </w:tabs>
    </w:pPr>
  </w:style>
  <w:style w:type="character" w:customStyle="1" w:styleId="FooterChar">
    <w:name w:val="Footer Char"/>
    <w:basedOn w:val="DefaultParagraphFont"/>
    <w:link w:val="Footer"/>
    <w:uiPriority w:val="99"/>
    <w:rsid w:val="001E765B"/>
    <w:rPr>
      <w:rFonts w:ascii="Times New Roman" w:eastAsia="Times New Roman" w:hAnsi="Times New Roman" w:cs="Times New Roman"/>
      <w:sz w:val="24"/>
      <w:szCs w:val="24"/>
    </w:rPr>
  </w:style>
  <w:style w:type="paragraph" w:styleId="ListParagraph">
    <w:name w:val="List Paragraph"/>
    <w:basedOn w:val="Normal"/>
    <w:uiPriority w:val="34"/>
    <w:qFormat/>
    <w:rsid w:val="00F47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9736">
      <w:bodyDiv w:val="1"/>
      <w:marLeft w:val="0"/>
      <w:marRight w:val="0"/>
      <w:marTop w:val="0"/>
      <w:marBottom w:val="0"/>
      <w:divBdr>
        <w:top w:val="none" w:sz="0" w:space="0" w:color="auto"/>
        <w:left w:val="none" w:sz="0" w:space="0" w:color="auto"/>
        <w:bottom w:val="none" w:sz="0" w:space="0" w:color="auto"/>
        <w:right w:val="none" w:sz="0" w:space="0" w:color="auto"/>
      </w:divBdr>
    </w:div>
    <w:div w:id="85883233">
      <w:bodyDiv w:val="1"/>
      <w:marLeft w:val="0"/>
      <w:marRight w:val="0"/>
      <w:marTop w:val="0"/>
      <w:marBottom w:val="0"/>
      <w:divBdr>
        <w:top w:val="none" w:sz="0" w:space="0" w:color="auto"/>
        <w:left w:val="none" w:sz="0" w:space="0" w:color="auto"/>
        <w:bottom w:val="none" w:sz="0" w:space="0" w:color="auto"/>
        <w:right w:val="none" w:sz="0" w:space="0" w:color="auto"/>
      </w:divBdr>
    </w:div>
    <w:div w:id="130638981">
      <w:bodyDiv w:val="1"/>
      <w:marLeft w:val="0"/>
      <w:marRight w:val="0"/>
      <w:marTop w:val="0"/>
      <w:marBottom w:val="0"/>
      <w:divBdr>
        <w:top w:val="none" w:sz="0" w:space="0" w:color="auto"/>
        <w:left w:val="none" w:sz="0" w:space="0" w:color="auto"/>
        <w:bottom w:val="none" w:sz="0" w:space="0" w:color="auto"/>
        <w:right w:val="none" w:sz="0" w:space="0" w:color="auto"/>
      </w:divBdr>
    </w:div>
    <w:div w:id="832181991">
      <w:bodyDiv w:val="1"/>
      <w:marLeft w:val="0"/>
      <w:marRight w:val="0"/>
      <w:marTop w:val="0"/>
      <w:marBottom w:val="0"/>
      <w:divBdr>
        <w:top w:val="none" w:sz="0" w:space="0" w:color="auto"/>
        <w:left w:val="none" w:sz="0" w:space="0" w:color="auto"/>
        <w:bottom w:val="none" w:sz="0" w:space="0" w:color="auto"/>
        <w:right w:val="none" w:sz="0" w:space="0" w:color="auto"/>
      </w:divBdr>
    </w:div>
    <w:div w:id="1048452867">
      <w:bodyDiv w:val="1"/>
      <w:marLeft w:val="0"/>
      <w:marRight w:val="0"/>
      <w:marTop w:val="0"/>
      <w:marBottom w:val="0"/>
      <w:divBdr>
        <w:top w:val="none" w:sz="0" w:space="0" w:color="auto"/>
        <w:left w:val="none" w:sz="0" w:space="0" w:color="auto"/>
        <w:bottom w:val="none" w:sz="0" w:space="0" w:color="auto"/>
        <w:right w:val="none" w:sz="0" w:space="0" w:color="auto"/>
      </w:divBdr>
    </w:div>
    <w:div w:id="1259170011">
      <w:bodyDiv w:val="1"/>
      <w:marLeft w:val="0"/>
      <w:marRight w:val="0"/>
      <w:marTop w:val="0"/>
      <w:marBottom w:val="0"/>
      <w:divBdr>
        <w:top w:val="none" w:sz="0" w:space="0" w:color="auto"/>
        <w:left w:val="none" w:sz="0" w:space="0" w:color="auto"/>
        <w:bottom w:val="none" w:sz="0" w:space="0" w:color="auto"/>
        <w:right w:val="none" w:sz="0" w:space="0" w:color="auto"/>
      </w:divBdr>
    </w:div>
    <w:div w:id="1345329798">
      <w:bodyDiv w:val="1"/>
      <w:marLeft w:val="0"/>
      <w:marRight w:val="0"/>
      <w:marTop w:val="0"/>
      <w:marBottom w:val="0"/>
      <w:divBdr>
        <w:top w:val="none" w:sz="0" w:space="0" w:color="auto"/>
        <w:left w:val="none" w:sz="0" w:space="0" w:color="auto"/>
        <w:bottom w:val="none" w:sz="0" w:space="0" w:color="auto"/>
        <w:right w:val="none" w:sz="0" w:space="0" w:color="auto"/>
      </w:divBdr>
    </w:div>
    <w:div w:id="164338804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811942699">
      <w:bodyDiv w:val="1"/>
      <w:marLeft w:val="0"/>
      <w:marRight w:val="0"/>
      <w:marTop w:val="0"/>
      <w:marBottom w:val="0"/>
      <w:divBdr>
        <w:top w:val="none" w:sz="0" w:space="0" w:color="auto"/>
        <w:left w:val="none" w:sz="0" w:space="0" w:color="auto"/>
        <w:bottom w:val="none" w:sz="0" w:space="0" w:color="auto"/>
        <w:right w:val="none" w:sz="0" w:space="0" w:color="auto"/>
      </w:divBdr>
    </w:div>
    <w:div w:id="186871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57F2-F362-44E6-8D59-055B7FB4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Sizer</dc:creator>
  <cp:keywords/>
  <dc:description/>
  <cp:lastModifiedBy>Edison, Mackenzie</cp:lastModifiedBy>
  <cp:revision>2</cp:revision>
  <cp:lastPrinted>2024-02-27T19:08:00Z</cp:lastPrinted>
  <dcterms:created xsi:type="dcterms:W3CDTF">2024-04-18T14:35:00Z</dcterms:created>
  <dcterms:modified xsi:type="dcterms:W3CDTF">2024-04-18T14:35:00Z</dcterms:modified>
</cp:coreProperties>
</file>