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B9C2" w14:textId="77777777" w:rsidR="001E765B" w:rsidRDefault="001E765B" w:rsidP="001E765B">
      <w:pPr>
        <w:pStyle w:val="Title"/>
      </w:pPr>
      <w:r>
        <w:t>Minutes for the</w:t>
      </w:r>
    </w:p>
    <w:p w14:paraId="6DEEF7CE" w14:textId="77777777" w:rsidR="001E765B" w:rsidRDefault="001E765B" w:rsidP="001E765B">
      <w:pPr>
        <w:jc w:val="center"/>
        <w:rPr>
          <w:rFonts w:ascii="Arial" w:hAnsi="Arial" w:cs="Arial"/>
          <w:b/>
          <w:bCs/>
          <w:caps/>
          <w:sz w:val="28"/>
        </w:rPr>
      </w:pPr>
      <w:r>
        <w:rPr>
          <w:rFonts w:ascii="Arial" w:hAnsi="Arial" w:cs="Arial"/>
          <w:b/>
          <w:bCs/>
          <w:caps/>
          <w:sz w:val="28"/>
        </w:rPr>
        <w:t>Clinton County Regional Planning Commission</w:t>
      </w:r>
    </w:p>
    <w:p w14:paraId="03A579C0" w14:textId="77777777" w:rsidR="001E765B" w:rsidRDefault="001E765B" w:rsidP="001E765B">
      <w:pPr>
        <w:jc w:val="center"/>
        <w:rPr>
          <w:rFonts w:ascii="Arial" w:hAnsi="Arial" w:cs="Arial"/>
          <w:b/>
          <w:bCs/>
          <w:caps/>
          <w:sz w:val="28"/>
        </w:rPr>
      </w:pPr>
      <w:r>
        <w:rPr>
          <w:rFonts w:ascii="Arial" w:hAnsi="Arial" w:cs="Arial"/>
          <w:b/>
          <w:bCs/>
          <w:caps/>
          <w:sz w:val="28"/>
        </w:rPr>
        <w:t>Or the Executive Committee</w:t>
      </w:r>
    </w:p>
    <w:p w14:paraId="7E3C5B0A" w14:textId="77777777" w:rsidR="001E765B" w:rsidRPr="003946C3" w:rsidRDefault="001E765B" w:rsidP="001E765B">
      <w:pPr>
        <w:jc w:val="center"/>
        <w:rPr>
          <w:rFonts w:ascii="Arial" w:hAnsi="Arial" w:cs="Arial"/>
          <w:sz w:val="16"/>
          <w:szCs w:val="16"/>
        </w:rPr>
      </w:pPr>
    </w:p>
    <w:p w14:paraId="6C7D99D9" w14:textId="4C8F5D73" w:rsidR="001E765B" w:rsidRDefault="00B970AA" w:rsidP="001E765B">
      <w:pPr>
        <w:jc w:val="center"/>
        <w:rPr>
          <w:rFonts w:ascii="Arial" w:hAnsi="Arial" w:cs="Arial"/>
          <w:sz w:val="20"/>
        </w:rPr>
      </w:pPr>
      <w:r>
        <w:rPr>
          <w:rFonts w:ascii="Arial" w:hAnsi="Arial" w:cs="Arial"/>
          <w:sz w:val="20"/>
        </w:rPr>
        <w:t>August 16</w:t>
      </w:r>
      <w:r w:rsidR="001E765B">
        <w:rPr>
          <w:rFonts w:ascii="Arial" w:hAnsi="Arial" w:cs="Arial"/>
          <w:sz w:val="20"/>
        </w:rPr>
        <w:t>, 2023</w:t>
      </w:r>
    </w:p>
    <w:p w14:paraId="2984068E" w14:textId="77777777" w:rsidR="001E765B" w:rsidRDefault="001E765B" w:rsidP="001E765B">
      <w:pPr>
        <w:jc w:val="center"/>
        <w:rPr>
          <w:rFonts w:ascii="Arial" w:hAnsi="Arial" w:cs="Arial"/>
          <w:sz w:val="20"/>
        </w:rPr>
      </w:pPr>
      <w:r w:rsidRPr="00085879">
        <w:rPr>
          <w:rFonts w:ascii="Arial" w:hAnsi="Arial" w:cs="Arial"/>
          <w:sz w:val="20"/>
        </w:rPr>
        <w:t>Community Room, Wilmington Municipal Building, 69 N. South Street, Wilmington, OH</w:t>
      </w:r>
    </w:p>
    <w:p w14:paraId="69F999A2" w14:textId="77777777" w:rsidR="00A477D5" w:rsidRDefault="00A477D5" w:rsidP="001E765B">
      <w:pPr>
        <w:pStyle w:val="Heading1"/>
      </w:pPr>
    </w:p>
    <w:p w14:paraId="48FC3EA4" w14:textId="1DD40612" w:rsidR="001E765B" w:rsidRDefault="001E765B" w:rsidP="001E765B">
      <w:pPr>
        <w:pStyle w:val="Heading1"/>
      </w:pPr>
      <w:r>
        <w:t>ROLL CALL</w:t>
      </w:r>
    </w:p>
    <w:p w14:paraId="0FFBF73E" w14:textId="77777777" w:rsidR="001E765B" w:rsidRPr="008E377C" w:rsidRDefault="001E765B" w:rsidP="001E765B"/>
    <w:p w14:paraId="5048BAF2" w14:textId="05E894DE" w:rsidR="001E765B" w:rsidRDefault="006F25F0" w:rsidP="001E765B">
      <w:pPr>
        <w:pStyle w:val="BodyText"/>
      </w:pPr>
      <w:r>
        <w:t>Associate Vice Chair</w:t>
      </w:r>
      <w:r w:rsidR="001E765B">
        <w:t xml:space="preserve"> </w:t>
      </w:r>
      <w:r w:rsidR="00B970AA">
        <w:t>Ruth Brindle</w:t>
      </w:r>
      <w:r w:rsidR="001E765B">
        <w:t xml:space="preserve"> called the meeting to order at approximately 7:</w:t>
      </w:r>
      <w:r w:rsidR="0018386E">
        <w:t>0</w:t>
      </w:r>
      <w:r w:rsidR="00B970AA">
        <w:t>1</w:t>
      </w:r>
      <w:r w:rsidR="001E765B">
        <w:t xml:space="preserve"> p.m. local time with</w:t>
      </w:r>
      <w:r w:rsidR="001E765B" w:rsidRPr="00DE092D">
        <w:t xml:space="preserve"> the following Planning Commissioners present.</w:t>
      </w:r>
    </w:p>
    <w:p w14:paraId="1138C350" w14:textId="77777777" w:rsidR="001E765B" w:rsidRDefault="001E765B" w:rsidP="001E765B">
      <w:pPr>
        <w:pStyle w:val="BodyText"/>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2455"/>
        <w:gridCol w:w="2728"/>
        <w:gridCol w:w="2430"/>
      </w:tblGrid>
      <w:tr w:rsidR="0012541B" w:rsidRPr="000C0571" w14:paraId="36589D43" w14:textId="3C069B95" w:rsidTr="0018386E">
        <w:trPr>
          <w:trHeight w:val="333"/>
        </w:trPr>
        <w:tc>
          <w:tcPr>
            <w:tcW w:w="2372" w:type="dxa"/>
          </w:tcPr>
          <w:p w14:paraId="49A98F08" w14:textId="6DAF9254" w:rsidR="0012541B" w:rsidRPr="00360627" w:rsidRDefault="0012541B" w:rsidP="0018386E">
            <w:pPr>
              <w:jc w:val="center"/>
              <w:rPr>
                <w:rFonts w:ascii="Arial" w:hAnsi="Arial" w:cs="Arial"/>
                <w:sz w:val="20"/>
                <w:szCs w:val="20"/>
              </w:rPr>
            </w:pPr>
            <w:r>
              <w:rPr>
                <w:rFonts w:ascii="Arial" w:hAnsi="Arial" w:cs="Arial"/>
                <w:sz w:val="20"/>
                <w:szCs w:val="20"/>
              </w:rPr>
              <w:t>Dauna Armstrong</w:t>
            </w:r>
          </w:p>
        </w:tc>
        <w:tc>
          <w:tcPr>
            <w:tcW w:w="2455" w:type="dxa"/>
          </w:tcPr>
          <w:p w14:paraId="08E0FDE0" w14:textId="0C3858D8" w:rsidR="0012541B" w:rsidRPr="00360627" w:rsidRDefault="00194992" w:rsidP="0018386E">
            <w:pPr>
              <w:jc w:val="center"/>
              <w:rPr>
                <w:rFonts w:ascii="Arial" w:hAnsi="Arial" w:cs="Arial"/>
                <w:sz w:val="20"/>
                <w:szCs w:val="20"/>
              </w:rPr>
            </w:pPr>
            <w:r>
              <w:rPr>
                <w:rFonts w:ascii="Arial" w:hAnsi="Arial" w:cs="Arial"/>
                <w:sz w:val="20"/>
                <w:szCs w:val="20"/>
              </w:rPr>
              <w:t xml:space="preserve">John Carman </w:t>
            </w:r>
          </w:p>
        </w:tc>
        <w:tc>
          <w:tcPr>
            <w:tcW w:w="2728" w:type="dxa"/>
          </w:tcPr>
          <w:p w14:paraId="3A78374B" w14:textId="4EFC9DF2" w:rsidR="0012541B" w:rsidRPr="00360627" w:rsidRDefault="00194992" w:rsidP="0018386E">
            <w:pPr>
              <w:jc w:val="center"/>
              <w:rPr>
                <w:rFonts w:ascii="Arial" w:hAnsi="Arial" w:cs="Arial"/>
                <w:sz w:val="20"/>
                <w:szCs w:val="20"/>
              </w:rPr>
            </w:pPr>
            <w:r>
              <w:rPr>
                <w:rFonts w:ascii="Arial" w:hAnsi="Arial" w:cs="Arial"/>
                <w:sz w:val="20"/>
                <w:szCs w:val="20"/>
              </w:rPr>
              <w:t>Damian Snyder</w:t>
            </w:r>
            <w:r w:rsidR="0018386E">
              <w:rPr>
                <w:rFonts w:ascii="Arial" w:hAnsi="Arial" w:cs="Arial"/>
                <w:sz w:val="20"/>
                <w:szCs w:val="20"/>
              </w:rPr>
              <w:t xml:space="preserve"> </w:t>
            </w:r>
          </w:p>
        </w:tc>
        <w:tc>
          <w:tcPr>
            <w:tcW w:w="2430" w:type="dxa"/>
          </w:tcPr>
          <w:p w14:paraId="30EE0593" w14:textId="139F91D9" w:rsidR="0012541B" w:rsidRPr="00360627" w:rsidRDefault="0012541B" w:rsidP="0018386E">
            <w:pPr>
              <w:jc w:val="center"/>
              <w:rPr>
                <w:rFonts w:ascii="Arial" w:hAnsi="Arial" w:cs="Arial"/>
                <w:sz w:val="20"/>
                <w:szCs w:val="20"/>
              </w:rPr>
            </w:pPr>
          </w:p>
        </w:tc>
      </w:tr>
      <w:tr w:rsidR="0012541B" w:rsidRPr="000C0571" w14:paraId="06628ECA" w14:textId="54D8F830" w:rsidTr="0018386E">
        <w:trPr>
          <w:trHeight w:val="333"/>
        </w:trPr>
        <w:tc>
          <w:tcPr>
            <w:tcW w:w="2372" w:type="dxa"/>
          </w:tcPr>
          <w:p w14:paraId="0095EA69" w14:textId="4321D813" w:rsidR="0012541B" w:rsidRPr="00360627" w:rsidRDefault="0012541B" w:rsidP="0018386E">
            <w:pPr>
              <w:jc w:val="center"/>
              <w:rPr>
                <w:rFonts w:ascii="Arial" w:hAnsi="Arial" w:cs="Arial"/>
                <w:sz w:val="20"/>
                <w:szCs w:val="20"/>
              </w:rPr>
            </w:pPr>
            <w:r>
              <w:rPr>
                <w:rFonts w:ascii="Arial" w:hAnsi="Arial" w:cs="Arial"/>
                <w:sz w:val="20"/>
                <w:szCs w:val="20"/>
              </w:rPr>
              <w:t>Bruce Beam</w:t>
            </w:r>
          </w:p>
        </w:tc>
        <w:tc>
          <w:tcPr>
            <w:tcW w:w="2455" w:type="dxa"/>
          </w:tcPr>
          <w:p w14:paraId="124E742C" w14:textId="5DF70FC8" w:rsidR="0012541B" w:rsidRPr="00360627" w:rsidRDefault="0012541B" w:rsidP="0018386E">
            <w:pPr>
              <w:jc w:val="center"/>
              <w:rPr>
                <w:rFonts w:ascii="Arial" w:hAnsi="Arial" w:cs="Arial"/>
                <w:sz w:val="20"/>
                <w:szCs w:val="20"/>
              </w:rPr>
            </w:pPr>
            <w:r>
              <w:rPr>
                <w:rFonts w:ascii="Arial" w:hAnsi="Arial" w:cs="Arial"/>
                <w:sz w:val="20"/>
                <w:szCs w:val="20"/>
              </w:rPr>
              <w:t>Benjamin Collings</w:t>
            </w:r>
          </w:p>
        </w:tc>
        <w:tc>
          <w:tcPr>
            <w:tcW w:w="2728" w:type="dxa"/>
          </w:tcPr>
          <w:p w14:paraId="66CB6E09" w14:textId="2A3F3E31" w:rsidR="0012541B" w:rsidRPr="00360627" w:rsidRDefault="00194992" w:rsidP="0018386E">
            <w:pPr>
              <w:jc w:val="center"/>
              <w:rPr>
                <w:rFonts w:ascii="Arial" w:hAnsi="Arial" w:cs="Arial"/>
                <w:sz w:val="20"/>
                <w:szCs w:val="20"/>
              </w:rPr>
            </w:pPr>
            <w:r>
              <w:rPr>
                <w:rFonts w:ascii="Arial" w:hAnsi="Arial" w:cs="Arial"/>
                <w:sz w:val="20"/>
                <w:szCs w:val="20"/>
              </w:rPr>
              <w:t>Robert Thobaben</w:t>
            </w:r>
          </w:p>
        </w:tc>
        <w:tc>
          <w:tcPr>
            <w:tcW w:w="2430" w:type="dxa"/>
          </w:tcPr>
          <w:p w14:paraId="25494180" w14:textId="2473369F" w:rsidR="0012541B" w:rsidRPr="00360627" w:rsidRDefault="0012541B" w:rsidP="0018386E">
            <w:pPr>
              <w:jc w:val="center"/>
              <w:rPr>
                <w:rFonts w:ascii="Arial" w:hAnsi="Arial" w:cs="Arial"/>
                <w:sz w:val="20"/>
                <w:szCs w:val="20"/>
              </w:rPr>
            </w:pPr>
          </w:p>
        </w:tc>
      </w:tr>
      <w:tr w:rsidR="0012541B" w:rsidRPr="000C0571" w14:paraId="10003FB7" w14:textId="4414A2B1" w:rsidTr="0018386E">
        <w:trPr>
          <w:trHeight w:val="333"/>
        </w:trPr>
        <w:tc>
          <w:tcPr>
            <w:tcW w:w="2372" w:type="dxa"/>
          </w:tcPr>
          <w:p w14:paraId="0E0C9335" w14:textId="48FE3F86" w:rsidR="0012541B" w:rsidRPr="0039682B" w:rsidRDefault="00194992" w:rsidP="0018386E">
            <w:pPr>
              <w:jc w:val="center"/>
              <w:rPr>
                <w:rFonts w:ascii="Arial" w:hAnsi="Arial" w:cs="Arial"/>
                <w:sz w:val="20"/>
                <w:szCs w:val="20"/>
              </w:rPr>
            </w:pPr>
            <w:r>
              <w:rPr>
                <w:rFonts w:ascii="Arial" w:hAnsi="Arial" w:cs="Arial"/>
                <w:sz w:val="20"/>
                <w:szCs w:val="20"/>
              </w:rPr>
              <w:t>Ryan Bowman</w:t>
            </w:r>
          </w:p>
        </w:tc>
        <w:tc>
          <w:tcPr>
            <w:tcW w:w="2455" w:type="dxa"/>
          </w:tcPr>
          <w:p w14:paraId="13781819" w14:textId="47690C43" w:rsidR="0012541B" w:rsidRPr="0083296C" w:rsidRDefault="00194992" w:rsidP="0018386E">
            <w:pPr>
              <w:jc w:val="center"/>
              <w:rPr>
                <w:rFonts w:ascii="Arial" w:hAnsi="Arial" w:cs="Arial"/>
                <w:sz w:val="20"/>
                <w:szCs w:val="20"/>
              </w:rPr>
            </w:pPr>
            <w:r>
              <w:rPr>
                <w:rFonts w:ascii="Arial" w:hAnsi="Arial" w:cs="Arial"/>
                <w:sz w:val="20"/>
                <w:szCs w:val="20"/>
              </w:rPr>
              <w:t>Jim Fife</w:t>
            </w:r>
          </w:p>
        </w:tc>
        <w:tc>
          <w:tcPr>
            <w:tcW w:w="2728" w:type="dxa"/>
          </w:tcPr>
          <w:p w14:paraId="01412145" w14:textId="108CA19C" w:rsidR="0012541B" w:rsidRPr="00360627" w:rsidRDefault="00194992" w:rsidP="0018386E">
            <w:pPr>
              <w:jc w:val="center"/>
              <w:rPr>
                <w:rFonts w:ascii="Arial" w:hAnsi="Arial" w:cs="Arial"/>
                <w:sz w:val="20"/>
                <w:szCs w:val="20"/>
              </w:rPr>
            </w:pPr>
            <w:r>
              <w:rPr>
                <w:rFonts w:ascii="Arial" w:hAnsi="Arial" w:cs="Arial"/>
                <w:sz w:val="20"/>
                <w:szCs w:val="20"/>
              </w:rPr>
              <w:t>Rick Walker</w:t>
            </w:r>
          </w:p>
        </w:tc>
        <w:tc>
          <w:tcPr>
            <w:tcW w:w="2430" w:type="dxa"/>
          </w:tcPr>
          <w:p w14:paraId="3AA611A8" w14:textId="3E7E10B6" w:rsidR="0012541B" w:rsidRPr="00360627" w:rsidRDefault="0012541B" w:rsidP="0018386E">
            <w:pPr>
              <w:jc w:val="center"/>
              <w:rPr>
                <w:rFonts w:ascii="Arial" w:hAnsi="Arial" w:cs="Arial"/>
                <w:sz w:val="20"/>
                <w:szCs w:val="20"/>
              </w:rPr>
            </w:pPr>
          </w:p>
        </w:tc>
      </w:tr>
      <w:tr w:rsidR="0012541B" w:rsidRPr="000C0571" w14:paraId="54BE7D82" w14:textId="6019957B" w:rsidTr="0018386E">
        <w:trPr>
          <w:trHeight w:val="333"/>
        </w:trPr>
        <w:tc>
          <w:tcPr>
            <w:tcW w:w="2372" w:type="dxa"/>
          </w:tcPr>
          <w:p w14:paraId="6B795D19" w14:textId="51549AA5" w:rsidR="0012541B" w:rsidRDefault="00194992" w:rsidP="0018386E">
            <w:pPr>
              <w:jc w:val="center"/>
              <w:rPr>
                <w:rFonts w:ascii="Arial" w:hAnsi="Arial" w:cs="Arial"/>
                <w:sz w:val="20"/>
                <w:szCs w:val="20"/>
              </w:rPr>
            </w:pPr>
            <w:r>
              <w:rPr>
                <w:rFonts w:ascii="Arial" w:hAnsi="Arial" w:cs="Arial"/>
                <w:sz w:val="20"/>
                <w:szCs w:val="20"/>
              </w:rPr>
              <w:t>Jon Branstrator</w:t>
            </w:r>
          </w:p>
        </w:tc>
        <w:tc>
          <w:tcPr>
            <w:tcW w:w="2455" w:type="dxa"/>
          </w:tcPr>
          <w:p w14:paraId="29F57554" w14:textId="69E19504" w:rsidR="0012541B" w:rsidRDefault="00194992" w:rsidP="0018386E">
            <w:pPr>
              <w:jc w:val="center"/>
              <w:rPr>
                <w:rFonts w:ascii="Arial" w:hAnsi="Arial" w:cs="Arial"/>
                <w:sz w:val="20"/>
                <w:szCs w:val="20"/>
              </w:rPr>
            </w:pPr>
            <w:r>
              <w:rPr>
                <w:rFonts w:ascii="Arial" w:hAnsi="Arial" w:cs="Arial"/>
                <w:sz w:val="20"/>
                <w:szCs w:val="20"/>
              </w:rPr>
              <w:t>Michelle Morrison</w:t>
            </w:r>
          </w:p>
        </w:tc>
        <w:tc>
          <w:tcPr>
            <w:tcW w:w="2728" w:type="dxa"/>
          </w:tcPr>
          <w:p w14:paraId="48A2EB0F" w14:textId="3549DBE4" w:rsidR="0012541B" w:rsidRDefault="0012541B" w:rsidP="0018386E">
            <w:pPr>
              <w:jc w:val="center"/>
              <w:rPr>
                <w:rFonts w:ascii="Arial" w:hAnsi="Arial" w:cs="Arial"/>
                <w:sz w:val="20"/>
                <w:szCs w:val="20"/>
              </w:rPr>
            </w:pPr>
          </w:p>
        </w:tc>
        <w:tc>
          <w:tcPr>
            <w:tcW w:w="2430" w:type="dxa"/>
          </w:tcPr>
          <w:p w14:paraId="2D208C98" w14:textId="1DCD0020" w:rsidR="0012541B" w:rsidRPr="00360627" w:rsidRDefault="0012541B" w:rsidP="0018386E">
            <w:pPr>
              <w:jc w:val="center"/>
              <w:rPr>
                <w:rFonts w:ascii="Arial" w:hAnsi="Arial" w:cs="Arial"/>
                <w:sz w:val="20"/>
                <w:szCs w:val="20"/>
              </w:rPr>
            </w:pPr>
          </w:p>
        </w:tc>
      </w:tr>
      <w:tr w:rsidR="0012541B" w:rsidRPr="000C0571" w14:paraId="2F052744" w14:textId="1C2B2C85" w:rsidTr="0018386E">
        <w:trPr>
          <w:trHeight w:val="333"/>
        </w:trPr>
        <w:tc>
          <w:tcPr>
            <w:tcW w:w="2372" w:type="dxa"/>
          </w:tcPr>
          <w:p w14:paraId="6B464879" w14:textId="0A2E3CC7" w:rsidR="0012541B" w:rsidRDefault="00194992" w:rsidP="0018386E">
            <w:pPr>
              <w:jc w:val="center"/>
              <w:rPr>
                <w:rFonts w:ascii="Arial" w:hAnsi="Arial" w:cs="Arial"/>
                <w:sz w:val="20"/>
                <w:szCs w:val="20"/>
              </w:rPr>
            </w:pPr>
            <w:r>
              <w:rPr>
                <w:rFonts w:ascii="Arial" w:hAnsi="Arial" w:cs="Arial"/>
                <w:sz w:val="20"/>
                <w:szCs w:val="20"/>
              </w:rPr>
              <w:t>Ruth Brindle</w:t>
            </w:r>
          </w:p>
        </w:tc>
        <w:tc>
          <w:tcPr>
            <w:tcW w:w="2455" w:type="dxa"/>
          </w:tcPr>
          <w:p w14:paraId="02573628" w14:textId="1940B1E8" w:rsidR="0012541B" w:rsidRDefault="00194992" w:rsidP="0018386E">
            <w:pPr>
              <w:jc w:val="center"/>
              <w:rPr>
                <w:rFonts w:ascii="Arial" w:hAnsi="Arial" w:cs="Arial"/>
                <w:sz w:val="20"/>
                <w:szCs w:val="20"/>
              </w:rPr>
            </w:pPr>
            <w:r>
              <w:rPr>
                <w:rFonts w:ascii="Arial" w:hAnsi="Arial" w:cs="Arial"/>
                <w:sz w:val="20"/>
                <w:szCs w:val="20"/>
              </w:rPr>
              <w:t>James Myers</w:t>
            </w:r>
          </w:p>
        </w:tc>
        <w:tc>
          <w:tcPr>
            <w:tcW w:w="2728" w:type="dxa"/>
          </w:tcPr>
          <w:p w14:paraId="66C55B18" w14:textId="33B721FC" w:rsidR="0012541B" w:rsidRDefault="0012541B" w:rsidP="0018386E">
            <w:pPr>
              <w:jc w:val="center"/>
              <w:rPr>
                <w:rFonts w:ascii="Arial" w:hAnsi="Arial" w:cs="Arial"/>
                <w:sz w:val="20"/>
                <w:szCs w:val="20"/>
              </w:rPr>
            </w:pPr>
          </w:p>
        </w:tc>
        <w:tc>
          <w:tcPr>
            <w:tcW w:w="2430" w:type="dxa"/>
          </w:tcPr>
          <w:p w14:paraId="3C449B43" w14:textId="77777777" w:rsidR="0012541B" w:rsidRPr="00360627" w:rsidRDefault="0012541B" w:rsidP="0018386E">
            <w:pPr>
              <w:jc w:val="center"/>
              <w:rPr>
                <w:rFonts w:ascii="Arial" w:hAnsi="Arial" w:cs="Arial"/>
                <w:sz w:val="20"/>
                <w:szCs w:val="20"/>
              </w:rPr>
            </w:pPr>
          </w:p>
        </w:tc>
      </w:tr>
    </w:tbl>
    <w:p w14:paraId="3D28F40F" w14:textId="77777777" w:rsidR="007F5FE0" w:rsidRDefault="007F5FE0" w:rsidP="001E765B">
      <w:pPr>
        <w:rPr>
          <w:rFonts w:ascii="Arial" w:hAnsi="Arial" w:cs="Arial"/>
          <w:sz w:val="20"/>
        </w:rPr>
      </w:pPr>
    </w:p>
    <w:p w14:paraId="7FE608B4" w14:textId="77ACD9B5" w:rsidR="001E765B" w:rsidRDefault="001E765B" w:rsidP="001E765B">
      <w:pPr>
        <w:rPr>
          <w:rFonts w:ascii="Arial" w:hAnsi="Arial" w:cs="Arial"/>
          <w:sz w:val="20"/>
        </w:rPr>
      </w:pPr>
      <w:r>
        <w:rPr>
          <w:rFonts w:ascii="Arial" w:hAnsi="Arial" w:cs="Arial"/>
          <w:sz w:val="20"/>
        </w:rPr>
        <w:t>The Commission attained a quorum.</w:t>
      </w:r>
    </w:p>
    <w:p w14:paraId="36E8E664" w14:textId="77777777" w:rsidR="001E765B" w:rsidRDefault="001E765B" w:rsidP="001E765B">
      <w:pPr>
        <w:rPr>
          <w:rFonts w:ascii="Arial" w:hAnsi="Arial" w:cs="Arial"/>
          <w:b/>
          <w:caps/>
          <w:sz w:val="16"/>
          <w:szCs w:val="16"/>
        </w:rPr>
      </w:pPr>
    </w:p>
    <w:p w14:paraId="2A9ADA70" w14:textId="77777777" w:rsidR="001E765B" w:rsidRDefault="001E765B" w:rsidP="001E765B">
      <w:pPr>
        <w:rPr>
          <w:rFonts w:ascii="Arial" w:hAnsi="Arial" w:cs="Arial"/>
          <w:sz w:val="20"/>
          <w:szCs w:val="16"/>
        </w:rPr>
      </w:pPr>
    </w:p>
    <w:p w14:paraId="11BACB9D" w14:textId="12DF021F" w:rsidR="001E765B" w:rsidRPr="00F434C3" w:rsidRDefault="001E765B" w:rsidP="001E765B">
      <w:pPr>
        <w:rPr>
          <w:rFonts w:ascii="Arial" w:hAnsi="Arial" w:cs="Arial"/>
          <w:caps/>
          <w:sz w:val="20"/>
          <w:szCs w:val="16"/>
        </w:rPr>
      </w:pPr>
      <w:r w:rsidRPr="00F434C3">
        <w:rPr>
          <w:rFonts w:ascii="Arial" w:hAnsi="Arial" w:cs="Arial"/>
          <w:sz w:val="20"/>
          <w:szCs w:val="16"/>
        </w:rPr>
        <w:t>A motion</w:t>
      </w:r>
      <w:r>
        <w:rPr>
          <w:rFonts w:ascii="Arial" w:hAnsi="Arial" w:cs="Arial"/>
          <w:sz w:val="20"/>
          <w:szCs w:val="16"/>
        </w:rPr>
        <w:t xml:space="preserve"> was made</w:t>
      </w:r>
      <w:r w:rsidRPr="00F434C3">
        <w:rPr>
          <w:rFonts w:ascii="Arial" w:hAnsi="Arial" w:cs="Arial"/>
          <w:sz w:val="20"/>
          <w:szCs w:val="16"/>
        </w:rPr>
        <w:t xml:space="preserve"> to </w:t>
      </w:r>
      <w:r>
        <w:rPr>
          <w:rFonts w:ascii="Arial" w:hAnsi="Arial" w:cs="Arial"/>
          <w:sz w:val="20"/>
          <w:szCs w:val="16"/>
        </w:rPr>
        <w:t>approve the agenda</w:t>
      </w:r>
      <w:r w:rsidRPr="00F434C3">
        <w:rPr>
          <w:rFonts w:ascii="Arial" w:hAnsi="Arial" w:cs="Arial"/>
          <w:sz w:val="20"/>
          <w:szCs w:val="16"/>
        </w:rPr>
        <w:t xml:space="preserve"> by</w:t>
      </w:r>
      <w:r w:rsidRPr="00B223C0">
        <w:rPr>
          <w:rFonts w:ascii="Arial" w:hAnsi="Arial" w:cs="Arial"/>
          <w:sz w:val="20"/>
          <w:szCs w:val="16"/>
        </w:rPr>
        <w:t xml:space="preserve"> </w:t>
      </w:r>
      <w:r w:rsidR="00B970AA">
        <w:rPr>
          <w:rFonts w:ascii="Arial" w:hAnsi="Arial" w:cs="Arial"/>
          <w:sz w:val="20"/>
          <w:szCs w:val="20"/>
        </w:rPr>
        <w:t>James Myers</w:t>
      </w:r>
      <w:r w:rsidRPr="00C75C6E">
        <w:rPr>
          <w:rFonts w:ascii="Arial" w:hAnsi="Arial" w:cs="Arial"/>
          <w:sz w:val="20"/>
          <w:szCs w:val="16"/>
        </w:rPr>
        <w:t xml:space="preserve">, </w:t>
      </w:r>
      <w:r w:rsidRPr="00121AD4">
        <w:rPr>
          <w:rFonts w:ascii="Arial" w:hAnsi="Arial" w:cs="Arial"/>
          <w:sz w:val="20"/>
          <w:szCs w:val="16"/>
        </w:rPr>
        <w:t xml:space="preserve">seconded by </w:t>
      </w:r>
      <w:r w:rsidR="00B970AA">
        <w:rPr>
          <w:rFonts w:ascii="Arial" w:hAnsi="Arial" w:cs="Arial"/>
          <w:sz w:val="20"/>
          <w:szCs w:val="20"/>
        </w:rPr>
        <w:t>John Carman</w:t>
      </w:r>
      <w:r w:rsidRPr="00121AD4">
        <w:rPr>
          <w:rFonts w:ascii="Arial" w:hAnsi="Arial" w:cs="Arial"/>
          <w:sz w:val="20"/>
          <w:szCs w:val="16"/>
        </w:rPr>
        <w:t xml:space="preserve">, and a voice vote: all </w:t>
      </w:r>
      <w:r w:rsidR="005B79D7" w:rsidRPr="00121AD4">
        <w:rPr>
          <w:rFonts w:ascii="Arial" w:hAnsi="Arial" w:cs="Arial"/>
          <w:sz w:val="20"/>
          <w:szCs w:val="16"/>
        </w:rPr>
        <w:t>yeas</w:t>
      </w:r>
      <w:r w:rsidRPr="00121AD4">
        <w:rPr>
          <w:rFonts w:ascii="Arial" w:hAnsi="Arial" w:cs="Arial"/>
          <w:sz w:val="20"/>
          <w:szCs w:val="16"/>
        </w:rPr>
        <w:t>.</w:t>
      </w:r>
      <w:r w:rsidRPr="00F434C3">
        <w:rPr>
          <w:rFonts w:ascii="Arial" w:hAnsi="Arial" w:cs="Arial"/>
          <w:sz w:val="20"/>
          <w:szCs w:val="16"/>
        </w:rPr>
        <w:t xml:space="preserve"> </w:t>
      </w:r>
    </w:p>
    <w:p w14:paraId="4622001B" w14:textId="77777777" w:rsidR="001E765B" w:rsidRDefault="001E765B" w:rsidP="001E765B">
      <w:pPr>
        <w:rPr>
          <w:rFonts w:ascii="Arial" w:hAnsi="Arial" w:cs="Arial"/>
          <w:b/>
          <w:caps/>
          <w:sz w:val="18"/>
          <w:szCs w:val="16"/>
        </w:rPr>
      </w:pPr>
    </w:p>
    <w:p w14:paraId="216ADCE2" w14:textId="77777777" w:rsidR="001E765B" w:rsidRDefault="001E765B" w:rsidP="001E765B">
      <w:pPr>
        <w:rPr>
          <w:rFonts w:ascii="Arial" w:hAnsi="Arial" w:cs="Arial"/>
          <w:b/>
          <w:caps/>
          <w:sz w:val="18"/>
          <w:szCs w:val="16"/>
        </w:rPr>
      </w:pPr>
    </w:p>
    <w:p w14:paraId="1BA8921C" w14:textId="77777777" w:rsidR="001E765B" w:rsidRDefault="001E765B" w:rsidP="001E765B">
      <w:pPr>
        <w:rPr>
          <w:rFonts w:ascii="Arial" w:hAnsi="Arial" w:cs="Arial"/>
          <w:b/>
          <w:caps/>
          <w:sz w:val="20"/>
        </w:rPr>
      </w:pPr>
      <w:r>
        <w:rPr>
          <w:rFonts w:ascii="Arial" w:hAnsi="Arial" w:cs="Arial"/>
          <w:b/>
          <w:caps/>
          <w:sz w:val="20"/>
        </w:rPr>
        <w:t>Minutes from the Previous Meeting</w:t>
      </w:r>
    </w:p>
    <w:p w14:paraId="2CFA0501" w14:textId="77777777" w:rsidR="001E765B" w:rsidRDefault="001E765B" w:rsidP="001E765B">
      <w:pPr>
        <w:rPr>
          <w:rFonts w:ascii="Arial" w:hAnsi="Arial" w:cs="Arial"/>
          <w:b/>
          <w:caps/>
          <w:sz w:val="20"/>
        </w:rPr>
      </w:pPr>
    </w:p>
    <w:p w14:paraId="6760938C" w14:textId="164EB418" w:rsidR="00BF4F83" w:rsidRDefault="0018386E" w:rsidP="001E765B">
      <w:pPr>
        <w:rPr>
          <w:rFonts w:ascii="Arial" w:hAnsi="Arial" w:cs="Arial"/>
          <w:sz w:val="20"/>
        </w:rPr>
      </w:pPr>
      <w:r w:rsidRPr="0018386E">
        <w:rPr>
          <w:rFonts w:ascii="Arial" w:hAnsi="Arial" w:cs="Arial"/>
          <w:sz w:val="20"/>
        </w:rPr>
        <w:t xml:space="preserve">Minutes of the </w:t>
      </w:r>
      <w:r w:rsidR="00B970AA">
        <w:rPr>
          <w:rFonts w:ascii="Arial" w:hAnsi="Arial" w:cs="Arial"/>
          <w:sz w:val="20"/>
        </w:rPr>
        <w:t>June 20</w:t>
      </w:r>
      <w:r w:rsidRPr="0018386E">
        <w:rPr>
          <w:rFonts w:ascii="Arial" w:hAnsi="Arial" w:cs="Arial"/>
          <w:sz w:val="20"/>
        </w:rPr>
        <w:t xml:space="preserve">, 2023, Regular Meeting (Full Commission) and the </w:t>
      </w:r>
      <w:r w:rsidR="00B970AA">
        <w:rPr>
          <w:rFonts w:ascii="Arial" w:hAnsi="Arial" w:cs="Arial"/>
          <w:sz w:val="20"/>
        </w:rPr>
        <w:t>July 14</w:t>
      </w:r>
      <w:r w:rsidRPr="0018386E">
        <w:rPr>
          <w:rFonts w:ascii="Arial" w:hAnsi="Arial" w:cs="Arial"/>
          <w:sz w:val="20"/>
        </w:rPr>
        <w:t xml:space="preserve">, </w:t>
      </w:r>
      <w:r w:rsidR="00B970AA" w:rsidRPr="0018386E">
        <w:rPr>
          <w:rFonts w:ascii="Arial" w:hAnsi="Arial" w:cs="Arial"/>
          <w:sz w:val="20"/>
        </w:rPr>
        <w:t>2023,</w:t>
      </w:r>
      <w:r w:rsidRPr="0018386E">
        <w:rPr>
          <w:rFonts w:ascii="Arial" w:hAnsi="Arial" w:cs="Arial"/>
          <w:sz w:val="20"/>
        </w:rPr>
        <w:t xml:space="preserve"> Meeting (Executive Committee) were presented and approved by motion from </w:t>
      </w:r>
      <w:r w:rsidR="00B970AA">
        <w:rPr>
          <w:rFonts w:ascii="Arial" w:hAnsi="Arial" w:cs="Arial"/>
          <w:sz w:val="20"/>
        </w:rPr>
        <w:t>Benjamin Collings</w:t>
      </w:r>
      <w:r w:rsidRPr="0018386E">
        <w:rPr>
          <w:rFonts w:ascii="Arial" w:hAnsi="Arial" w:cs="Arial"/>
          <w:sz w:val="20"/>
        </w:rPr>
        <w:t xml:space="preserve"> seconded by </w:t>
      </w:r>
      <w:r w:rsidR="00B970AA">
        <w:rPr>
          <w:rFonts w:ascii="Arial" w:hAnsi="Arial" w:cs="Arial"/>
          <w:sz w:val="20"/>
        </w:rPr>
        <w:t>Rick Walker</w:t>
      </w:r>
      <w:r w:rsidRPr="0018386E">
        <w:rPr>
          <w:rFonts w:ascii="Arial" w:hAnsi="Arial" w:cs="Arial"/>
          <w:sz w:val="20"/>
        </w:rPr>
        <w:t xml:space="preserve"> and </w:t>
      </w:r>
      <w:r w:rsidRPr="00A37434">
        <w:rPr>
          <w:rFonts w:ascii="Arial" w:hAnsi="Arial" w:cs="Arial"/>
          <w:sz w:val="20"/>
        </w:rPr>
        <w:t>roll call vote: voice vote: all yeas.</w:t>
      </w:r>
    </w:p>
    <w:p w14:paraId="70FE0590" w14:textId="77777777" w:rsidR="0018386E" w:rsidRPr="0043076B" w:rsidRDefault="0018386E" w:rsidP="001E765B">
      <w:pPr>
        <w:rPr>
          <w:rFonts w:ascii="Arial" w:hAnsi="Arial" w:cs="Arial"/>
          <w:sz w:val="20"/>
          <w:szCs w:val="20"/>
        </w:rPr>
      </w:pPr>
    </w:p>
    <w:p w14:paraId="209C8376" w14:textId="7EB8CD61" w:rsidR="001E765B" w:rsidRDefault="00907162" w:rsidP="001E765B">
      <w:pPr>
        <w:rPr>
          <w:rFonts w:ascii="Arial" w:hAnsi="Arial" w:cs="Arial"/>
          <w:sz w:val="20"/>
        </w:rPr>
      </w:pPr>
      <w:r>
        <w:rPr>
          <w:rFonts w:ascii="Arial" w:hAnsi="Arial" w:cs="Arial"/>
          <w:b/>
          <w:bCs/>
          <w:sz w:val="20"/>
          <w:szCs w:val="20"/>
        </w:rPr>
        <w:t>OLD</w:t>
      </w:r>
      <w:r w:rsidR="001E765B" w:rsidRPr="002264B5">
        <w:rPr>
          <w:rFonts w:ascii="Arial" w:hAnsi="Arial" w:cs="Arial"/>
          <w:b/>
          <w:bCs/>
          <w:sz w:val="20"/>
          <w:szCs w:val="20"/>
        </w:rPr>
        <w:t xml:space="preserve"> BUSINES</w:t>
      </w:r>
      <w:r w:rsidR="001E765B">
        <w:rPr>
          <w:rFonts w:ascii="Arial" w:hAnsi="Arial" w:cs="Arial"/>
          <w:b/>
          <w:bCs/>
          <w:sz w:val="20"/>
          <w:szCs w:val="20"/>
        </w:rPr>
        <w:t>S</w:t>
      </w:r>
    </w:p>
    <w:p w14:paraId="2F6C15F8" w14:textId="77777777" w:rsidR="001E765B" w:rsidRDefault="001E765B" w:rsidP="001E765B">
      <w:pPr>
        <w:rPr>
          <w:rFonts w:ascii="Arial" w:hAnsi="Arial" w:cs="Arial"/>
          <w:sz w:val="20"/>
        </w:rPr>
      </w:pPr>
    </w:p>
    <w:p w14:paraId="6093853D" w14:textId="64BBD99E" w:rsidR="001E765B" w:rsidRDefault="001C5CDE" w:rsidP="001E765B">
      <w:pPr>
        <w:rPr>
          <w:rFonts w:ascii="Arial" w:hAnsi="Arial" w:cs="Arial"/>
          <w:sz w:val="20"/>
          <w:u w:val="single"/>
        </w:rPr>
      </w:pPr>
      <w:r>
        <w:rPr>
          <w:rFonts w:ascii="Arial" w:hAnsi="Arial" w:cs="Arial"/>
          <w:sz w:val="20"/>
          <w:u w:val="single"/>
        </w:rPr>
        <w:t xml:space="preserve">Clinton County Land Bank Annual Report Presentation </w:t>
      </w:r>
    </w:p>
    <w:p w14:paraId="0976CA06" w14:textId="77777777" w:rsidR="00C01015" w:rsidRDefault="00C01015" w:rsidP="001E765B">
      <w:pPr>
        <w:rPr>
          <w:rFonts w:ascii="Arial" w:hAnsi="Arial" w:cs="Arial"/>
          <w:sz w:val="20"/>
        </w:rPr>
      </w:pPr>
    </w:p>
    <w:p w14:paraId="35D00207" w14:textId="636A34B5" w:rsidR="0018386E" w:rsidRDefault="001C5CDE" w:rsidP="0018386E">
      <w:pPr>
        <w:rPr>
          <w:rFonts w:ascii="Arial" w:hAnsi="Arial" w:cs="Arial"/>
          <w:sz w:val="20"/>
        </w:rPr>
      </w:pPr>
      <w:r>
        <w:rPr>
          <w:rFonts w:ascii="Arial" w:hAnsi="Arial" w:cs="Arial"/>
          <w:sz w:val="20"/>
        </w:rPr>
        <w:t>The board was reminded that the Clinton County Land Bank Annual Report was presented at the June 15</w:t>
      </w:r>
      <w:r w:rsidRPr="001C5CDE">
        <w:rPr>
          <w:rFonts w:ascii="Arial" w:hAnsi="Arial" w:cs="Arial"/>
          <w:sz w:val="20"/>
          <w:vertAlign w:val="superscript"/>
        </w:rPr>
        <w:t>th</w:t>
      </w:r>
      <w:r>
        <w:rPr>
          <w:rFonts w:ascii="Arial" w:hAnsi="Arial" w:cs="Arial"/>
          <w:sz w:val="20"/>
        </w:rPr>
        <w:t xml:space="preserve"> meeting and that there is access to the report on the website</w:t>
      </w:r>
      <w:r w:rsidR="00C01015">
        <w:rPr>
          <w:rFonts w:ascii="Arial" w:hAnsi="Arial" w:cs="Arial"/>
          <w:sz w:val="20"/>
        </w:rPr>
        <w:t xml:space="preserve"> for anyone to review. </w:t>
      </w:r>
    </w:p>
    <w:p w14:paraId="2AEFDBAF" w14:textId="77777777" w:rsidR="00C01015" w:rsidRDefault="00C01015" w:rsidP="0018386E">
      <w:pPr>
        <w:rPr>
          <w:rFonts w:ascii="Arial" w:hAnsi="Arial" w:cs="Arial"/>
          <w:sz w:val="20"/>
        </w:rPr>
      </w:pPr>
    </w:p>
    <w:p w14:paraId="7431190A" w14:textId="7A073A81" w:rsidR="00C01015" w:rsidRDefault="00C01015" w:rsidP="0018386E">
      <w:pPr>
        <w:rPr>
          <w:rFonts w:ascii="Arial" w:hAnsi="Arial" w:cs="Arial"/>
          <w:sz w:val="20"/>
          <w:u w:val="single"/>
        </w:rPr>
      </w:pPr>
      <w:r w:rsidRPr="00C01015">
        <w:rPr>
          <w:rFonts w:ascii="Arial" w:hAnsi="Arial" w:cs="Arial"/>
          <w:sz w:val="20"/>
          <w:u w:val="single"/>
        </w:rPr>
        <w:t>Creation of Hourly Position, Taylor Stuckert</w:t>
      </w:r>
    </w:p>
    <w:p w14:paraId="2B9D8383" w14:textId="77777777" w:rsidR="00C01015" w:rsidRDefault="00C01015" w:rsidP="0018386E">
      <w:pPr>
        <w:rPr>
          <w:rFonts w:ascii="Arial" w:hAnsi="Arial" w:cs="Arial"/>
          <w:sz w:val="20"/>
          <w:u w:val="single"/>
        </w:rPr>
      </w:pPr>
    </w:p>
    <w:p w14:paraId="09F43827" w14:textId="7513F681" w:rsidR="00C01015" w:rsidRDefault="00C01015" w:rsidP="0018386E">
      <w:pPr>
        <w:rPr>
          <w:rFonts w:ascii="Arial" w:hAnsi="Arial" w:cs="Arial"/>
          <w:sz w:val="20"/>
        </w:rPr>
      </w:pPr>
      <w:r>
        <w:rPr>
          <w:rFonts w:ascii="Arial" w:hAnsi="Arial" w:cs="Arial"/>
          <w:sz w:val="20"/>
        </w:rPr>
        <w:t xml:space="preserve">The board was reminded that Taylor Stuckert is currently an hourly employee to help with the transition of the Executive Director position. </w:t>
      </w:r>
    </w:p>
    <w:p w14:paraId="72D68607" w14:textId="77777777" w:rsidR="00C01015" w:rsidRDefault="00C01015" w:rsidP="0018386E">
      <w:pPr>
        <w:rPr>
          <w:rFonts w:ascii="Arial" w:hAnsi="Arial" w:cs="Arial"/>
          <w:sz w:val="20"/>
        </w:rPr>
      </w:pPr>
    </w:p>
    <w:p w14:paraId="08833911" w14:textId="45E9EA84" w:rsidR="00C01015" w:rsidRDefault="00C01015" w:rsidP="0018386E">
      <w:pPr>
        <w:rPr>
          <w:rFonts w:ascii="Arial" w:hAnsi="Arial" w:cs="Arial"/>
          <w:sz w:val="20"/>
          <w:u w:val="single"/>
        </w:rPr>
      </w:pPr>
      <w:r w:rsidRPr="00C01015">
        <w:rPr>
          <w:rFonts w:ascii="Arial" w:hAnsi="Arial" w:cs="Arial"/>
          <w:sz w:val="20"/>
          <w:u w:val="single"/>
        </w:rPr>
        <w:t>New Executive Director, Connor Rigney</w:t>
      </w:r>
    </w:p>
    <w:p w14:paraId="7B4DA94B" w14:textId="77777777" w:rsidR="00C01015" w:rsidRDefault="00C01015" w:rsidP="0018386E">
      <w:pPr>
        <w:rPr>
          <w:rFonts w:ascii="Arial" w:hAnsi="Arial" w:cs="Arial"/>
          <w:sz w:val="20"/>
          <w:u w:val="single"/>
        </w:rPr>
      </w:pPr>
    </w:p>
    <w:p w14:paraId="4748F814" w14:textId="3D437057" w:rsidR="00C01015" w:rsidRDefault="00C01015" w:rsidP="0018386E">
      <w:pPr>
        <w:rPr>
          <w:rFonts w:ascii="Arial" w:hAnsi="Arial" w:cs="Arial"/>
          <w:sz w:val="20"/>
        </w:rPr>
      </w:pPr>
      <w:r>
        <w:rPr>
          <w:rFonts w:ascii="Arial" w:hAnsi="Arial" w:cs="Arial"/>
          <w:sz w:val="20"/>
        </w:rPr>
        <w:t xml:space="preserve">The new Executive Director, Connor </w:t>
      </w:r>
      <w:r w:rsidR="00194992">
        <w:rPr>
          <w:rFonts w:ascii="Arial" w:hAnsi="Arial" w:cs="Arial"/>
          <w:sz w:val="20"/>
        </w:rPr>
        <w:t>Rigney,</w:t>
      </w:r>
      <w:r>
        <w:rPr>
          <w:rFonts w:ascii="Arial" w:hAnsi="Arial" w:cs="Arial"/>
          <w:sz w:val="20"/>
        </w:rPr>
        <w:t xml:space="preserve"> was introduced. </w:t>
      </w:r>
    </w:p>
    <w:p w14:paraId="5408B60E" w14:textId="77777777" w:rsidR="00194992" w:rsidRDefault="00194992" w:rsidP="0018386E">
      <w:pPr>
        <w:rPr>
          <w:rFonts w:ascii="Arial" w:hAnsi="Arial" w:cs="Arial"/>
          <w:sz w:val="20"/>
        </w:rPr>
      </w:pPr>
    </w:p>
    <w:p w14:paraId="5E797AD5" w14:textId="77777777" w:rsidR="00194992" w:rsidRDefault="00194992" w:rsidP="0018386E">
      <w:pPr>
        <w:rPr>
          <w:rFonts w:ascii="Arial" w:hAnsi="Arial" w:cs="Arial"/>
          <w:sz w:val="20"/>
        </w:rPr>
      </w:pPr>
    </w:p>
    <w:p w14:paraId="03EC7B4B" w14:textId="77777777" w:rsidR="00194992" w:rsidRDefault="00194992" w:rsidP="0018386E">
      <w:pPr>
        <w:rPr>
          <w:rFonts w:ascii="Arial" w:hAnsi="Arial" w:cs="Arial"/>
          <w:sz w:val="20"/>
        </w:rPr>
      </w:pPr>
    </w:p>
    <w:p w14:paraId="70A5D17F" w14:textId="77777777" w:rsidR="00194992" w:rsidRDefault="00194992" w:rsidP="0018386E">
      <w:pPr>
        <w:rPr>
          <w:rFonts w:ascii="Arial" w:hAnsi="Arial" w:cs="Arial"/>
          <w:sz w:val="20"/>
        </w:rPr>
      </w:pPr>
    </w:p>
    <w:p w14:paraId="03651C9D" w14:textId="77777777" w:rsidR="00194992" w:rsidRDefault="00194992" w:rsidP="0018386E">
      <w:pPr>
        <w:rPr>
          <w:rFonts w:ascii="Arial" w:hAnsi="Arial" w:cs="Arial"/>
          <w:sz w:val="20"/>
        </w:rPr>
      </w:pPr>
    </w:p>
    <w:p w14:paraId="0E2AC7CA" w14:textId="77777777" w:rsidR="00194992" w:rsidRPr="00C01015" w:rsidRDefault="00194992" w:rsidP="0018386E">
      <w:pPr>
        <w:rPr>
          <w:rFonts w:ascii="Arial" w:hAnsi="Arial" w:cs="Arial"/>
          <w:sz w:val="20"/>
        </w:rPr>
      </w:pPr>
    </w:p>
    <w:p w14:paraId="13D7E181" w14:textId="2E9BD9C7" w:rsidR="001E765B" w:rsidRDefault="001E765B" w:rsidP="003A0942">
      <w:pPr>
        <w:rPr>
          <w:rFonts w:ascii="Arial" w:hAnsi="Arial" w:cs="Arial"/>
          <w:sz w:val="20"/>
        </w:rPr>
      </w:pPr>
    </w:p>
    <w:p w14:paraId="0250D0A8" w14:textId="77777777" w:rsidR="0018386E" w:rsidRDefault="0018386E" w:rsidP="00431984">
      <w:pPr>
        <w:rPr>
          <w:rFonts w:ascii="Arial" w:hAnsi="Arial" w:cs="Arial"/>
          <w:b/>
          <w:bCs/>
          <w:sz w:val="20"/>
          <w:szCs w:val="20"/>
        </w:rPr>
      </w:pPr>
    </w:p>
    <w:p w14:paraId="79CEBBEB" w14:textId="77777777" w:rsidR="00377694" w:rsidRDefault="00AA1516" w:rsidP="00377694">
      <w:pPr>
        <w:rPr>
          <w:rFonts w:ascii="Arial" w:hAnsi="Arial" w:cs="Arial"/>
          <w:b/>
          <w:bCs/>
          <w:sz w:val="20"/>
          <w:szCs w:val="20"/>
        </w:rPr>
      </w:pPr>
      <w:r>
        <w:rPr>
          <w:rFonts w:ascii="Arial" w:hAnsi="Arial" w:cs="Arial"/>
          <w:b/>
          <w:bCs/>
          <w:sz w:val="20"/>
          <w:szCs w:val="20"/>
        </w:rPr>
        <w:lastRenderedPageBreak/>
        <w:t>NEW</w:t>
      </w:r>
      <w:r w:rsidRPr="002264B5">
        <w:rPr>
          <w:rFonts w:ascii="Arial" w:hAnsi="Arial" w:cs="Arial"/>
          <w:b/>
          <w:bCs/>
          <w:sz w:val="20"/>
          <w:szCs w:val="20"/>
        </w:rPr>
        <w:t xml:space="preserve"> BUSINES</w:t>
      </w:r>
    </w:p>
    <w:p w14:paraId="6D83D7E3" w14:textId="77777777" w:rsidR="00377694" w:rsidRDefault="00377694" w:rsidP="00377694">
      <w:pPr>
        <w:rPr>
          <w:rFonts w:ascii="Arial" w:hAnsi="Arial" w:cs="Arial"/>
          <w:b/>
          <w:bCs/>
          <w:sz w:val="20"/>
          <w:szCs w:val="20"/>
        </w:rPr>
      </w:pPr>
    </w:p>
    <w:p w14:paraId="7E148786" w14:textId="77777777" w:rsidR="00377694" w:rsidRDefault="0018386E" w:rsidP="00377694">
      <w:pPr>
        <w:rPr>
          <w:rFonts w:ascii="Arial" w:hAnsi="Arial" w:cs="Arial"/>
          <w:b/>
          <w:bCs/>
          <w:sz w:val="20"/>
          <w:szCs w:val="20"/>
        </w:rPr>
      </w:pPr>
      <w:r w:rsidRPr="0018386E">
        <w:rPr>
          <w:rFonts w:ascii="Arial" w:hAnsi="Arial" w:cs="Arial"/>
          <w:sz w:val="20"/>
          <w:u w:val="single"/>
        </w:rPr>
        <w:t>Applicant #2023-</w:t>
      </w:r>
      <w:r w:rsidR="00A37434">
        <w:rPr>
          <w:rFonts w:ascii="Arial" w:hAnsi="Arial" w:cs="Arial"/>
          <w:sz w:val="20"/>
          <w:u w:val="single"/>
        </w:rPr>
        <w:t>30</w:t>
      </w:r>
      <w:r w:rsidRPr="0018386E">
        <w:rPr>
          <w:rFonts w:ascii="Arial" w:hAnsi="Arial" w:cs="Arial"/>
          <w:sz w:val="20"/>
          <w:u w:val="single"/>
        </w:rPr>
        <w:t>—</w:t>
      </w:r>
      <w:r w:rsidR="00A37434">
        <w:rPr>
          <w:rFonts w:ascii="Arial" w:hAnsi="Arial" w:cs="Arial"/>
          <w:sz w:val="20"/>
          <w:u w:val="single"/>
        </w:rPr>
        <w:t>Access Management Variance</w:t>
      </w:r>
      <w:r w:rsidRPr="0018386E">
        <w:rPr>
          <w:rFonts w:ascii="Arial" w:hAnsi="Arial" w:cs="Arial"/>
          <w:sz w:val="20"/>
          <w:u w:val="single"/>
        </w:rPr>
        <w:t>—</w:t>
      </w:r>
      <w:r w:rsidR="00A37434">
        <w:rPr>
          <w:rFonts w:ascii="Arial" w:hAnsi="Arial" w:cs="Arial"/>
          <w:sz w:val="20"/>
          <w:u w:val="single"/>
        </w:rPr>
        <w:t>Ralph Larry Roberts II Family Trust</w:t>
      </w:r>
    </w:p>
    <w:p w14:paraId="3FF67BC6" w14:textId="77777777" w:rsidR="00377694" w:rsidRDefault="00377694" w:rsidP="00377694">
      <w:pPr>
        <w:rPr>
          <w:rFonts w:ascii="Arial" w:hAnsi="Arial" w:cs="Arial"/>
          <w:b/>
          <w:bCs/>
          <w:sz w:val="20"/>
          <w:szCs w:val="20"/>
        </w:rPr>
      </w:pPr>
    </w:p>
    <w:p w14:paraId="7877E5B3" w14:textId="77777777" w:rsidR="00377694" w:rsidRDefault="00194992" w:rsidP="00377694">
      <w:pPr>
        <w:rPr>
          <w:rFonts w:ascii="Arial" w:hAnsi="Arial" w:cs="Arial"/>
          <w:b/>
          <w:bCs/>
          <w:sz w:val="20"/>
          <w:szCs w:val="20"/>
        </w:rPr>
      </w:pPr>
      <w:r w:rsidRPr="00194992">
        <w:rPr>
          <w:rFonts w:ascii="Arial" w:hAnsi="Arial" w:cs="Arial"/>
          <w:sz w:val="20"/>
        </w:rPr>
        <w:t xml:space="preserve">Ralph Larry Roberts II Family Trust </w:t>
      </w:r>
      <w:r w:rsidR="0018386E" w:rsidRPr="00194992">
        <w:rPr>
          <w:rFonts w:ascii="Arial" w:hAnsi="Arial" w:cs="Arial"/>
          <w:sz w:val="20"/>
        </w:rPr>
        <w:t xml:space="preserve">presented their request for </w:t>
      </w:r>
      <w:r w:rsidRPr="00194992">
        <w:rPr>
          <w:rFonts w:ascii="Arial" w:hAnsi="Arial" w:cs="Arial"/>
          <w:sz w:val="20"/>
        </w:rPr>
        <w:t xml:space="preserve">a variance to the Access Management Regulations related to stopping site distance requirements per Access Management on W Mt. Pleasant Rd. in Liberty Township. </w:t>
      </w:r>
      <w:r w:rsidR="002018CF">
        <w:rPr>
          <w:rFonts w:ascii="Arial" w:hAnsi="Arial" w:cs="Arial"/>
          <w:sz w:val="20"/>
        </w:rPr>
        <w:t xml:space="preserve">The applicant is requesting to subdivide a 2.155-acre tract in Liberty Township and proposing to split an approximately 2.155-acre lot from the 4.359-acre parcel (190012208000000.) However, the proposed lot does not meet </w:t>
      </w:r>
      <w:r w:rsidR="002018CF" w:rsidRPr="009474AE">
        <w:rPr>
          <w:rFonts w:ascii="Arial" w:hAnsi="Arial" w:cs="Arial"/>
          <w:sz w:val="20"/>
        </w:rPr>
        <w:t>§</w:t>
      </w:r>
      <w:r w:rsidR="002018CF">
        <w:rPr>
          <w:rFonts w:ascii="Arial" w:hAnsi="Arial" w:cs="Arial"/>
          <w:sz w:val="20"/>
        </w:rPr>
        <w:t xml:space="preserve"> 6.02(A) of the Clinton County Access Management Regulations, which requires that “the location of all access connections shall permit adequate horizontal and vertical sight distance as specified in the Ohio Department of Transportation, Location and Design manual based on the stopping sight distance for the legal speed limit at the location of the driveway. </w:t>
      </w:r>
    </w:p>
    <w:p w14:paraId="55445213" w14:textId="77777777" w:rsidR="00377694" w:rsidRDefault="00377694" w:rsidP="00377694">
      <w:pPr>
        <w:rPr>
          <w:rFonts w:ascii="Arial" w:hAnsi="Arial" w:cs="Arial"/>
          <w:b/>
          <w:bCs/>
          <w:sz w:val="20"/>
          <w:szCs w:val="20"/>
        </w:rPr>
      </w:pPr>
    </w:p>
    <w:p w14:paraId="7350ADDC" w14:textId="77777777" w:rsidR="00377694" w:rsidRDefault="00194992" w:rsidP="00377694">
      <w:pPr>
        <w:rPr>
          <w:rFonts w:ascii="Arial" w:hAnsi="Arial" w:cs="Arial"/>
          <w:b/>
          <w:bCs/>
          <w:sz w:val="20"/>
          <w:szCs w:val="20"/>
        </w:rPr>
      </w:pPr>
      <w:r w:rsidRPr="002018CF">
        <w:rPr>
          <w:rFonts w:ascii="Arial" w:hAnsi="Arial" w:cs="Arial"/>
          <w:sz w:val="20"/>
        </w:rPr>
        <w:t xml:space="preserve">Andrew DeMarsh read the staff report. Staff received comments from the Clinton County Engineers Office stating that there was no location on the proposed </w:t>
      </w:r>
      <w:r w:rsidR="002018CF" w:rsidRPr="002018CF">
        <w:rPr>
          <w:rFonts w:ascii="Arial" w:hAnsi="Arial" w:cs="Arial"/>
          <w:sz w:val="20"/>
        </w:rPr>
        <w:t>2.155-acre</w:t>
      </w:r>
      <w:r w:rsidRPr="002018CF">
        <w:rPr>
          <w:rFonts w:ascii="Arial" w:hAnsi="Arial" w:cs="Arial"/>
          <w:sz w:val="20"/>
        </w:rPr>
        <w:t xml:space="preserve"> tract that would meet the criteria of </w:t>
      </w:r>
      <w:bookmarkStart w:id="0" w:name="_Hlk143088481"/>
      <w:bookmarkStart w:id="1" w:name="_Hlk143088948"/>
      <w:r w:rsidR="009474AE" w:rsidRPr="009474AE">
        <w:rPr>
          <w:rFonts w:ascii="Arial" w:hAnsi="Arial" w:cs="Arial"/>
          <w:sz w:val="20"/>
        </w:rPr>
        <w:t>§</w:t>
      </w:r>
      <w:r w:rsidR="009474AE">
        <w:rPr>
          <w:rFonts w:ascii="Arial" w:hAnsi="Arial" w:cs="Arial"/>
          <w:sz w:val="20"/>
        </w:rPr>
        <w:t xml:space="preserve"> </w:t>
      </w:r>
      <w:bookmarkEnd w:id="0"/>
      <w:bookmarkEnd w:id="1"/>
      <w:r w:rsidR="003F7D5E">
        <w:rPr>
          <w:rFonts w:ascii="Arial" w:hAnsi="Arial" w:cs="Arial"/>
          <w:sz w:val="20"/>
        </w:rPr>
        <w:t>6.02(A) and</w:t>
      </w:r>
      <w:r w:rsidR="009474AE">
        <w:rPr>
          <w:rFonts w:ascii="Arial" w:hAnsi="Arial" w:cs="Arial"/>
          <w:sz w:val="20"/>
        </w:rPr>
        <w:t xml:space="preserve"> granting the variance could create potential safety concerns. </w:t>
      </w:r>
      <w:bookmarkStart w:id="2" w:name="_Hlk143160600"/>
      <w:r w:rsidR="009474AE" w:rsidRPr="009474AE">
        <w:rPr>
          <w:rFonts w:ascii="Arial" w:hAnsi="Arial" w:cs="Arial"/>
          <w:sz w:val="20"/>
        </w:rPr>
        <w:t>§</w:t>
      </w:r>
      <w:bookmarkEnd w:id="2"/>
      <w:r w:rsidR="009474AE">
        <w:rPr>
          <w:rFonts w:ascii="Arial" w:hAnsi="Arial" w:cs="Arial"/>
          <w:sz w:val="20"/>
        </w:rPr>
        <w:t xml:space="preserve"> 6.10 of the Regulations would allow for the creation of these lots </w:t>
      </w:r>
      <w:proofErr w:type="gramStart"/>
      <w:r w:rsidR="009474AE">
        <w:rPr>
          <w:rFonts w:ascii="Arial" w:hAnsi="Arial" w:cs="Arial"/>
          <w:sz w:val="20"/>
        </w:rPr>
        <w:t>provided that</w:t>
      </w:r>
      <w:proofErr w:type="gramEnd"/>
      <w:r w:rsidR="009474AE">
        <w:rPr>
          <w:rFonts w:ascii="Arial" w:hAnsi="Arial" w:cs="Arial"/>
          <w:sz w:val="20"/>
        </w:rPr>
        <w:t xml:space="preserve"> a cross access easement be provided on the survey, so that both parcels could utilize a common access point on the western side of the proposed 2.204 – acre tract that would meet the requirements of the Regulations. The Engineers Office conducted a site visit to the property where they observed </w:t>
      </w:r>
      <w:r w:rsidR="002018CF">
        <w:rPr>
          <w:rFonts w:ascii="Arial" w:hAnsi="Arial" w:cs="Arial"/>
          <w:sz w:val="20"/>
        </w:rPr>
        <w:t>that the crest hill in the road on the eastern edge of the proposed 2.155-acre tract. The Engineers Office felt that the crest hill prevents visibility of vehicles approaching from the east (US 68).</w:t>
      </w:r>
    </w:p>
    <w:p w14:paraId="7A3E0F06" w14:textId="77777777" w:rsidR="00377694" w:rsidRDefault="00377694" w:rsidP="00377694">
      <w:pPr>
        <w:rPr>
          <w:rFonts w:ascii="Arial" w:hAnsi="Arial" w:cs="Arial"/>
          <w:b/>
          <w:bCs/>
          <w:sz w:val="20"/>
          <w:szCs w:val="20"/>
        </w:rPr>
      </w:pPr>
    </w:p>
    <w:p w14:paraId="0925389D" w14:textId="66AE0524" w:rsidR="00377694" w:rsidRDefault="002018CF" w:rsidP="00377694">
      <w:pPr>
        <w:rPr>
          <w:rFonts w:ascii="Arial" w:hAnsi="Arial" w:cs="Arial"/>
          <w:b/>
          <w:bCs/>
          <w:sz w:val="20"/>
          <w:szCs w:val="20"/>
        </w:rPr>
      </w:pPr>
      <w:r w:rsidRPr="002018CF">
        <w:rPr>
          <w:rFonts w:ascii="Arial" w:hAnsi="Arial" w:cs="Arial"/>
          <w:sz w:val="20"/>
        </w:rPr>
        <w:t>Given</w:t>
      </w:r>
      <w:r>
        <w:rPr>
          <w:rFonts w:ascii="Arial" w:hAnsi="Arial" w:cs="Arial"/>
          <w:sz w:val="20"/>
        </w:rPr>
        <w:t xml:space="preserve"> the Engineer’s Office </w:t>
      </w:r>
      <w:r w:rsidR="003F7D5E">
        <w:rPr>
          <w:rFonts w:ascii="Arial" w:hAnsi="Arial" w:cs="Arial"/>
          <w:sz w:val="20"/>
        </w:rPr>
        <w:t>comments</w:t>
      </w:r>
      <w:r w:rsidR="00045C7B">
        <w:rPr>
          <w:rFonts w:ascii="Arial" w:hAnsi="Arial" w:cs="Arial"/>
          <w:sz w:val="20"/>
        </w:rPr>
        <w:t xml:space="preserve"> and the strong concern for public safety,</w:t>
      </w:r>
      <w:r>
        <w:rPr>
          <w:rFonts w:ascii="Arial" w:hAnsi="Arial" w:cs="Arial"/>
          <w:sz w:val="20"/>
        </w:rPr>
        <w:t xml:space="preserve"> </w:t>
      </w:r>
      <w:r w:rsidR="003F7D5E">
        <w:rPr>
          <w:rFonts w:ascii="Arial" w:hAnsi="Arial" w:cs="Arial"/>
          <w:sz w:val="20"/>
        </w:rPr>
        <w:t xml:space="preserve">the staff </w:t>
      </w:r>
      <w:r w:rsidR="00045C7B">
        <w:rPr>
          <w:rFonts w:ascii="Arial" w:hAnsi="Arial" w:cs="Arial"/>
          <w:sz w:val="20"/>
        </w:rPr>
        <w:t xml:space="preserve">feels that the applicant cannot satisfy the Unnecessary Hardship Test per the ORC and </w:t>
      </w:r>
      <w:r w:rsidR="003F7D5E">
        <w:rPr>
          <w:rFonts w:ascii="Arial" w:hAnsi="Arial" w:cs="Arial"/>
          <w:sz w:val="20"/>
        </w:rPr>
        <w:t xml:space="preserve">recommends denial of the variance. Staff supports the Engineer’s Office recommendation of a cross-access easement on the survey to provide a safe common access point for both proposed parcels. </w:t>
      </w:r>
    </w:p>
    <w:p w14:paraId="497371E1" w14:textId="77777777" w:rsidR="00377694" w:rsidRDefault="00377694" w:rsidP="00377694">
      <w:pPr>
        <w:rPr>
          <w:rFonts w:ascii="Arial" w:hAnsi="Arial" w:cs="Arial"/>
          <w:b/>
          <w:bCs/>
          <w:sz w:val="20"/>
          <w:szCs w:val="20"/>
        </w:rPr>
      </w:pPr>
    </w:p>
    <w:p w14:paraId="36BE7D0D" w14:textId="1C1A86A7" w:rsidR="00377694" w:rsidRDefault="002C3AAF" w:rsidP="00377694">
      <w:pPr>
        <w:rPr>
          <w:rFonts w:ascii="Arial" w:hAnsi="Arial" w:cs="Arial"/>
          <w:b/>
          <w:bCs/>
          <w:sz w:val="20"/>
          <w:szCs w:val="20"/>
        </w:rPr>
      </w:pPr>
      <w:r w:rsidRPr="002C3AAF">
        <w:rPr>
          <w:rFonts w:ascii="Arial" w:hAnsi="Arial" w:cs="Arial"/>
          <w:sz w:val="20"/>
        </w:rPr>
        <w:t xml:space="preserve">Three motions were made. </w:t>
      </w:r>
      <w:r w:rsidR="0018386E" w:rsidRPr="002C3AAF">
        <w:rPr>
          <w:rFonts w:ascii="Arial" w:hAnsi="Arial" w:cs="Arial"/>
          <w:sz w:val="20"/>
        </w:rPr>
        <w:t xml:space="preserve">A motion to </w:t>
      </w:r>
      <w:r w:rsidRPr="002C3AAF">
        <w:rPr>
          <w:rFonts w:ascii="Arial" w:hAnsi="Arial" w:cs="Arial"/>
          <w:sz w:val="20"/>
        </w:rPr>
        <w:t>table the application for the RPC to “receive an updated letter from the Engineer’s Office about the safety of the driveway location after the on-site inspection.” That motion was withdrawn.</w:t>
      </w:r>
      <w:r w:rsidR="0018386E" w:rsidRPr="002C3AAF">
        <w:rPr>
          <w:rFonts w:ascii="Arial" w:hAnsi="Arial" w:cs="Arial"/>
          <w:sz w:val="20"/>
        </w:rPr>
        <w:t xml:space="preserve"> </w:t>
      </w:r>
      <w:r>
        <w:rPr>
          <w:rFonts w:ascii="Arial" w:hAnsi="Arial" w:cs="Arial"/>
          <w:sz w:val="20"/>
        </w:rPr>
        <w:t>Next was a motion made by Michelle Morrison and seconded by John Carman to deny the application that failed with 4 yea, 8 nay, 1 abstention. Finally, a motion was made by Benjamin Collings and seconded by Bruce Beam to approve the application that passed 8 yea, 3 nay, 1 abstention.</w:t>
      </w:r>
    </w:p>
    <w:p w14:paraId="013C5727" w14:textId="77777777" w:rsidR="00377694" w:rsidRDefault="00377694" w:rsidP="00377694">
      <w:pPr>
        <w:rPr>
          <w:rFonts w:ascii="Arial" w:hAnsi="Arial" w:cs="Arial"/>
          <w:b/>
          <w:bCs/>
          <w:sz w:val="20"/>
          <w:szCs w:val="20"/>
        </w:rPr>
      </w:pPr>
    </w:p>
    <w:p w14:paraId="5153DBA2" w14:textId="77777777" w:rsidR="00377694" w:rsidRDefault="0018386E" w:rsidP="00377694">
      <w:pPr>
        <w:rPr>
          <w:rFonts w:ascii="Arial" w:hAnsi="Arial" w:cs="Arial"/>
          <w:b/>
          <w:bCs/>
          <w:sz w:val="20"/>
          <w:szCs w:val="20"/>
        </w:rPr>
      </w:pPr>
      <w:r w:rsidRPr="0018386E">
        <w:rPr>
          <w:rFonts w:ascii="Arial" w:hAnsi="Arial" w:cs="Arial"/>
          <w:sz w:val="20"/>
          <w:u w:val="single"/>
        </w:rPr>
        <w:t>Applicant #2023-</w:t>
      </w:r>
      <w:r w:rsidR="00A37434">
        <w:rPr>
          <w:rFonts w:ascii="Arial" w:hAnsi="Arial" w:cs="Arial"/>
          <w:sz w:val="20"/>
          <w:u w:val="single"/>
        </w:rPr>
        <w:t>31</w:t>
      </w:r>
      <w:r w:rsidRPr="0018386E">
        <w:rPr>
          <w:rFonts w:ascii="Arial" w:hAnsi="Arial" w:cs="Arial"/>
          <w:sz w:val="20"/>
          <w:u w:val="single"/>
        </w:rPr>
        <w:t>—</w:t>
      </w:r>
      <w:r w:rsidR="00A37434">
        <w:rPr>
          <w:rFonts w:ascii="Arial" w:hAnsi="Arial" w:cs="Arial"/>
          <w:sz w:val="20"/>
          <w:u w:val="single"/>
        </w:rPr>
        <w:t>Access Management Variance</w:t>
      </w:r>
      <w:r w:rsidRPr="0018386E">
        <w:rPr>
          <w:rFonts w:ascii="Arial" w:hAnsi="Arial" w:cs="Arial"/>
          <w:sz w:val="20"/>
          <w:u w:val="single"/>
        </w:rPr>
        <w:t xml:space="preserve"> —</w:t>
      </w:r>
      <w:r w:rsidR="00A37434">
        <w:rPr>
          <w:rFonts w:ascii="Arial" w:hAnsi="Arial" w:cs="Arial"/>
          <w:sz w:val="20"/>
          <w:u w:val="single"/>
        </w:rPr>
        <w:t xml:space="preserve"> Bobby Joe Prewitt</w:t>
      </w:r>
    </w:p>
    <w:p w14:paraId="262175E3" w14:textId="77777777" w:rsidR="00377694" w:rsidRDefault="00377694" w:rsidP="00377694">
      <w:pPr>
        <w:rPr>
          <w:rFonts w:ascii="Arial" w:hAnsi="Arial" w:cs="Arial"/>
          <w:b/>
          <w:bCs/>
          <w:sz w:val="20"/>
          <w:szCs w:val="20"/>
        </w:rPr>
      </w:pPr>
    </w:p>
    <w:p w14:paraId="2BF3EB55" w14:textId="63416C0D" w:rsidR="00377694" w:rsidRDefault="00377694" w:rsidP="00377694">
      <w:pPr>
        <w:rPr>
          <w:rFonts w:ascii="Arial" w:hAnsi="Arial" w:cs="Arial"/>
          <w:sz w:val="20"/>
        </w:rPr>
      </w:pPr>
      <w:r w:rsidRPr="00377694">
        <w:rPr>
          <w:rFonts w:ascii="Arial" w:hAnsi="Arial" w:cs="Arial"/>
          <w:sz w:val="20"/>
        </w:rPr>
        <w:t>Bobby Joe Prewitt</w:t>
      </w:r>
      <w:r w:rsidR="0018386E" w:rsidRPr="00377694">
        <w:rPr>
          <w:rFonts w:ascii="Arial" w:hAnsi="Arial" w:cs="Arial"/>
          <w:sz w:val="20"/>
        </w:rPr>
        <w:t xml:space="preserve"> presented </w:t>
      </w:r>
      <w:r w:rsidRPr="00377694">
        <w:rPr>
          <w:rFonts w:ascii="Arial" w:hAnsi="Arial" w:cs="Arial"/>
          <w:sz w:val="20"/>
        </w:rPr>
        <w:t>his</w:t>
      </w:r>
      <w:r w:rsidR="0018386E" w:rsidRPr="00377694">
        <w:rPr>
          <w:rFonts w:ascii="Arial" w:hAnsi="Arial" w:cs="Arial"/>
          <w:sz w:val="20"/>
        </w:rPr>
        <w:t xml:space="preserve"> </w:t>
      </w:r>
      <w:r w:rsidR="00525CDE">
        <w:rPr>
          <w:rFonts w:ascii="Arial" w:hAnsi="Arial" w:cs="Arial"/>
          <w:sz w:val="20"/>
        </w:rPr>
        <w:t xml:space="preserve">request for multiple variances to a 14.706-acre parcel in Marion Township. The applicant is proposing an access point (driveway) onto Fayetteville Rd. Section 6.04 of the Clinton County Access Management Regulations requires that “no new driveway upgrades shall be permitted along a roadway from parcels or contiguously owned parcels where access is available or can be made available from a lower classification road or street.” Due to the parcel having frontage along Fairground Road (ADT=353), Fayetteville Road (ADT=887) </w:t>
      </w:r>
      <w:proofErr w:type="gramStart"/>
      <w:r w:rsidR="00525CDE">
        <w:rPr>
          <w:rFonts w:ascii="Arial" w:hAnsi="Arial" w:cs="Arial"/>
          <w:sz w:val="20"/>
        </w:rPr>
        <w:t>is considered to be</w:t>
      </w:r>
      <w:proofErr w:type="gramEnd"/>
      <w:r w:rsidR="00525CDE">
        <w:rPr>
          <w:rFonts w:ascii="Arial" w:hAnsi="Arial" w:cs="Arial"/>
          <w:sz w:val="20"/>
        </w:rPr>
        <w:t xml:space="preserve"> a higher classification roadway. Due to Fayetteville Road being classified as a “Major Local” road in the Regulations, the driveway spacing requirements detailed in </w:t>
      </w:r>
      <w:r w:rsidR="00525CDE" w:rsidRPr="00525CDE">
        <w:rPr>
          <w:rFonts w:ascii="Arial" w:hAnsi="Arial" w:cs="Arial"/>
          <w:sz w:val="20"/>
        </w:rPr>
        <w:t>§</w:t>
      </w:r>
      <w:r w:rsidR="00525CDE">
        <w:rPr>
          <w:rFonts w:ascii="Arial" w:hAnsi="Arial" w:cs="Arial"/>
          <w:sz w:val="20"/>
        </w:rPr>
        <w:t xml:space="preserve"> 6.13 of the Regulations</w:t>
      </w:r>
      <w:r w:rsidR="00045C7B">
        <w:rPr>
          <w:rFonts w:ascii="Arial" w:hAnsi="Arial" w:cs="Arial"/>
          <w:sz w:val="20"/>
        </w:rPr>
        <w:t xml:space="preserve"> </w:t>
      </w:r>
      <w:r w:rsidR="00525CDE">
        <w:rPr>
          <w:rFonts w:ascii="Arial" w:hAnsi="Arial" w:cs="Arial"/>
          <w:sz w:val="20"/>
        </w:rPr>
        <w:t>(300’ between drives and/ or intersections) would also prohibit the creation of a new driveway on this portion of the roadway. For the applicant to create a new drive on Fayetteville Rd</w:t>
      </w:r>
      <w:r w:rsidR="00045C7B">
        <w:rPr>
          <w:rFonts w:ascii="Arial" w:hAnsi="Arial" w:cs="Arial"/>
          <w:sz w:val="20"/>
        </w:rPr>
        <w:t xml:space="preserve">., a variance to both </w:t>
      </w:r>
      <w:bookmarkStart w:id="3" w:name="_Hlk143160788"/>
      <w:r w:rsidR="00045C7B" w:rsidRPr="00045C7B">
        <w:rPr>
          <w:rFonts w:ascii="Arial" w:hAnsi="Arial" w:cs="Arial"/>
          <w:sz w:val="20"/>
        </w:rPr>
        <w:t>§</w:t>
      </w:r>
      <w:r w:rsidR="00045C7B">
        <w:rPr>
          <w:rFonts w:ascii="Arial" w:hAnsi="Arial" w:cs="Arial"/>
          <w:sz w:val="20"/>
        </w:rPr>
        <w:t xml:space="preserve"> 6.04 </w:t>
      </w:r>
      <w:bookmarkEnd w:id="3"/>
      <w:r w:rsidR="00045C7B">
        <w:rPr>
          <w:rFonts w:ascii="Arial" w:hAnsi="Arial" w:cs="Arial"/>
          <w:sz w:val="20"/>
        </w:rPr>
        <w:t xml:space="preserve">and </w:t>
      </w:r>
      <w:bookmarkStart w:id="4" w:name="_Hlk143162042"/>
      <w:r w:rsidR="00045C7B" w:rsidRPr="00045C7B">
        <w:rPr>
          <w:rFonts w:ascii="Arial" w:hAnsi="Arial" w:cs="Arial"/>
          <w:sz w:val="20"/>
        </w:rPr>
        <w:t>§</w:t>
      </w:r>
      <w:bookmarkEnd w:id="4"/>
      <w:r w:rsidR="00045C7B" w:rsidRPr="00045C7B">
        <w:rPr>
          <w:rFonts w:ascii="Arial" w:hAnsi="Arial" w:cs="Arial"/>
          <w:sz w:val="20"/>
        </w:rPr>
        <w:t xml:space="preserve"> 6</w:t>
      </w:r>
      <w:r w:rsidR="00045C7B">
        <w:rPr>
          <w:rFonts w:ascii="Arial" w:hAnsi="Arial" w:cs="Arial"/>
          <w:sz w:val="20"/>
        </w:rPr>
        <w:t>.13 are required.</w:t>
      </w:r>
    </w:p>
    <w:p w14:paraId="740C09A4" w14:textId="77777777" w:rsidR="00045C7B" w:rsidRDefault="00045C7B" w:rsidP="00377694">
      <w:pPr>
        <w:rPr>
          <w:rFonts w:ascii="Arial" w:hAnsi="Arial" w:cs="Arial"/>
          <w:sz w:val="20"/>
        </w:rPr>
      </w:pPr>
    </w:p>
    <w:p w14:paraId="4198EF8A" w14:textId="65E7A25D" w:rsidR="00045C7B" w:rsidRDefault="00045C7B" w:rsidP="00377694">
      <w:pPr>
        <w:rPr>
          <w:rFonts w:ascii="Arial" w:hAnsi="Arial" w:cs="Arial"/>
          <w:sz w:val="20"/>
        </w:rPr>
      </w:pPr>
      <w:r>
        <w:rPr>
          <w:rFonts w:ascii="Arial" w:hAnsi="Arial" w:cs="Arial"/>
          <w:sz w:val="20"/>
        </w:rPr>
        <w:t xml:space="preserve">Andrew DeMarsh read the staff report. Staff received comments from the Clinton County Engineers Office stating that they did not support the variance. </w:t>
      </w:r>
      <w:r w:rsidR="0016095E">
        <w:rPr>
          <w:rFonts w:ascii="Arial" w:hAnsi="Arial" w:cs="Arial"/>
          <w:sz w:val="20"/>
        </w:rPr>
        <w:t>Granting this variance would result in the addition of another driveway, resulting in three drives within a 275’ stretch – more than twice the density allowed by the Regulations, which is particu</w:t>
      </w:r>
      <w:r w:rsidR="006C2159">
        <w:rPr>
          <w:rFonts w:ascii="Arial" w:hAnsi="Arial" w:cs="Arial"/>
          <w:sz w:val="20"/>
        </w:rPr>
        <w:t xml:space="preserve">larly dangerous on Fayetteville Road. The Engineer’s Office noted that Prewitt’s have already applied for and received one variance at this location in May of 2016. This was a variance to </w:t>
      </w:r>
      <w:r w:rsidR="006C2159" w:rsidRPr="006C2159">
        <w:rPr>
          <w:rFonts w:ascii="Arial" w:hAnsi="Arial" w:cs="Arial"/>
          <w:sz w:val="20"/>
        </w:rPr>
        <w:t>§</w:t>
      </w:r>
      <w:r w:rsidR="006C2159">
        <w:rPr>
          <w:rFonts w:ascii="Arial" w:hAnsi="Arial" w:cs="Arial"/>
          <w:sz w:val="20"/>
        </w:rPr>
        <w:t xml:space="preserve"> 6.13 of the Regulations (300’ between drives and/ or intersections.) While the Regulations require 300’ between drives, the 2016 variance resulted in two drives within 100’ of each other. </w:t>
      </w:r>
    </w:p>
    <w:p w14:paraId="173B680E" w14:textId="77777777" w:rsidR="00045C7B" w:rsidRDefault="00045C7B" w:rsidP="00377694">
      <w:pPr>
        <w:rPr>
          <w:rFonts w:ascii="Arial" w:hAnsi="Arial" w:cs="Arial"/>
          <w:sz w:val="20"/>
        </w:rPr>
      </w:pPr>
    </w:p>
    <w:p w14:paraId="564226F0" w14:textId="26950883" w:rsidR="00045C7B" w:rsidRDefault="00045C7B" w:rsidP="00377694">
      <w:pPr>
        <w:rPr>
          <w:rFonts w:ascii="Arial" w:hAnsi="Arial" w:cs="Arial"/>
          <w:sz w:val="20"/>
        </w:rPr>
      </w:pPr>
      <w:r w:rsidRPr="00045C7B">
        <w:rPr>
          <w:rFonts w:ascii="Arial" w:hAnsi="Arial" w:cs="Arial"/>
          <w:sz w:val="20"/>
        </w:rPr>
        <w:t xml:space="preserve">Given the Engineer’s Office comments and the strong concern for public safety, the staff feels that the applicant cannot satisfy the Unnecessary Hardship Test per the ORC and recommends denial of the variance. Staff supports the Engineer’s Office recommendation of </w:t>
      </w:r>
      <w:r w:rsidR="0016095E">
        <w:rPr>
          <w:rFonts w:ascii="Arial" w:hAnsi="Arial" w:cs="Arial"/>
          <w:sz w:val="20"/>
        </w:rPr>
        <w:t xml:space="preserve">providing the access point (driveway) on Fairground Rd. </w:t>
      </w:r>
    </w:p>
    <w:p w14:paraId="4C364889" w14:textId="77777777" w:rsidR="00045C7B" w:rsidRDefault="00045C7B" w:rsidP="00377694">
      <w:pPr>
        <w:rPr>
          <w:rFonts w:ascii="Arial" w:hAnsi="Arial" w:cs="Arial"/>
          <w:b/>
          <w:bCs/>
          <w:sz w:val="20"/>
          <w:szCs w:val="20"/>
        </w:rPr>
      </w:pPr>
    </w:p>
    <w:p w14:paraId="27EBF15C" w14:textId="77777777" w:rsidR="00377694" w:rsidRDefault="00377694" w:rsidP="00377694">
      <w:pPr>
        <w:rPr>
          <w:rFonts w:ascii="Arial" w:hAnsi="Arial" w:cs="Arial"/>
          <w:b/>
          <w:bCs/>
          <w:sz w:val="20"/>
          <w:szCs w:val="20"/>
        </w:rPr>
      </w:pPr>
    </w:p>
    <w:p w14:paraId="3A6CD015" w14:textId="68FE1F55" w:rsidR="0018386E" w:rsidRDefault="0018386E" w:rsidP="00C00488">
      <w:pPr>
        <w:rPr>
          <w:rFonts w:ascii="Arial" w:hAnsi="Arial" w:cs="Arial"/>
          <w:sz w:val="20"/>
        </w:rPr>
      </w:pPr>
      <w:r w:rsidRPr="00A662CB">
        <w:rPr>
          <w:rFonts w:ascii="Arial" w:hAnsi="Arial" w:cs="Arial"/>
          <w:sz w:val="20"/>
        </w:rPr>
        <w:lastRenderedPageBreak/>
        <w:t xml:space="preserve">A motion to </w:t>
      </w:r>
      <w:r w:rsidR="002C3AAF" w:rsidRPr="00A662CB">
        <w:rPr>
          <w:rFonts w:ascii="Arial" w:hAnsi="Arial" w:cs="Arial"/>
          <w:sz w:val="20"/>
        </w:rPr>
        <w:t xml:space="preserve">table this access management variance and </w:t>
      </w:r>
      <w:r w:rsidR="00A662CB" w:rsidRPr="00A662CB">
        <w:rPr>
          <w:rFonts w:ascii="Arial" w:hAnsi="Arial" w:cs="Arial"/>
          <w:sz w:val="20"/>
        </w:rPr>
        <w:t>send it</w:t>
      </w:r>
      <w:r w:rsidR="002C3AAF" w:rsidRPr="00A662CB">
        <w:rPr>
          <w:rFonts w:ascii="Arial" w:hAnsi="Arial" w:cs="Arial"/>
          <w:sz w:val="20"/>
        </w:rPr>
        <w:t xml:space="preserve"> back to the Engineer’s Office to evaluate and come back to the September meeting </w:t>
      </w:r>
      <w:r w:rsidRPr="00A662CB">
        <w:rPr>
          <w:rFonts w:ascii="Arial" w:hAnsi="Arial" w:cs="Arial"/>
          <w:sz w:val="20"/>
        </w:rPr>
        <w:t xml:space="preserve">was made by </w:t>
      </w:r>
      <w:r w:rsidR="002C3AAF" w:rsidRPr="00A662CB">
        <w:rPr>
          <w:rFonts w:ascii="Arial" w:hAnsi="Arial" w:cs="Arial"/>
          <w:sz w:val="20"/>
        </w:rPr>
        <w:t>Jim Fife</w:t>
      </w:r>
      <w:r w:rsidRPr="00A662CB">
        <w:rPr>
          <w:rFonts w:ascii="Arial" w:hAnsi="Arial" w:cs="Arial"/>
          <w:sz w:val="20"/>
        </w:rPr>
        <w:t xml:space="preserve">, seconded by </w:t>
      </w:r>
      <w:r w:rsidR="002C3AAF" w:rsidRPr="00A662CB">
        <w:rPr>
          <w:rFonts w:ascii="Arial" w:hAnsi="Arial" w:cs="Arial"/>
          <w:sz w:val="20"/>
        </w:rPr>
        <w:t>Damian Snyder</w:t>
      </w:r>
      <w:r w:rsidRPr="00A662CB">
        <w:rPr>
          <w:rFonts w:ascii="Arial" w:hAnsi="Arial" w:cs="Arial"/>
          <w:sz w:val="20"/>
        </w:rPr>
        <w:t xml:space="preserve">, and a roll call vote: </w:t>
      </w:r>
      <w:r w:rsidR="002C3AAF" w:rsidRPr="00A662CB">
        <w:rPr>
          <w:rFonts w:ascii="Arial" w:hAnsi="Arial" w:cs="Arial"/>
          <w:sz w:val="20"/>
        </w:rPr>
        <w:t>13</w:t>
      </w:r>
      <w:r w:rsidRPr="00A662CB">
        <w:rPr>
          <w:rFonts w:ascii="Arial" w:hAnsi="Arial" w:cs="Arial"/>
          <w:sz w:val="20"/>
        </w:rPr>
        <w:t xml:space="preserve"> yea, 0 nay</w:t>
      </w:r>
      <w:r w:rsidR="002C3AAF" w:rsidRPr="00A662CB">
        <w:rPr>
          <w:rFonts w:ascii="Arial" w:hAnsi="Arial" w:cs="Arial"/>
          <w:sz w:val="20"/>
        </w:rPr>
        <w:t>,</w:t>
      </w:r>
      <w:r w:rsidR="002C3AAF">
        <w:rPr>
          <w:rFonts w:ascii="Arial" w:hAnsi="Arial" w:cs="Arial"/>
          <w:sz w:val="20"/>
        </w:rPr>
        <w:t xml:space="preserve"> 0 abstention.</w:t>
      </w:r>
    </w:p>
    <w:p w14:paraId="6DCDB1C1" w14:textId="77777777" w:rsidR="00C00488" w:rsidRPr="00C00488" w:rsidRDefault="00C00488" w:rsidP="00C00488">
      <w:pPr>
        <w:rPr>
          <w:rFonts w:ascii="Arial" w:hAnsi="Arial" w:cs="Arial"/>
          <w:sz w:val="20"/>
          <w:szCs w:val="20"/>
        </w:rPr>
      </w:pPr>
    </w:p>
    <w:p w14:paraId="50EDC82D" w14:textId="77777777" w:rsidR="00C00488" w:rsidRPr="00C00488" w:rsidRDefault="00C00488" w:rsidP="00C00488">
      <w:pPr>
        <w:rPr>
          <w:rFonts w:ascii="Arial" w:hAnsi="Arial" w:cs="Arial"/>
          <w:sz w:val="20"/>
          <w:szCs w:val="20"/>
        </w:rPr>
      </w:pPr>
    </w:p>
    <w:p w14:paraId="52272C00" w14:textId="1A4248A3" w:rsidR="00C00488" w:rsidRPr="00C00488" w:rsidRDefault="00C00488" w:rsidP="00C00488">
      <w:pPr>
        <w:tabs>
          <w:tab w:val="left" w:pos="2060"/>
        </w:tabs>
        <w:rPr>
          <w:rFonts w:ascii="Arial" w:hAnsi="Arial" w:cs="Arial"/>
          <w:sz w:val="20"/>
          <w:szCs w:val="20"/>
        </w:rPr>
      </w:pPr>
    </w:p>
    <w:p w14:paraId="32DC3662" w14:textId="2CFF2184" w:rsidR="0018386E" w:rsidRDefault="0018386E" w:rsidP="001E765B">
      <w:pPr>
        <w:keepNext/>
        <w:outlineLvl w:val="0"/>
        <w:rPr>
          <w:rFonts w:ascii="Arial" w:hAnsi="Arial" w:cs="Arial"/>
          <w:sz w:val="20"/>
          <w:u w:val="single"/>
        </w:rPr>
      </w:pPr>
      <w:r w:rsidRPr="0018386E">
        <w:rPr>
          <w:rFonts w:ascii="Arial" w:hAnsi="Arial" w:cs="Arial"/>
          <w:sz w:val="20"/>
          <w:u w:val="single"/>
        </w:rPr>
        <w:t>Applicant #2023-</w:t>
      </w:r>
      <w:r w:rsidR="00A37434">
        <w:rPr>
          <w:rFonts w:ascii="Arial" w:hAnsi="Arial" w:cs="Arial"/>
          <w:sz w:val="20"/>
          <w:u w:val="single"/>
        </w:rPr>
        <w:t>32</w:t>
      </w:r>
      <w:r w:rsidRPr="0018386E">
        <w:rPr>
          <w:rFonts w:ascii="Arial" w:hAnsi="Arial" w:cs="Arial"/>
          <w:sz w:val="20"/>
          <w:u w:val="single"/>
        </w:rPr>
        <w:t>—</w:t>
      </w:r>
      <w:r w:rsidR="008134C0">
        <w:rPr>
          <w:rFonts w:ascii="Arial" w:hAnsi="Arial" w:cs="Arial"/>
          <w:sz w:val="20"/>
          <w:u w:val="single"/>
        </w:rPr>
        <w:t xml:space="preserve"> Final Plat </w:t>
      </w:r>
      <w:r w:rsidR="00A37434">
        <w:rPr>
          <w:rFonts w:ascii="Arial" w:hAnsi="Arial" w:cs="Arial"/>
          <w:sz w:val="20"/>
          <w:u w:val="single"/>
        </w:rPr>
        <w:t>Major Subdivision</w:t>
      </w:r>
      <w:r w:rsidRPr="0018386E">
        <w:rPr>
          <w:rFonts w:ascii="Arial" w:hAnsi="Arial" w:cs="Arial"/>
          <w:sz w:val="20"/>
          <w:u w:val="single"/>
        </w:rPr>
        <w:t>—</w:t>
      </w:r>
      <w:r w:rsidR="00A37434">
        <w:rPr>
          <w:rFonts w:ascii="Arial" w:hAnsi="Arial" w:cs="Arial"/>
          <w:sz w:val="20"/>
          <w:u w:val="single"/>
        </w:rPr>
        <w:t>G&amp;L Development, LLC</w:t>
      </w:r>
    </w:p>
    <w:p w14:paraId="57CCC62C" w14:textId="77777777" w:rsidR="00A662CB" w:rsidRDefault="00A662CB" w:rsidP="0018386E">
      <w:pPr>
        <w:keepNext/>
        <w:outlineLvl w:val="0"/>
        <w:rPr>
          <w:rFonts w:ascii="Arial" w:hAnsi="Arial" w:cs="Arial"/>
          <w:sz w:val="20"/>
          <w:highlight w:val="yellow"/>
        </w:rPr>
      </w:pPr>
    </w:p>
    <w:p w14:paraId="0313447B" w14:textId="77777777" w:rsidR="00C00488" w:rsidRPr="00C00488" w:rsidRDefault="00A662CB" w:rsidP="00C00488">
      <w:pPr>
        <w:keepNext/>
        <w:outlineLvl w:val="0"/>
        <w:rPr>
          <w:rFonts w:ascii="Arial" w:hAnsi="Arial" w:cs="Arial"/>
          <w:sz w:val="20"/>
        </w:rPr>
      </w:pPr>
      <w:r w:rsidRPr="00C00488">
        <w:rPr>
          <w:rFonts w:ascii="Arial" w:hAnsi="Arial" w:cs="Arial"/>
          <w:sz w:val="20"/>
        </w:rPr>
        <w:t>G + L Development LLC presented their request for approval of construction plans for Phase Two of the development at Todd’s Fork Estates, with the addition of 15 lots on June 21, 2022</w:t>
      </w:r>
      <w:r w:rsidR="00C00488" w:rsidRPr="00C00488">
        <w:rPr>
          <w:rFonts w:ascii="Arial" w:hAnsi="Arial" w:cs="Arial"/>
          <w:sz w:val="20"/>
        </w:rPr>
        <w:t>. This request followed previous CCPRC approval of Phase Two Preliminary Plans on June 15, 2021.</w:t>
      </w:r>
      <w:r w:rsidR="00C00488">
        <w:rPr>
          <w:rFonts w:ascii="Arial" w:hAnsi="Arial" w:cs="Arial"/>
          <w:sz w:val="20"/>
        </w:rPr>
        <w:t xml:space="preserve"> </w:t>
      </w:r>
      <w:r w:rsidR="00C00488" w:rsidRPr="00C00488">
        <w:rPr>
          <w:rFonts w:ascii="Arial" w:hAnsi="Arial" w:cs="Arial"/>
          <w:sz w:val="20"/>
        </w:rPr>
        <w:t>Staff had previously received comments from the</w:t>
      </w:r>
    </w:p>
    <w:p w14:paraId="1536CFDE" w14:textId="77777777" w:rsidR="00C00488" w:rsidRPr="00C00488" w:rsidRDefault="00C00488" w:rsidP="00C00488">
      <w:pPr>
        <w:keepNext/>
        <w:outlineLvl w:val="0"/>
        <w:rPr>
          <w:rFonts w:ascii="Arial" w:hAnsi="Arial" w:cs="Arial"/>
          <w:sz w:val="20"/>
        </w:rPr>
      </w:pPr>
      <w:r w:rsidRPr="00C00488">
        <w:rPr>
          <w:rFonts w:ascii="Arial" w:hAnsi="Arial" w:cs="Arial"/>
          <w:sz w:val="20"/>
        </w:rPr>
        <w:t xml:space="preserve">Clinton County Building and Zoning Department stating that the proposal </w:t>
      </w:r>
      <w:proofErr w:type="gramStart"/>
      <w:r w:rsidRPr="00C00488">
        <w:rPr>
          <w:rFonts w:ascii="Arial" w:hAnsi="Arial" w:cs="Arial"/>
          <w:sz w:val="20"/>
        </w:rPr>
        <w:t>is in compliance with</w:t>
      </w:r>
      <w:proofErr w:type="gramEnd"/>
      <w:r w:rsidRPr="00C00488">
        <w:rPr>
          <w:rFonts w:ascii="Arial" w:hAnsi="Arial" w:cs="Arial"/>
          <w:sz w:val="20"/>
        </w:rPr>
        <w:t xml:space="preserve"> the Clinton County</w:t>
      </w:r>
    </w:p>
    <w:p w14:paraId="72D13F6E" w14:textId="77777777" w:rsidR="00C00488" w:rsidRPr="00C00488" w:rsidRDefault="00C00488" w:rsidP="00C00488">
      <w:pPr>
        <w:keepNext/>
        <w:outlineLvl w:val="0"/>
        <w:rPr>
          <w:rFonts w:ascii="Arial" w:hAnsi="Arial" w:cs="Arial"/>
          <w:sz w:val="20"/>
        </w:rPr>
      </w:pPr>
      <w:r w:rsidRPr="00C00488">
        <w:rPr>
          <w:rFonts w:ascii="Arial" w:hAnsi="Arial" w:cs="Arial"/>
          <w:sz w:val="20"/>
        </w:rPr>
        <w:t xml:space="preserve">Zoning Resolution, but following further examination, it was determined that the developer-designated </w:t>
      </w:r>
      <w:proofErr w:type="gramStart"/>
      <w:r w:rsidRPr="00C00488">
        <w:rPr>
          <w:rFonts w:ascii="Arial" w:hAnsi="Arial" w:cs="Arial"/>
          <w:sz w:val="20"/>
        </w:rPr>
        <w:t>setbacks</w:t>
      </w:r>
      <w:proofErr w:type="gramEnd"/>
    </w:p>
    <w:p w14:paraId="607B5040" w14:textId="77777777" w:rsidR="00C00488" w:rsidRPr="00C00488" w:rsidRDefault="00C00488" w:rsidP="00C00488">
      <w:pPr>
        <w:keepNext/>
        <w:outlineLvl w:val="0"/>
        <w:rPr>
          <w:rFonts w:ascii="Arial" w:hAnsi="Arial" w:cs="Arial"/>
          <w:sz w:val="20"/>
        </w:rPr>
      </w:pPr>
      <w:r w:rsidRPr="00C00488">
        <w:rPr>
          <w:rFonts w:ascii="Arial" w:hAnsi="Arial" w:cs="Arial"/>
          <w:sz w:val="20"/>
        </w:rPr>
        <w:t>for lot numbers 42, 46, and 47 do not meet Clinton County Zoning Resolution requirements. The Clinton County</w:t>
      </w:r>
    </w:p>
    <w:p w14:paraId="75C299AA" w14:textId="77777777" w:rsidR="00C00488" w:rsidRPr="00C00488" w:rsidRDefault="00C00488" w:rsidP="00C00488">
      <w:pPr>
        <w:keepNext/>
        <w:outlineLvl w:val="0"/>
        <w:rPr>
          <w:rFonts w:ascii="Arial" w:hAnsi="Arial" w:cs="Arial"/>
          <w:sz w:val="20"/>
        </w:rPr>
      </w:pPr>
      <w:r w:rsidRPr="00C00488">
        <w:rPr>
          <w:rFonts w:ascii="Arial" w:hAnsi="Arial" w:cs="Arial"/>
          <w:sz w:val="20"/>
        </w:rPr>
        <w:t>Zoning Resolution permits the minimum lot width measurement to be met at the building setback, which for the</w:t>
      </w:r>
    </w:p>
    <w:p w14:paraId="458DF69C" w14:textId="77777777" w:rsidR="00C00488" w:rsidRPr="00C00488" w:rsidRDefault="00C00488" w:rsidP="00C00488">
      <w:pPr>
        <w:keepNext/>
        <w:outlineLvl w:val="0"/>
        <w:rPr>
          <w:rFonts w:ascii="Arial" w:hAnsi="Arial" w:cs="Arial"/>
          <w:sz w:val="20"/>
        </w:rPr>
      </w:pPr>
      <w:r w:rsidRPr="00C00488">
        <w:rPr>
          <w:rFonts w:ascii="Arial" w:hAnsi="Arial" w:cs="Arial"/>
          <w:sz w:val="20"/>
        </w:rPr>
        <w:t xml:space="preserve">R-R district is seventy (70) feet - see CCZR § 3.19(C)(2) and (3). The building setback line is defined in CCZR § </w:t>
      </w:r>
      <w:proofErr w:type="gramStart"/>
      <w:r w:rsidRPr="00C00488">
        <w:rPr>
          <w:rFonts w:ascii="Arial" w:hAnsi="Arial" w:cs="Arial"/>
          <w:sz w:val="20"/>
        </w:rPr>
        <w:t>11.03</w:t>
      </w:r>
      <w:proofErr w:type="gramEnd"/>
    </w:p>
    <w:p w14:paraId="723A8F38" w14:textId="77777777" w:rsidR="00C00488" w:rsidRPr="00C00488" w:rsidRDefault="00C00488" w:rsidP="00C00488">
      <w:pPr>
        <w:keepNext/>
        <w:outlineLvl w:val="0"/>
        <w:rPr>
          <w:rFonts w:ascii="Arial" w:hAnsi="Arial" w:cs="Arial"/>
          <w:sz w:val="20"/>
        </w:rPr>
      </w:pPr>
      <w:r w:rsidRPr="00C00488">
        <w:rPr>
          <w:rFonts w:ascii="Arial" w:hAnsi="Arial" w:cs="Arial"/>
          <w:sz w:val="20"/>
        </w:rPr>
        <w:t xml:space="preserve">as “The line established by the minimum required setbacks forming the area within a lot in which a building </w:t>
      </w:r>
      <w:proofErr w:type="gramStart"/>
      <w:r w:rsidRPr="00C00488">
        <w:rPr>
          <w:rFonts w:ascii="Arial" w:hAnsi="Arial" w:cs="Arial"/>
          <w:sz w:val="20"/>
        </w:rPr>
        <w:t>may</w:t>
      </w:r>
      <w:proofErr w:type="gramEnd"/>
    </w:p>
    <w:p w14:paraId="4B953B4C" w14:textId="77777777" w:rsidR="00C00488" w:rsidRPr="00C00488" w:rsidRDefault="00C00488" w:rsidP="00C00488">
      <w:pPr>
        <w:keepNext/>
        <w:outlineLvl w:val="0"/>
        <w:rPr>
          <w:rFonts w:ascii="Arial" w:hAnsi="Arial" w:cs="Arial"/>
          <w:sz w:val="20"/>
        </w:rPr>
      </w:pPr>
      <w:r w:rsidRPr="00C00488">
        <w:rPr>
          <w:rFonts w:ascii="Arial" w:hAnsi="Arial" w:cs="Arial"/>
          <w:sz w:val="20"/>
        </w:rPr>
        <w:t>be located, unless otherwise provided for by this Resolution.” As stated previously, the “minimum required</w:t>
      </w:r>
    </w:p>
    <w:p w14:paraId="3710B870" w14:textId="153C2700" w:rsidR="00C00488" w:rsidRPr="00C00488" w:rsidRDefault="00C00488" w:rsidP="00C00488">
      <w:pPr>
        <w:keepNext/>
        <w:outlineLvl w:val="0"/>
        <w:rPr>
          <w:rFonts w:ascii="Arial" w:hAnsi="Arial" w:cs="Arial"/>
          <w:sz w:val="20"/>
        </w:rPr>
      </w:pPr>
      <w:r w:rsidRPr="00C00488">
        <w:rPr>
          <w:rFonts w:ascii="Arial" w:hAnsi="Arial" w:cs="Arial"/>
          <w:sz w:val="20"/>
        </w:rPr>
        <w:t xml:space="preserve">setbacks” for the R-R District is seventy (70) feet. These lots are also on a </w:t>
      </w:r>
      <w:proofErr w:type="spellStart"/>
      <w:r w:rsidRPr="00C00488">
        <w:rPr>
          <w:rFonts w:ascii="Arial" w:hAnsi="Arial" w:cs="Arial"/>
          <w:sz w:val="20"/>
        </w:rPr>
        <w:t>cul</w:t>
      </w:r>
      <w:proofErr w:type="spellEnd"/>
      <w:r w:rsidRPr="00C00488">
        <w:rPr>
          <w:rFonts w:ascii="Arial" w:hAnsi="Arial" w:cs="Arial"/>
          <w:sz w:val="20"/>
        </w:rPr>
        <w:t xml:space="preserve"> de sac or curved portion of the right of-</w:t>
      </w:r>
    </w:p>
    <w:p w14:paraId="178074C3" w14:textId="77777777" w:rsidR="00C00488" w:rsidRPr="00C00488" w:rsidRDefault="00C00488" w:rsidP="00C00488">
      <w:pPr>
        <w:keepNext/>
        <w:outlineLvl w:val="0"/>
        <w:rPr>
          <w:rFonts w:ascii="Arial" w:hAnsi="Arial" w:cs="Arial"/>
          <w:sz w:val="20"/>
        </w:rPr>
      </w:pPr>
      <w:r w:rsidRPr="00C00488">
        <w:rPr>
          <w:rFonts w:ascii="Arial" w:hAnsi="Arial" w:cs="Arial"/>
          <w:sz w:val="20"/>
        </w:rPr>
        <w:t xml:space="preserve">way, which means they are affected by CCZR § 3.27(F) which states, “In all districts, minimum lot widths </w:t>
      </w:r>
      <w:proofErr w:type="gramStart"/>
      <w:r w:rsidRPr="00C00488">
        <w:rPr>
          <w:rFonts w:ascii="Arial" w:hAnsi="Arial" w:cs="Arial"/>
          <w:sz w:val="20"/>
        </w:rPr>
        <w:t>are</w:t>
      </w:r>
      <w:proofErr w:type="gramEnd"/>
    </w:p>
    <w:p w14:paraId="360C08AD" w14:textId="77777777" w:rsidR="00C00488" w:rsidRPr="00C00488" w:rsidRDefault="00C00488" w:rsidP="00C00488">
      <w:pPr>
        <w:keepNext/>
        <w:outlineLvl w:val="0"/>
        <w:rPr>
          <w:rFonts w:ascii="Arial" w:hAnsi="Arial" w:cs="Arial"/>
          <w:sz w:val="20"/>
        </w:rPr>
      </w:pPr>
      <w:r w:rsidRPr="00C00488">
        <w:rPr>
          <w:rFonts w:ascii="Arial" w:hAnsi="Arial" w:cs="Arial"/>
          <w:sz w:val="20"/>
        </w:rPr>
        <w:t xml:space="preserve">required along the street right-of-way upon which the lot fronts. </w:t>
      </w:r>
      <w:proofErr w:type="gramStart"/>
      <w:r w:rsidRPr="00C00488">
        <w:rPr>
          <w:rFonts w:ascii="Arial" w:hAnsi="Arial" w:cs="Arial"/>
          <w:sz w:val="20"/>
        </w:rPr>
        <w:t>Where</w:t>
      </w:r>
      <w:proofErr w:type="gramEnd"/>
      <w:r w:rsidRPr="00C00488">
        <w:rPr>
          <w:rFonts w:ascii="Arial" w:hAnsi="Arial" w:cs="Arial"/>
          <w:sz w:val="20"/>
        </w:rPr>
        <w:t xml:space="preserve"> curvilinear street patterns or cul-de-sacs</w:t>
      </w:r>
    </w:p>
    <w:p w14:paraId="06B5924B" w14:textId="07FFD977" w:rsidR="00C00488" w:rsidRPr="00C00488" w:rsidRDefault="00C00488" w:rsidP="00C00488">
      <w:pPr>
        <w:keepNext/>
        <w:outlineLvl w:val="0"/>
        <w:rPr>
          <w:rFonts w:ascii="Arial" w:hAnsi="Arial" w:cs="Arial"/>
          <w:sz w:val="20"/>
        </w:rPr>
      </w:pPr>
      <w:r w:rsidRPr="00C00488">
        <w:rPr>
          <w:rFonts w:ascii="Arial" w:hAnsi="Arial" w:cs="Arial"/>
          <w:sz w:val="20"/>
        </w:rPr>
        <w:t>result in irregularly shaped lots with non-parallel side lot lines the minimum lot width must be met at the building.</w:t>
      </w:r>
    </w:p>
    <w:p w14:paraId="5C30A74A" w14:textId="5FEC63DE" w:rsidR="0018386E" w:rsidRDefault="00C00488" w:rsidP="00C00488">
      <w:pPr>
        <w:keepNext/>
        <w:outlineLvl w:val="0"/>
        <w:rPr>
          <w:rFonts w:ascii="Arial" w:hAnsi="Arial" w:cs="Arial"/>
          <w:sz w:val="20"/>
        </w:rPr>
      </w:pPr>
      <w:r w:rsidRPr="00C00488">
        <w:rPr>
          <w:rFonts w:ascii="Arial" w:hAnsi="Arial" w:cs="Arial"/>
          <w:sz w:val="20"/>
        </w:rPr>
        <w:t>setback line as measured along the lines and arcs of the setback line”.</w:t>
      </w:r>
      <w:r w:rsidRPr="00C00488">
        <w:t xml:space="preserve"> </w:t>
      </w:r>
      <w:r w:rsidRPr="00C00488">
        <w:rPr>
          <w:rFonts w:ascii="Arial" w:hAnsi="Arial" w:cs="Arial"/>
          <w:sz w:val="20"/>
        </w:rPr>
        <w:t>To allow for the developer-designated setback, variances to CCZR § 3.19(C) and 3.27(F) must first be approved by the Commission prior to Final Plat approval. Comments were requested for this variance. The Clinton County Prosecuting Attorney supports the approval of the variances, as it would adequately address the matter of determining the lot widths in question without causing any undue delay or costs to the applicant while also upholding the standards set forth in the Clinton County Zoning Resolution. Likewise, they recommend approval of the final plat subject to the conditions as noted by other county agencies.</w:t>
      </w:r>
    </w:p>
    <w:p w14:paraId="0E66475D" w14:textId="77777777" w:rsidR="00C00488" w:rsidRDefault="00C00488" w:rsidP="00C00488">
      <w:pPr>
        <w:keepNext/>
        <w:outlineLvl w:val="0"/>
        <w:rPr>
          <w:rFonts w:ascii="Arial" w:hAnsi="Arial" w:cs="Arial"/>
          <w:sz w:val="20"/>
        </w:rPr>
      </w:pPr>
    </w:p>
    <w:p w14:paraId="43341654" w14:textId="1F3C2163" w:rsidR="00C00488" w:rsidRDefault="00C00488" w:rsidP="00C00488">
      <w:pPr>
        <w:keepNext/>
        <w:outlineLvl w:val="0"/>
        <w:rPr>
          <w:rFonts w:ascii="Arial" w:hAnsi="Arial" w:cs="Arial"/>
          <w:sz w:val="20"/>
        </w:rPr>
      </w:pPr>
      <w:r>
        <w:rPr>
          <w:rFonts w:ascii="Arial" w:hAnsi="Arial" w:cs="Arial"/>
          <w:sz w:val="20"/>
        </w:rPr>
        <w:t xml:space="preserve">Andrew DeMarsh read the staff report. Staff received comments from the Clinton County Engineer’s Office stating that there is still some minor labelling, detailing, and easement details on the proposed plat that are incorrect, </w:t>
      </w:r>
      <w:proofErr w:type="gramStart"/>
      <w:r>
        <w:rPr>
          <w:rFonts w:ascii="Arial" w:hAnsi="Arial" w:cs="Arial"/>
          <w:sz w:val="20"/>
        </w:rPr>
        <w:t>missing</w:t>
      </w:r>
      <w:proofErr w:type="gramEnd"/>
      <w:r>
        <w:rPr>
          <w:rFonts w:ascii="Arial" w:hAnsi="Arial" w:cs="Arial"/>
          <w:sz w:val="20"/>
        </w:rPr>
        <w:t xml:space="preserve"> or unclear and that they would continue to work with the Surveyor to ensure that the information is shown correctly on the plat. The Map Office will also be providing detailed comments directly to the Surveyor due to several locations on the </w:t>
      </w:r>
      <w:proofErr w:type="gramStart"/>
      <w:r>
        <w:rPr>
          <w:rFonts w:ascii="Arial" w:hAnsi="Arial" w:cs="Arial"/>
          <w:sz w:val="20"/>
        </w:rPr>
        <w:t>plat</w:t>
      </w:r>
      <w:proofErr w:type="gramEnd"/>
      <w:r>
        <w:rPr>
          <w:rFonts w:ascii="Arial" w:hAnsi="Arial" w:cs="Arial"/>
          <w:sz w:val="20"/>
        </w:rPr>
        <w:t xml:space="preserve"> requiring proposed monumentation that is not yet shown</w:t>
      </w:r>
      <w:r w:rsidR="0063739C">
        <w:rPr>
          <w:rFonts w:ascii="Arial" w:hAnsi="Arial" w:cs="Arial"/>
          <w:sz w:val="20"/>
        </w:rPr>
        <w:t>. The Developer will also be required to provide the Board of County Commissioners with an Irrevocable Letter of Credit to guarantee the completion of the improvements prior to our signing of the plat and pay all fees associated with the Engineer’s Office review and inspection of the development.</w:t>
      </w:r>
    </w:p>
    <w:p w14:paraId="3027E39A" w14:textId="77777777" w:rsidR="00C00488" w:rsidRPr="00A662CB" w:rsidRDefault="00C00488" w:rsidP="00C00488">
      <w:pPr>
        <w:keepNext/>
        <w:outlineLvl w:val="0"/>
        <w:rPr>
          <w:rFonts w:ascii="Arial" w:hAnsi="Arial" w:cs="Arial"/>
          <w:sz w:val="20"/>
        </w:rPr>
      </w:pPr>
    </w:p>
    <w:p w14:paraId="5672B0BB" w14:textId="3171BF72" w:rsidR="0063739C" w:rsidRDefault="0063739C" w:rsidP="0063739C">
      <w:pPr>
        <w:rPr>
          <w:rFonts w:ascii="Arial" w:hAnsi="Arial" w:cs="Arial"/>
          <w:sz w:val="20"/>
        </w:rPr>
      </w:pPr>
      <w:r w:rsidRPr="0063739C">
        <w:rPr>
          <w:rFonts w:ascii="Arial" w:hAnsi="Arial" w:cs="Arial"/>
          <w:sz w:val="20"/>
        </w:rPr>
        <w:t>Given the</w:t>
      </w:r>
      <w:r>
        <w:rPr>
          <w:rFonts w:ascii="Arial" w:hAnsi="Arial" w:cs="Arial"/>
          <w:sz w:val="20"/>
        </w:rPr>
        <w:t xml:space="preserve"> review of the application, plans, and agency comments, the staff recommends that the Commission approve the Final Plat of the Major Subdivision contingent on the approval of the variances to </w:t>
      </w:r>
      <w:r w:rsidRPr="0063739C">
        <w:rPr>
          <w:rFonts w:ascii="Arial" w:hAnsi="Arial" w:cs="Arial"/>
          <w:sz w:val="20"/>
        </w:rPr>
        <w:t>§ 3.19(C) and 3.27(F)</w:t>
      </w:r>
      <w:r>
        <w:rPr>
          <w:rFonts w:ascii="Arial" w:hAnsi="Arial" w:cs="Arial"/>
          <w:sz w:val="20"/>
        </w:rPr>
        <w:t xml:space="preserve"> of the Clinton County Zoning Regulation and the satisfaction of the comments from the Clinton County Engineer’s Office. </w:t>
      </w:r>
    </w:p>
    <w:p w14:paraId="117A26B3" w14:textId="77777777" w:rsidR="00BA0252" w:rsidRDefault="00BA0252" w:rsidP="0018386E">
      <w:pPr>
        <w:keepNext/>
        <w:outlineLvl w:val="0"/>
        <w:rPr>
          <w:rFonts w:ascii="Arial" w:hAnsi="Arial" w:cs="Arial"/>
          <w:sz w:val="20"/>
        </w:rPr>
      </w:pPr>
    </w:p>
    <w:p w14:paraId="56237A65" w14:textId="4AA405AA" w:rsidR="0018386E" w:rsidRDefault="0018386E" w:rsidP="0018386E">
      <w:pPr>
        <w:keepNext/>
        <w:outlineLvl w:val="0"/>
        <w:rPr>
          <w:rFonts w:ascii="Arial" w:hAnsi="Arial" w:cs="Arial"/>
          <w:sz w:val="20"/>
        </w:rPr>
      </w:pPr>
      <w:r w:rsidRPr="00A662CB">
        <w:rPr>
          <w:rFonts w:ascii="Arial" w:hAnsi="Arial" w:cs="Arial"/>
          <w:sz w:val="20"/>
        </w:rPr>
        <w:t xml:space="preserve">A motion </w:t>
      </w:r>
      <w:r w:rsidR="00A662CB">
        <w:rPr>
          <w:rFonts w:ascii="Arial" w:hAnsi="Arial" w:cs="Arial"/>
          <w:sz w:val="20"/>
        </w:rPr>
        <w:t xml:space="preserve">to </w:t>
      </w:r>
      <w:r w:rsidR="00A662CB" w:rsidRPr="00A662CB">
        <w:rPr>
          <w:rFonts w:ascii="Arial" w:hAnsi="Arial" w:cs="Arial"/>
          <w:sz w:val="20"/>
        </w:rPr>
        <w:t xml:space="preserve">approve the variance as written by the </w:t>
      </w:r>
      <w:r w:rsidR="00A662CB">
        <w:rPr>
          <w:rFonts w:ascii="Arial" w:hAnsi="Arial" w:cs="Arial"/>
          <w:sz w:val="20"/>
        </w:rPr>
        <w:t>P</w:t>
      </w:r>
      <w:r w:rsidR="00A662CB" w:rsidRPr="00A662CB">
        <w:rPr>
          <w:rFonts w:ascii="Arial" w:hAnsi="Arial" w:cs="Arial"/>
          <w:sz w:val="20"/>
        </w:rPr>
        <w:t xml:space="preserve">rosecutor’s </w:t>
      </w:r>
      <w:r w:rsidR="00A662CB">
        <w:rPr>
          <w:rFonts w:ascii="Arial" w:hAnsi="Arial" w:cs="Arial"/>
          <w:sz w:val="20"/>
        </w:rPr>
        <w:t>O</w:t>
      </w:r>
      <w:r w:rsidR="00A662CB" w:rsidRPr="00A662CB">
        <w:rPr>
          <w:rFonts w:ascii="Arial" w:hAnsi="Arial" w:cs="Arial"/>
          <w:sz w:val="20"/>
        </w:rPr>
        <w:t>ffice</w:t>
      </w:r>
      <w:r w:rsidRPr="00A662CB">
        <w:rPr>
          <w:rFonts w:ascii="Arial" w:hAnsi="Arial" w:cs="Arial"/>
          <w:sz w:val="20"/>
        </w:rPr>
        <w:t xml:space="preserve"> was made by </w:t>
      </w:r>
      <w:r w:rsidR="00A662CB" w:rsidRPr="00A662CB">
        <w:rPr>
          <w:rFonts w:ascii="Arial" w:hAnsi="Arial" w:cs="Arial"/>
          <w:sz w:val="20"/>
        </w:rPr>
        <w:t>Jim Fife</w:t>
      </w:r>
      <w:r w:rsidRPr="00A662CB">
        <w:rPr>
          <w:rFonts w:ascii="Arial" w:hAnsi="Arial" w:cs="Arial"/>
          <w:sz w:val="20"/>
        </w:rPr>
        <w:t xml:space="preserve">, seconded by </w:t>
      </w:r>
      <w:r w:rsidR="00A662CB" w:rsidRPr="00A662CB">
        <w:rPr>
          <w:rFonts w:ascii="Arial" w:hAnsi="Arial" w:cs="Arial"/>
          <w:sz w:val="20"/>
        </w:rPr>
        <w:t>Benjamin Collings</w:t>
      </w:r>
      <w:r w:rsidRPr="00A662CB">
        <w:rPr>
          <w:rFonts w:ascii="Arial" w:hAnsi="Arial" w:cs="Arial"/>
          <w:sz w:val="20"/>
        </w:rPr>
        <w:t xml:space="preserve">, and a roll call vote: </w:t>
      </w:r>
      <w:r w:rsidR="00A662CB">
        <w:rPr>
          <w:rFonts w:ascii="Arial" w:hAnsi="Arial" w:cs="Arial"/>
          <w:sz w:val="20"/>
        </w:rPr>
        <w:t>11</w:t>
      </w:r>
      <w:r w:rsidRPr="00A662CB">
        <w:rPr>
          <w:rFonts w:ascii="Arial" w:hAnsi="Arial" w:cs="Arial"/>
          <w:sz w:val="20"/>
        </w:rPr>
        <w:t xml:space="preserve"> yea, </w:t>
      </w:r>
      <w:r w:rsidR="00A662CB">
        <w:rPr>
          <w:rFonts w:ascii="Arial" w:hAnsi="Arial" w:cs="Arial"/>
          <w:sz w:val="20"/>
        </w:rPr>
        <w:t>1</w:t>
      </w:r>
      <w:r w:rsidRPr="00A662CB">
        <w:rPr>
          <w:rFonts w:ascii="Arial" w:hAnsi="Arial" w:cs="Arial"/>
          <w:sz w:val="20"/>
        </w:rPr>
        <w:t xml:space="preserve"> nay, </w:t>
      </w:r>
      <w:r w:rsidR="00A662CB">
        <w:rPr>
          <w:rFonts w:ascii="Arial" w:hAnsi="Arial" w:cs="Arial"/>
          <w:sz w:val="20"/>
        </w:rPr>
        <w:t>1</w:t>
      </w:r>
      <w:r w:rsidRPr="00A662CB">
        <w:rPr>
          <w:rFonts w:ascii="Arial" w:hAnsi="Arial" w:cs="Arial"/>
          <w:sz w:val="20"/>
        </w:rPr>
        <w:t xml:space="preserve"> abstention.</w:t>
      </w:r>
    </w:p>
    <w:p w14:paraId="300AE66C" w14:textId="77777777" w:rsidR="00A662CB" w:rsidRDefault="00A662CB" w:rsidP="0018386E">
      <w:pPr>
        <w:keepNext/>
        <w:outlineLvl w:val="0"/>
        <w:rPr>
          <w:rFonts w:ascii="Arial" w:hAnsi="Arial" w:cs="Arial"/>
          <w:sz w:val="20"/>
        </w:rPr>
      </w:pPr>
    </w:p>
    <w:p w14:paraId="220C688D" w14:textId="0B451A34" w:rsidR="00A662CB" w:rsidRPr="0018386E" w:rsidRDefault="00A662CB" w:rsidP="0018386E">
      <w:pPr>
        <w:keepNext/>
        <w:outlineLvl w:val="0"/>
        <w:rPr>
          <w:rFonts w:ascii="Arial" w:hAnsi="Arial" w:cs="Arial"/>
          <w:sz w:val="20"/>
        </w:rPr>
      </w:pPr>
      <w:r>
        <w:rPr>
          <w:rFonts w:ascii="Arial" w:hAnsi="Arial" w:cs="Arial"/>
          <w:sz w:val="20"/>
        </w:rPr>
        <w:t xml:space="preserve">A motion to approve final plat contingent upon corrections being made on the plat was made by Jim Fife, seconded by Ryan Bowman, and a roll call vote: </w:t>
      </w:r>
      <w:r w:rsidRPr="00A662CB">
        <w:rPr>
          <w:rFonts w:ascii="Arial" w:hAnsi="Arial" w:cs="Arial"/>
          <w:sz w:val="20"/>
        </w:rPr>
        <w:t>11 yea, 1 nay, 1 abstention.</w:t>
      </w:r>
    </w:p>
    <w:p w14:paraId="78945B8D" w14:textId="77777777" w:rsidR="0018386E" w:rsidRDefault="0018386E" w:rsidP="001E765B">
      <w:pPr>
        <w:keepNext/>
        <w:outlineLvl w:val="0"/>
        <w:rPr>
          <w:rFonts w:ascii="Arial" w:hAnsi="Arial" w:cs="Arial"/>
          <w:b/>
          <w:bCs/>
          <w:sz w:val="20"/>
        </w:rPr>
      </w:pPr>
    </w:p>
    <w:p w14:paraId="5A031CCE" w14:textId="43EC4DB3" w:rsidR="0018386E" w:rsidRDefault="0018386E" w:rsidP="001E765B">
      <w:pPr>
        <w:keepNext/>
        <w:outlineLvl w:val="0"/>
        <w:rPr>
          <w:rFonts w:ascii="Arial" w:hAnsi="Arial" w:cs="Arial"/>
          <w:sz w:val="20"/>
          <w:u w:val="single"/>
        </w:rPr>
      </w:pPr>
      <w:r w:rsidRPr="0018386E">
        <w:rPr>
          <w:rFonts w:ascii="Arial" w:hAnsi="Arial" w:cs="Arial"/>
          <w:sz w:val="20"/>
          <w:u w:val="single"/>
        </w:rPr>
        <w:t>Applicant #2023-</w:t>
      </w:r>
      <w:r w:rsidR="00A37434">
        <w:rPr>
          <w:rFonts w:ascii="Arial" w:hAnsi="Arial" w:cs="Arial"/>
          <w:sz w:val="20"/>
          <w:u w:val="single"/>
        </w:rPr>
        <w:t>33</w:t>
      </w:r>
      <w:r w:rsidRPr="0018386E">
        <w:rPr>
          <w:rFonts w:ascii="Arial" w:hAnsi="Arial" w:cs="Arial"/>
          <w:sz w:val="20"/>
          <w:u w:val="single"/>
        </w:rPr>
        <w:t>—</w:t>
      </w:r>
      <w:r w:rsidR="00A37434">
        <w:rPr>
          <w:rFonts w:ascii="Arial" w:hAnsi="Arial" w:cs="Arial"/>
          <w:sz w:val="20"/>
          <w:u w:val="single"/>
        </w:rPr>
        <w:t>Site Plan Review</w:t>
      </w:r>
      <w:r w:rsidRPr="0018386E">
        <w:rPr>
          <w:rFonts w:ascii="Arial" w:hAnsi="Arial" w:cs="Arial"/>
          <w:sz w:val="20"/>
          <w:u w:val="single"/>
        </w:rPr>
        <w:t>—</w:t>
      </w:r>
      <w:r w:rsidR="00A37434">
        <w:rPr>
          <w:rFonts w:ascii="Arial" w:hAnsi="Arial" w:cs="Arial"/>
          <w:sz w:val="20"/>
          <w:u w:val="single"/>
        </w:rPr>
        <w:t>Keith Pruett</w:t>
      </w:r>
    </w:p>
    <w:p w14:paraId="04CFCDD7" w14:textId="77777777" w:rsidR="00BA0252" w:rsidRDefault="00BA0252" w:rsidP="001144BE">
      <w:pPr>
        <w:keepNext/>
        <w:outlineLvl w:val="0"/>
        <w:rPr>
          <w:rFonts w:ascii="Arial" w:hAnsi="Arial" w:cs="Arial"/>
          <w:sz w:val="20"/>
          <w:highlight w:val="yellow"/>
        </w:rPr>
      </w:pPr>
    </w:p>
    <w:p w14:paraId="47638133" w14:textId="043A5BE4" w:rsidR="00BA0252" w:rsidRDefault="00BA0252" w:rsidP="00BA0252">
      <w:pPr>
        <w:keepNext/>
        <w:outlineLvl w:val="0"/>
        <w:rPr>
          <w:rFonts w:ascii="Arial" w:hAnsi="Arial" w:cs="Arial"/>
          <w:sz w:val="20"/>
        </w:rPr>
      </w:pPr>
      <w:r w:rsidRPr="00BA0252">
        <w:rPr>
          <w:rFonts w:ascii="Arial" w:hAnsi="Arial" w:cs="Arial"/>
          <w:sz w:val="20"/>
        </w:rPr>
        <w:t>R+L Carriers</w:t>
      </w:r>
      <w:r w:rsidR="0018386E" w:rsidRPr="00BA0252">
        <w:rPr>
          <w:rFonts w:ascii="Arial" w:hAnsi="Arial" w:cs="Arial"/>
          <w:sz w:val="20"/>
        </w:rPr>
        <w:t xml:space="preserve"> presented a </w:t>
      </w:r>
      <w:bookmarkStart w:id="5" w:name="_Hlk135660299"/>
      <w:r>
        <w:rPr>
          <w:rFonts w:ascii="Arial" w:hAnsi="Arial" w:cs="Arial"/>
          <w:sz w:val="20"/>
        </w:rPr>
        <w:t xml:space="preserve">Site Plan Review proposing the addition of a new 17,650 square foot building to house a Disaster Recovery Data Center at the R+L Corporate Campus and Terminal. </w:t>
      </w:r>
      <w:r w:rsidRPr="00BA0252">
        <w:rPr>
          <w:rFonts w:ascii="Arial" w:hAnsi="Arial" w:cs="Arial"/>
          <w:sz w:val="20"/>
        </w:rPr>
        <w:t>The provided building elevations indicate that the building's design will align with the appearance of the current office buildings present on the site.</w:t>
      </w:r>
    </w:p>
    <w:p w14:paraId="39FCF310" w14:textId="77777777" w:rsidR="00BA0252" w:rsidRDefault="00BA0252" w:rsidP="00BA0252">
      <w:pPr>
        <w:keepNext/>
        <w:outlineLvl w:val="0"/>
        <w:rPr>
          <w:rFonts w:ascii="Arial" w:hAnsi="Arial" w:cs="Arial"/>
          <w:sz w:val="20"/>
        </w:rPr>
      </w:pPr>
    </w:p>
    <w:p w14:paraId="3DAF618E" w14:textId="149158ED" w:rsidR="00BA0252" w:rsidRDefault="00BA0252" w:rsidP="00BA0252">
      <w:pPr>
        <w:keepNext/>
        <w:outlineLvl w:val="0"/>
        <w:rPr>
          <w:rFonts w:ascii="Arial" w:hAnsi="Arial" w:cs="Arial"/>
          <w:sz w:val="20"/>
        </w:rPr>
      </w:pPr>
      <w:r>
        <w:rPr>
          <w:rFonts w:ascii="Arial" w:hAnsi="Arial" w:cs="Arial"/>
          <w:sz w:val="20"/>
        </w:rPr>
        <w:t xml:space="preserve">Andrew DeMarsh read the staff report. Staff received comments from the Clinton County Engineer’s Office stating that the plans demonstrate compliance with the Clinton County Water Management and Sediment Control Regulations. </w:t>
      </w:r>
    </w:p>
    <w:p w14:paraId="46DD8869" w14:textId="77777777" w:rsidR="00BA0252" w:rsidRDefault="00BA0252" w:rsidP="00BA0252">
      <w:pPr>
        <w:keepNext/>
        <w:outlineLvl w:val="0"/>
        <w:rPr>
          <w:rFonts w:ascii="Arial" w:hAnsi="Arial" w:cs="Arial"/>
          <w:sz w:val="20"/>
        </w:rPr>
      </w:pPr>
    </w:p>
    <w:p w14:paraId="2F7A131C" w14:textId="3242B990" w:rsidR="00BA0252" w:rsidRPr="00A37434" w:rsidRDefault="00BA0252" w:rsidP="00BA0252">
      <w:pPr>
        <w:keepNext/>
        <w:outlineLvl w:val="0"/>
        <w:rPr>
          <w:rFonts w:ascii="Arial" w:hAnsi="Arial" w:cs="Arial"/>
          <w:sz w:val="20"/>
        </w:rPr>
      </w:pPr>
      <w:r>
        <w:rPr>
          <w:rFonts w:ascii="Arial" w:hAnsi="Arial" w:cs="Arial"/>
          <w:sz w:val="20"/>
        </w:rPr>
        <w:t xml:space="preserve">The staff of the Commission recommends the Site Plan be approved as proposed. </w:t>
      </w:r>
    </w:p>
    <w:bookmarkEnd w:id="5"/>
    <w:p w14:paraId="196DA12E" w14:textId="77777777" w:rsidR="0018386E" w:rsidRPr="00A37434" w:rsidRDefault="0018386E" w:rsidP="0018386E">
      <w:pPr>
        <w:keepNext/>
        <w:outlineLvl w:val="0"/>
        <w:rPr>
          <w:rFonts w:ascii="Arial" w:hAnsi="Arial" w:cs="Arial"/>
          <w:sz w:val="20"/>
          <w:highlight w:val="yellow"/>
        </w:rPr>
      </w:pPr>
    </w:p>
    <w:p w14:paraId="09B787F1" w14:textId="5282051B" w:rsidR="0018386E" w:rsidRPr="0018386E" w:rsidRDefault="0018386E" w:rsidP="0018386E">
      <w:pPr>
        <w:keepNext/>
        <w:outlineLvl w:val="0"/>
        <w:rPr>
          <w:rFonts w:ascii="Arial" w:hAnsi="Arial" w:cs="Arial"/>
          <w:sz w:val="20"/>
        </w:rPr>
      </w:pPr>
      <w:r w:rsidRPr="00A662CB">
        <w:rPr>
          <w:rFonts w:ascii="Arial" w:hAnsi="Arial" w:cs="Arial"/>
          <w:sz w:val="20"/>
        </w:rPr>
        <w:t xml:space="preserve">A motion to approve the </w:t>
      </w:r>
      <w:r w:rsidR="00A662CB" w:rsidRPr="00A662CB">
        <w:rPr>
          <w:rFonts w:ascii="Arial" w:hAnsi="Arial" w:cs="Arial"/>
          <w:sz w:val="20"/>
        </w:rPr>
        <w:t xml:space="preserve">Final </w:t>
      </w:r>
      <w:r w:rsidRPr="00A662CB">
        <w:rPr>
          <w:rFonts w:ascii="Arial" w:hAnsi="Arial" w:cs="Arial"/>
          <w:sz w:val="20"/>
        </w:rPr>
        <w:t xml:space="preserve">Site Plan Review was made by </w:t>
      </w:r>
      <w:r w:rsidR="00A662CB" w:rsidRPr="00A662CB">
        <w:rPr>
          <w:rFonts w:ascii="Arial" w:hAnsi="Arial" w:cs="Arial"/>
          <w:sz w:val="20"/>
        </w:rPr>
        <w:t xml:space="preserve">John </w:t>
      </w:r>
      <w:r w:rsidR="00BA0252" w:rsidRPr="00A662CB">
        <w:rPr>
          <w:rFonts w:ascii="Arial" w:hAnsi="Arial" w:cs="Arial"/>
          <w:sz w:val="20"/>
        </w:rPr>
        <w:t>Carman,</w:t>
      </w:r>
      <w:r w:rsidRPr="00A662CB">
        <w:rPr>
          <w:rFonts w:ascii="Arial" w:hAnsi="Arial" w:cs="Arial"/>
          <w:sz w:val="20"/>
        </w:rPr>
        <w:t xml:space="preserve"> seconded by Benjamin Collings, and a roll call vote: 1</w:t>
      </w:r>
      <w:r w:rsidR="00A662CB" w:rsidRPr="00A662CB">
        <w:rPr>
          <w:rFonts w:ascii="Arial" w:hAnsi="Arial" w:cs="Arial"/>
          <w:sz w:val="20"/>
        </w:rPr>
        <w:t>2</w:t>
      </w:r>
      <w:r w:rsidRPr="00A662CB">
        <w:rPr>
          <w:rFonts w:ascii="Arial" w:hAnsi="Arial" w:cs="Arial"/>
          <w:sz w:val="20"/>
        </w:rPr>
        <w:t xml:space="preserve"> yea, 0 nay, 1 abstention.</w:t>
      </w:r>
    </w:p>
    <w:p w14:paraId="166269E3" w14:textId="77777777" w:rsidR="0018386E" w:rsidRDefault="0018386E" w:rsidP="001E765B">
      <w:pPr>
        <w:keepNext/>
        <w:outlineLvl w:val="0"/>
        <w:rPr>
          <w:rFonts w:ascii="Arial" w:hAnsi="Arial" w:cs="Arial"/>
          <w:sz w:val="20"/>
          <w:u w:val="single"/>
        </w:rPr>
      </w:pPr>
    </w:p>
    <w:p w14:paraId="7CE0526D" w14:textId="77777777" w:rsidR="0018386E" w:rsidRDefault="0018386E" w:rsidP="001E765B">
      <w:pPr>
        <w:keepNext/>
        <w:outlineLvl w:val="0"/>
        <w:rPr>
          <w:rFonts w:ascii="Arial" w:hAnsi="Arial" w:cs="Arial"/>
          <w:b/>
          <w:bCs/>
          <w:sz w:val="20"/>
        </w:rPr>
      </w:pPr>
    </w:p>
    <w:p w14:paraId="553ED44F" w14:textId="73804575" w:rsidR="001E765B" w:rsidRPr="00C325E4" w:rsidRDefault="001E765B" w:rsidP="001E765B">
      <w:pPr>
        <w:keepNext/>
        <w:outlineLvl w:val="0"/>
        <w:rPr>
          <w:rFonts w:ascii="Arial" w:hAnsi="Arial" w:cs="Arial"/>
          <w:b/>
          <w:bCs/>
          <w:sz w:val="20"/>
        </w:rPr>
      </w:pPr>
      <w:r w:rsidRPr="00C325E4">
        <w:rPr>
          <w:rFonts w:ascii="Arial" w:hAnsi="Arial" w:cs="Arial"/>
          <w:b/>
          <w:bCs/>
          <w:sz w:val="20"/>
        </w:rPr>
        <w:t>FINANCIAL REPORT</w:t>
      </w:r>
      <w:r>
        <w:rPr>
          <w:rFonts w:ascii="Arial" w:hAnsi="Arial" w:cs="Arial"/>
          <w:b/>
          <w:bCs/>
          <w:sz w:val="20"/>
        </w:rPr>
        <w:t xml:space="preserve"> AND BILLS</w:t>
      </w:r>
    </w:p>
    <w:p w14:paraId="6663CF5C" w14:textId="77777777" w:rsidR="001E765B" w:rsidRDefault="001E765B" w:rsidP="001E765B">
      <w:pPr>
        <w:rPr>
          <w:rFonts w:ascii="Arial" w:hAnsi="Arial" w:cs="Arial"/>
          <w:sz w:val="20"/>
          <w:szCs w:val="20"/>
        </w:rPr>
      </w:pPr>
    </w:p>
    <w:p w14:paraId="38EEB5E8" w14:textId="1C584538" w:rsidR="00624066" w:rsidRPr="00624066" w:rsidRDefault="00B970AA" w:rsidP="00624066">
      <w:pPr>
        <w:rPr>
          <w:rFonts w:ascii="Arial" w:hAnsi="Arial" w:cs="Arial"/>
          <w:sz w:val="20"/>
          <w:szCs w:val="20"/>
        </w:rPr>
      </w:pPr>
      <w:r>
        <w:rPr>
          <w:rFonts w:ascii="Arial" w:hAnsi="Arial" w:cs="Arial"/>
          <w:sz w:val="20"/>
          <w:szCs w:val="20"/>
        </w:rPr>
        <w:t>Drew DeMarsh</w:t>
      </w:r>
      <w:r w:rsidR="00624066" w:rsidRPr="00624066">
        <w:rPr>
          <w:rFonts w:ascii="Arial" w:hAnsi="Arial" w:cs="Arial"/>
          <w:sz w:val="20"/>
          <w:szCs w:val="20"/>
        </w:rPr>
        <w:t xml:space="preserve"> presented the financial report </w:t>
      </w:r>
      <w:r w:rsidR="00437B77">
        <w:rPr>
          <w:rFonts w:ascii="Arial" w:hAnsi="Arial" w:cs="Arial"/>
          <w:sz w:val="20"/>
          <w:szCs w:val="20"/>
        </w:rPr>
        <w:t>and</w:t>
      </w:r>
      <w:r w:rsidR="00624066" w:rsidRPr="00624066">
        <w:rPr>
          <w:rFonts w:ascii="Arial" w:hAnsi="Arial" w:cs="Arial"/>
          <w:sz w:val="20"/>
          <w:szCs w:val="20"/>
        </w:rPr>
        <w:t xml:space="preserve"> </w:t>
      </w:r>
      <w:r>
        <w:rPr>
          <w:rFonts w:ascii="Arial" w:hAnsi="Arial" w:cs="Arial"/>
          <w:sz w:val="20"/>
          <w:szCs w:val="20"/>
        </w:rPr>
        <w:t>one bill for mileage reimbursement</w:t>
      </w:r>
      <w:r w:rsidR="00437B77">
        <w:rPr>
          <w:rFonts w:ascii="Arial" w:hAnsi="Arial" w:cs="Arial"/>
          <w:sz w:val="20"/>
          <w:szCs w:val="20"/>
        </w:rPr>
        <w:t xml:space="preserve"> for approval. </w:t>
      </w:r>
    </w:p>
    <w:p w14:paraId="38C55947" w14:textId="77777777" w:rsidR="00624066" w:rsidRPr="00624066" w:rsidRDefault="00624066" w:rsidP="00624066">
      <w:pPr>
        <w:rPr>
          <w:rFonts w:ascii="Arial" w:hAnsi="Arial" w:cs="Arial"/>
          <w:sz w:val="20"/>
          <w:szCs w:val="20"/>
        </w:rPr>
      </w:pPr>
    </w:p>
    <w:p w14:paraId="524878AC" w14:textId="3FEA2B9C" w:rsidR="00A45275" w:rsidRDefault="00624066" w:rsidP="00624066">
      <w:pPr>
        <w:rPr>
          <w:rFonts w:ascii="Arial" w:hAnsi="Arial" w:cs="Arial"/>
          <w:sz w:val="20"/>
          <w:szCs w:val="20"/>
        </w:rPr>
      </w:pPr>
      <w:r w:rsidRPr="00624066">
        <w:rPr>
          <w:rFonts w:ascii="Arial" w:hAnsi="Arial" w:cs="Arial"/>
          <w:sz w:val="20"/>
          <w:szCs w:val="20"/>
        </w:rPr>
        <w:t xml:space="preserve">A motion to approve the financial report and bill was made by </w:t>
      </w:r>
      <w:r w:rsidR="008B1613">
        <w:rPr>
          <w:rFonts w:ascii="Arial" w:hAnsi="Arial" w:cs="Arial"/>
          <w:sz w:val="20"/>
          <w:szCs w:val="20"/>
        </w:rPr>
        <w:t>Benjamin Collings</w:t>
      </w:r>
      <w:r w:rsidRPr="00624066">
        <w:rPr>
          <w:rFonts w:ascii="Arial" w:hAnsi="Arial" w:cs="Arial"/>
          <w:sz w:val="20"/>
          <w:szCs w:val="20"/>
        </w:rPr>
        <w:t>, seconded by Rick Walker and a voice vote: all yeas.</w:t>
      </w:r>
    </w:p>
    <w:p w14:paraId="5F12C102" w14:textId="77777777" w:rsidR="001E765B" w:rsidRDefault="001E765B" w:rsidP="001E765B">
      <w:pPr>
        <w:rPr>
          <w:rFonts w:ascii="Arial" w:hAnsi="Arial" w:cs="Arial"/>
          <w:b/>
          <w:sz w:val="20"/>
        </w:rPr>
      </w:pPr>
    </w:p>
    <w:p w14:paraId="6D8354CC" w14:textId="77777777" w:rsidR="001E765B" w:rsidRDefault="001E765B" w:rsidP="001E765B">
      <w:pPr>
        <w:rPr>
          <w:rFonts w:ascii="Arial" w:hAnsi="Arial" w:cs="Arial"/>
          <w:b/>
          <w:sz w:val="20"/>
        </w:rPr>
      </w:pPr>
      <w:r>
        <w:rPr>
          <w:rFonts w:ascii="Arial" w:hAnsi="Arial" w:cs="Arial"/>
          <w:b/>
          <w:sz w:val="20"/>
        </w:rPr>
        <w:t>RPC STAFF UPDATE</w:t>
      </w:r>
    </w:p>
    <w:p w14:paraId="6259059A" w14:textId="77777777" w:rsidR="001E765B" w:rsidRDefault="001E765B" w:rsidP="001E765B">
      <w:pPr>
        <w:rPr>
          <w:rFonts w:ascii="Arial" w:hAnsi="Arial" w:cs="Arial"/>
          <w:sz w:val="20"/>
        </w:rPr>
      </w:pPr>
    </w:p>
    <w:p w14:paraId="6A75FA0C" w14:textId="69DB484E" w:rsidR="00AF604B" w:rsidRDefault="001C5CDE" w:rsidP="001E765B">
      <w:pPr>
        <w:rPr>
          <w:rFonts w:ascii="Arial" w:hAnsi="Arial" w:cs="Arial"/>
          <w:sz w:val="20"/>
        </w:rPr>
      </w:pPr>
      <w:r>
        <w:rPr>
          <w:rFonts w:ascii="Arial" w:hAnsi="Arial" w:cs="Arial"/>
          <w:sz w:val="20"/>
        </w:rPr>
        <w:t>Drew DeMarsh</w:t>
      </w:r>
      <w:r w:rsidR="00624066" w:rsidRPr="00624066">
        <w:rPr>
          <w:rFonts w:ascii="Arial" w:hAnsi="Arial" w:cs="Arial"/>
          <w:sz w:val="20"/>
        </w:rPr>
        <w:t xml:space="preserve"> updated the board </w:t>
      </w:r>
      <w:r>
        <w:rPr>
          <w:rFonts w:ascii="Arial" w:hAnsi="Arial" w:cs="Arial"/>
          <w:sz w:val="20"/>
        </w:rPr>
        <w:t>on the need to fill a vacancy on the Regional Planning Commission Board at the September meeting.</w:t>
      </w:r>
    </w:p>
    <w:p w14:paraId="1000D64F" w14:textId="77777777" w:rsidR="00624066" w:rsidRDefault="00624066" w:rsidP="001E765B">
      <w:pPr>
        <w:rPr>
          <w:rFonts w:ascii="Arial" w:hAnsi="Arial" w:cs="Arial"/>
          <w:sz w:val="20"/>
        </w:rPr>
      </w:pPr>
    </w:p>
    <w:p w14:paraId="0EBE8C63" w14:textId="6EAB6262" w:rsidR="001E765B" w:rsidRDefault="001E765B" w:rsidP="001E765B">
      <w:pPr>
        <w:rPr>
          <w:rFonts w:ascii="Arial" w:hAnsi="Arial" w:cs="Arial"/>
          <w:sz w:val="20"/>
        </w:rPr>
      </w:pPr>
      <w:r>
        <w:rPr>
          <w:rFonts w:ascii="Arial" w:hAnsi="Arial" w:cs="Arial"/>
          <w:sz w:val="20"/>
        </w:rPr>
        <w:t xml:space="preserve">With no further business to conduct, the Commission adjourned by motion from </w:t>
      </w:r>
      <w:r w:rsidR="001C5CDE">
        <w:rPr>
          <w:rFonts w:ascii="Arial" w:hAnsi="Arial" w:cs="Arial"/>
          <w:sz w:val="20"/>
          <w:szCs w:val="20"/>
        </w:rPr>
        <w:t>Benjamin Collings</w:t>
      </w:r>
      <w:r>
        <w:rPr>
          <w:rFonts w:ascii="Arial" w:hAnsi="Arial" w:cs="Arial"/>
          <w:sz w:val="20"/>
          <w:szCs w:val="20"/>
        </w:rPr>
        <w:t xml:space="preserve"> a</w:t>
      </w:r>
      <w:r>
        <w:rPr>
          <w:rFonts w:ascii="Arial" w:hAnsi="Arial" w:cs="Arial"/>
          <w:sz w:val="20"/>
        </w:rPr>
        <w:t xml:space="preserve">t approx. </w:t>
      </w:r>
      <w:r w:rsidR="001C5CDE">
        <w:rPr>
          <w:rFonts w:ascii="Arial" w:hAnsi="Arial" w:cs="Arial"/>
          <w:sz w:val="20"/>
        </w:rPr>
        <w:t>9:10</w:t>
      </w:r>
      <w:r w:rsidR="00AF604B">
        <w:rPr>
          <w:rFonts w:ascii="Arial" w:hAnsi="Arial" w:cs="Arial"/>
          <w:sz w:val="20"/>
        </w:rPr>
        <w:t xml:space="preserve"> </w:t>
      </w:r>
      <w:r>
        <w:rPr>
          <w:rFonts w:ascii="Arial" w:hAnsi="Arial" w:cs="Arial"/>
          <w:sz w:val="20"/>
        </w:rPr>
        <w:t>pm.</w:t>
      </w:r>
    </w:p>
    <w:p w14:paraId="0D32DF9D" w14:textId="77777777" w:rsidR="001E765B" w:rsidRDefault="001E765B" w:rsidP="001E765B">
      <w:pPr>
        <w:rPr>
          <w:rFonts w:ascii="Arial" w:hAnsi="Arial" w:cs="Arial"/>
          <w:sz w:val="20"/>
        </w:rPr>
      </w:pPr>
    </w:p>
    <w:p w14:paraId="73B943A7" w14:textId="77777777" w:rsidR="001E765B" w:rsidRDefault="001E765B" w:rsidP="001E765B">
      <w:pPr>
        <w:rPr>
          <w:rFonts w:ascii="Arial" w:hAnsi="Arial" w:cs="Arial"/>
          <w:sz w:val="20"/>
        </w:rPr>
      </w:pPr>
    </w:p>
    <w:p w14:paraId="256551A9" w14:textId="77777777" w:rsidR="001E765B" w:rsidRPr="003946C3" w:rsidRDefault="001E765B" w:rsidP="001E765B">
      <w:pPr>
        <w:rPr>
          <w:rFonts w:ascii="Arial" w:hAnsi="Arial" w:cs="Arial"/>
          <w:sz w:val="16"/>
          <w:szCs w:val="16"/>
        </w:rPr>
      </w:pPr>
      <w:r>
        <w:rPr>
          <w:rFonts w:ascii="Arial" w:hAnsi="Arial" w:cs="Arial"/>
          <w:sz w:val="20"/>
        </w:rPr>
        <w:t>Respectfully submitted and approved this _________ day of _________ 2023.</w:t>
      </w:r>
    </w:p>
    <w:tbl>
      <w:tblPr>
        <w:tblW w:w="0" w:type="auto"/>
        <w:tblLook w:val="0000" w:firstRow="0" w:lastRow="0" w:firstColumn="0" w:lastColumn="0" w:noHBand="0" w:noVBand="0"/>
      </w:tblPr>
      <w:tblGrid>
        <w:gridCol w:w="5718"/>
        <w:gridCol w:w="3858"/>
      </w:tblGrid>
      <w:tr w:rsidR="001E765B" w14:paraId="409906B4" w14:textId="77777777" w:rsidTr="000F1BF7">
        <w:tc>
          <w:tcPr>
            <w:tcW w:w="5718" w:type="dxa"/>
          </w:tcPr>
          <w:p w14:paraId="3AFA7AC4" w14:textId="77777777" w:rsidR="001E765B" w:rsidRDefault="001E765B" w:rsidP="000F1BF7">
            <w:pPr>
              <w:rPr>
                <w:rFonts w:ascii="Arial" w:hAnsi="Arial" w:cs="Arial"/>
                <w:sz w:val="20"/>
              </w:rPr>
            </w:pPr>
          </w:p>
          <w:p w14:paraId="364477C9" w14:textId="77777777" w:rsidR="001E765B" w:rsidRDefault="001E765B" w:rsidP="000F1BF7">
            <w:pPr>
              <w:rPr>
                <w:rFonts w:ascii="Arial" w:hAnsi="Arial" w:cs="Arial"/>
                <w:sz w:val="20"/>
              </w:rPr>
            </w:pPr>
          </w:p>
          <w:p w14:paraId="7BB437E7" w14:textId="77777777" w:rsidR="001E765B" w:rsidRDefault="001E765B" w:rsidP="000F1BF7">
            <w:pPr>
              <w:rPr>
                <w:rFonts w:ascii="Arial" w:hAnsi="Arial" w:cs="Arial"/>
                <w:sz w:val="20"/>
              </w:rPr>
            </w:pPr>
            <w:r>
              <w:rPr>
                <w:rFonts w:ascii="Arial" w:hAnsi="Arial" w:cs="Arial"/>
                <w:sz w:val="20"/>
              </w:rPr>
              <w:t>____________________________________</w:t>
            </w:r>
          </w:p>
        </w:tc>
        <w:tc>
          <w:tcPr>
            <w:tcW w:w="3858" w:type="dxa"/>
          </w:tcPr>
          <w:p w14:paraId="4BD1899C" w14:textId="77777777" w:rsidR="001E765B" w:rsidRDefault="001E765B" w:rsidP="000F1BF7">
            <w:pPr>
              <w:rPr>
                <w:rFonts w:ascii="Arial" w:hAnsi="Arial" w:cs="Arial"/>
                <w:sz w:val="20"/>
              </w:rPr>
            </w:pPr>
          </w:p>
        </w:tc>
      </w:tr>
      <w:tr w:rsidR="001E765B" w14:paraId="1A5FA4A0" w14:textId="77777777" w:rsidTr="000F1BF7">
        <w:tc>
          <w:tcPr>
            <w:tcW w:w="5718" w:type="dxa"/>
          </w:tcPr>
          <w:p w14:paraId="49A309D9" w14:textId="77777777" w:rsidR="001E765B" w:rsidRDefault="001E765B" w:rsidP="000F1BF7">
            <w:pPr>
              <w:rPr>
                <w:rFonts w:ascii="Arial" w:hAnsi="Arial" w:cs="Arial"/>
                <w:sz w:val="18"/>
              </w:rPr>
            </w:pPr>
            <w:r>
              <w:rPr>
                <w:rFonts w:ascii="Arial" w:hAnsi="Arial" w:cs="Arial"/>
                <w:sz w:val="18"/>
              </w:rPr>
              <w:t>Dwayne Dearth, Chairman</w:t>
            </w:r>
          </w:p>
        </w:tc>
        <w:tc>
          <w:tcPr>
            <w:tcW w:w="3858" w:type="dxa"/>
          </w:tcPr>
          <w:p w14:paraId="0EBD973C" w14:textId="77777777" w:rsidR="001E765B" w:rsidRDefault="001E765B" w:rsidP="000F1BF7">
            <w:pPr>
              <w:rPr>
                <w:rFonts w:ascii="Arial" w:hAnsi="Arial" w:cs="Arial"/>
                <w:sz w:val="18"/>
              </w:rPr>
            </w:pPr>
          </w:p>
        </w:tc>
      </w:tr>
      <w:tr w:rsidR="001E765B" w14:paraId="3FB768C5" w14:textId="77777777" w:rsidTr="000F1BF7">
        <w:tc>
          <w:tcPr>
            <w:tcW w:w="5718" w:type="dxa"/>
          </w:tcPr>
          <w:p w14:paraId="623B6112" w14:textId="77777777" w:rsidR="001E765B" w:rsidRDefault="001E765B" w:rsidP="000F1BF7">
            <w:pPr>
              <w:rPr>
                <w:rFonts w:ascii="Arial" w:hAnsi="Arial" w:cs="Arial"/>
                <w:sz w:val="20"/>
              </w:rPr>
            </w:pPr>
          </w:p>
          <w:p w14:paraId="1B07CC4E" w14:textId="77777777" w:rsidR="001E765B" w:rsidRDefault="001E765B" w:rsidP="000F1BF7">
            <w:pPr>
              <w:rPr>
                <w:rFonts w:ascii="Arial" w:hAnsi="Arial" w:cs="Arial"/>
                <w:sz w:val="20"/>
              </w:rPr>
            </w:pPr>
            <w:r>
              <w:rPr>
                <w:rFonts w:ascii="Arial" w:hAnsi="Arial" w:cs="Arial"/>
                <w:sz w:val="20"/>
              </w:rPr>
              <w:t>____________________________________</w:t>
            </w:r>
          </w:p>
        </w:tc>
        <w:tc>
          <w:tcPr>
            <w:tcW w:w="3858" w:type="dxa"/>
          </w:tcPr>
          <w:p w14:paraId="15357ADF" w14:textId="77777777" w:rsidR="001E765B" w:rsidRDefault="001E765B" w:rsidP="000F1BF7">
            <w:pPr>
              <w:rPr>
                <w:rFonts w:ascii="Arial" w:hAnsi="Arial" w:cs="Arial"/>
                <w:sz w:val="20"/>
              </w:rPr>
            </w:pPr>
          </w:p>
        </w:tc>
      </w:tr>
      <w:tr w:rsidR="001E765B" w14:paraId="4EC8887C" w14:textId="77777777" w:rsidTr="000F1BF7">
        <w:tc>
          <w:tcPr>
            <w:tcW w:w="5718" w:type="dxa"/>
          </w:tcPr>
          <w:p w14:paraId="7A3B2A66" w14:textId="77777777" w:rsidR="001E765B" w:rsidRDefault="001E765B" w:rsidP="000F1BF7">
            <w:pPr>
              <w:rPr>
                <w:rFonts w:ascii="Arial" w:hAnsi="Arial" w:cs="Arial"/>
                <w:sz w:val="18"/>
              </w:rPr>
            </w:pPr>
            <w:r>
              <w:rPr>
                <w:rFonts w:ascii="Arial" w:hAnsi="Arial" w:cs="Arial"/>
                <w:sz w:val="18"/>
              </w:rPr>
              <w:t>Robert Thobaben, Secretary</w:t>
            </w:r>
          </w:p>
          <w:p w14:paraId="4AD68D48" w14:textId="77777777" w:rsidR="001E765B" w:rsidRDefault="001E765B" w:rsidP="000F1BF7">
            <w:pPr>
              <w:rPr>
                <w:rFonts w:ascii="Arial" w:hAnsi="Arial" w:cs="Arial"/>
                <w:sz w:val="18"/>
              </w:rPr>
            </w:pPr>
          </w:p>
        </w:tc>
        <w:tc>
          <w:tcPr>
            <w:tcW w:w="3858" w:type="dxa"/>
          </w:tcPr>
          <w:p w14:paraId="23F6D14F" w14:textId="77777777" w:rsidR="001E765B" w:rsidRDefault="001E765B" w:rsidP="000F1BF7">
            <w:pPr>
              <w:rPr>
                <w:rFonts w:ascii="Arial" w:hAnsi="Arial" w:cs="Arial"/>
                <w:sz w:val="18"/>
              </w:rPr>
            </w:pPr>
          </w:p>
        </w:tc>
      </w:tr>
      <w:tr w:rsidR="001E765B" w14:paraId="4D261651" w14:textId="77777777" w:rsidTr="000F1BF7">
        <w:tc>
          <w:tcPr>
            <w:tcW w:w="5718" w:type="dxa"/>
          </w:tcPr>
          <w:p w14:paraId="7E28CD24" w14:textId="77777777" w:rsidR="001E765B" w:rsidRDefault="001E765B" w:rsidP="000F1BF7">
            <w:pPr>
              <w:rPr>
                <w:rFonts w:ascii="Arial" w:hAnsi="Arial" w:cs="Arial"/>
                <w:sz w:val="20"/>
              </w:rPr>
            </w:pPr>
            <w:r>
              <w:rPr>
                <w:rFonts w:ascii="Arial" w:hAnsi="Arial" w:cs="Arial"/>
                <w:sz w:val="20"/>
              </w:rPr>
              <w:t>____________________________________</w:t>
            </w:r>
          </w:p>
        </w:tc>
        <w:tc>
          <w:tcPr>
            <w:tcW w:w="3858" w:type="dxa"/>
          </w:tcPr>
          <w:p w14:paraId="7E52E4F2" w14:textId="77777777" w:rsidR="001E765B" w:rsidRDefault="001E765B" w:rsidP="000F1BF7">
            <w:pPr>
              <w:rPr>
                <w:rFonts w:ascii="Arial" w:hAnsi="Arial" w:cs="Arial"/>
                <w:sz w:val="20"/>
              </w:rPr>
            </w:pPr>
          </w:p>
        </w:tc>
      </w:tr>
      <w:tr w:rsidR="001E765B" w14:paraId="029C0937" w14:textId="77777777" w:rsidTr="000F1BF7">
        <w:tc>
          <w:tcPr>
            <w:tcW w:w="5718" w:type="dxa"/>
          </w:tcPr>
          <w:p w14:paraId="49330BC0" w14:textId="33BD7EA4" w:rsidR="001E765B" w:rsidRDefault="001C5CDE" w:rsidP="000F1BF7">
            <w:pPr>
              <w:rPr>
                <w:rFonts w:ascii="Arial" w:hAnsi="Arial" w:cs="Arial"/>
                <w:sz w:val="18"/>
              </w:rPr>
            </w:pPr>
            <w:r>
              <w:rPr>
                <w:rFonts w:ascii="Arial" w:hAnsi="Arial" w:cs="Arial"/>
                <w:sz w:val="18"/>
              </w:rPr>
              <w:t>Andrew DeMarsh, Associate Planner</w:t>
            </w:r>
          </w:p>
        </w:tc>
        <w:tc>
          <w:tcPr>
            <w:tcW w:w="3858" w:type="dxa"/>
          </w:tcPr>
          <w:p w14:paraId="465694EC" w14:textId="77777777" w:rsidR="001E765B" w:rsidRDefault="001E765B" w:rsidP="000F1BF7">
            <w:pPr>
              <w:rPr>
                <w:rFonts w:ascii="Arial" w:hAnsi="Arial" w:cs="Arial"/>
                <w:sz w:val="18"/>
              </w:rPr>
            </w:pPr>
          </w:p>
        </w:tc>
      </w:tr>
    </w:tbl>
    <w:p w14:paraId="346620FC" w14:textId="77777777" w:rsidR="00B43341" w:rsidRDefault="00B43341"/>
    <w:sectPr w:rsidR="00B43341" w:rsidSect="000F1BF7">
      <w:headerReference w:type="even" r:id="rId8"/>
      <w:headerReference w:type="default" r:id="rId9"/>
      <w:footerReference w:type="even" r:id="rId10"/>
      <w:footerReference w:type="default" r:id="rId11"/>
      <w:headerReference w:type="first" r:id="rId12"/>
      <w:footerReference w:type="first" r:id="rId13"/>
      <w:pgSz w:w="12240" w:h="15840"/>
      <w:pgMar w:top="1350" w:right="720" w:bottom="13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E708" w14:textId="77777777" w:rsidR="00491841" w:rsidRDefault="00491841">
      <w:r>
        <w:separator/>
      </w:r>
    </w:p>
  </w:endnote>
  <w:endnote w:type="continuationSeparator" w:id="0">
    <w:p w14:paraId="6EA7D1C3" w14:textId="77777777" w:rsidR="00491841" w:rsidRDefault="0049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5B6E" w14:textId="77777777" w:rsidR="00E84D83" w:rsidRDefault="00E84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4D05" w14:textId="77777777" w:rsidR="00E84D83" w:rsidRDefault="00E84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C48C" w14:textId="77777777" w:rsidR="00E84D83" w:rsidRDefault="00E84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C222" w14:textId="77777777" w:rsidR="00491841" w:rsidRDefault="00491841">
      <w:r>
        <w:separator/>
      </w:r>
    </w:p>
  </w:footnote>
  <w:footnote w:type="continuationSeparator" w:id="0">
    <w:p w14:paraId="44E84B8D" w14:textId="77777777" w:rsidR="00491841" w:rsidRDefault="00491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EE03" w14:textId="5A464CFC" w:rsidR="00E84D83" w:rsidRDefault="00E84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315691"/>
      <w:docPartObj>
        <w:docPartGallery w:val="Watermarks"/>
        <w:docPartUnique/>
      </w:docPartObj>
    </w:sdtPr>
    <w:sdtContent>
      <w:p w14:paraId="7D68B2A7" w14:textId="20FEE317" w:rsidR="00E84D83" w:rsidRDefault="008A7B61">
        <w:pPr>
          <w:pStyle w:val="Header"/>
        </w:pPr>
        <w:r>
          <w:rPr>
            <w:noProof/>
          </w:rPr>
          <w:pict w14:anchorId="15806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5449" w14:textId="2508B64C" w:rsidR="00E84D83" w:rsidRDefault="00E84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97FF6"/>
    <w:multiLevelType w:val="multilevel"/>
    <w:tmpl w:val="BB181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005F91"/>
    <w:multiLevelType w:val="hybridMultilevel"/>
    <w:tmpl w:val="21F62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767603">
    <w:abstractNumId w:val="0"/>
  </w:num>
  <w:num w:numId="2" w16cid:durableId="1282805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5B"/>
    <w:rsid w:val="00015DC2"/>
    <w:rsid w:val="00031710"/>
    <w:rsid w:val="000404ED"/>
    <w:rsid w:val="00045C7B"/>
    <w:rsid w:val="00056301"/>
    <w:rsid w:val="00060B37"/>
    <w:rsid w:val="00061EB2"/>
    <w:rsid w:val="0006285C"/>
    <w:rsid w:val="00077478"/>
    <w:rsid w:val="00092CCB"/>
    <w:rsid w:val="000F1BF7"/>
    <w:rsid w:val="00104379"/>
    <w:rsid w:val="001144BE"/>
    <w:rsid w:val="00121AD4"/>
    <w:rsid w:val="0012541B"/>
    <w:rsid w:val="00126CE3"/>
    <w:rsid w:val="001535DA"/>
    <w:rsid w:val="0016095E"/>
    <w:rsid w:val="0018386E"/>
    <w:rsid w:val="00194992"/>
    <w:rsid w:val="001B2256"/>
    <w:rsid w:val="001B751E"/>
    <w:rsid w:val="001C5CDE"/>
    <w:rsid w:val="001D525A"/>
    <w:rsid w:val="001E6A8A"/>
    <w:rsid w:val="001E765B"/>
    <w:rsid w:val="002018CF"/>
    <w:rsid w:val="0021178E"/>
    <w:rsid w:val="0021283D"/>
    <w:rsid w:val="00212FB4"/>
    <w:rsid w:val="00220E50"/>
    <w:rsid w:val="00233DEC"/>
    <w:rsid w:val="00237AA8"/>
    <w:rsid w:val="00237DF3"/>
    <w:rsid w:val="00250731"/>
    <w:rsid w:val="002717F1"/>
    <w:rsid w:val="002A5A5E"/>
    <w:rsid w:val="002C3AAF"/>
    <w:rsid w:val="002D7B19"/>
    <w:rsid w:val="002E2575"/>
    <w:rsid w:val="003035C6"/>
    <w:rsid w:val="00332496"/>
    <w:rsid w:val="00345834"/>
    <w:rsid w:val="0035757A"/>
    <w:rsid w:val="003719C7"/>
    <w:rsid w:val="00377694"/>
    <w:rsid w:val="00396066"/>
    <w:rsid w:val="003A0942"/>
    <w:rsid w:val="003D4297"/>
    <w:rsid w:val="003F7D5E"/>
    <w:rsid w:val="004304E4"/>
    <w:rsid w:val="00431984"/>
    <w:rsid w:val="00437B77"/>
    <w:rsid w:val="00441EA6"/>
    <w:rsid w:val="004443CF"/>
    <w:rsid w:val="00453FA7"/>
    <w:rsid w:val="00454E84"/>
    <w:rsid w:val="00475375"/>
    <w:rsid w:val="00491841"/>
    <w:rsid w:val="004E0D60"/>
    <w:rsid w:val="004E0DC4"/>
    <w:rsid w:val="004E245D"/>
    <w:rsid w:val="005078D7"/>
    <w:rsid w:val="00525CDE"/>
    <w:rsid w:val="005468CB"/>
    <w:rsid w:val="00555D5D"/>
    <w:rsid w:val="0056462F"/>
    <w:rsid w:val="005B79D7"/>
    <w:rsid w:val="00610BF1"/>
    <w:rsid w:val="00624066"/>
    <w:rsid w:val="00630358"/>
    <w:rsid w:val="0063739C"/>
    <w:rsid w:val="00694BE6"/>
    <w:rsid w:val="006A4273"/>
    <w:rsid w:val="006B40E5"/>
    <w:rsid w:val="006C2159"/>
    <w:rsid w:val="006E433A"/>
    <w:rsid w:val="006E46FC"/>
    <w:rsid w:val="006F25F0"/>
    <w:rsid w:val="0071423D"/>
    <w:rsid w:val="00745D0A"/>
    <w:rsid w:val="0076653D"/>
    <w:rsid w:val="00772DD5"/>
    <w:rsid w:val="0077411E"/>
    <w:rsid w:val="00777B50"/>
    <w:rsid w:val="007A604C"/>
    <w:rsid w:val="007D7F74"/>
    <w:rsid w:val="007F5FE0"/>
    <w:rsid w:val="008134C0"/>
    <w:rsid w:val="00845EFA"/>
    <w:rsid w:val="00847772"/>
    <w:rsid w:val="0085627E"/>
    <w:rsid w:val="00871218"/>
    <w:rsid w:val="00873FA7"/>
    <w:rsid w:val="00881F04"/>
    <w:rsid w:val="0089489C"/>
    <w:rsid w:val="00894F62"/>
    <w:rsid w:val="008A7B61"/>
    <w:rsid w:val="008B1613"/>
    <w:rsid w:val="008D495C"/>
    <w:rsid w:val="00907162"/>
    <w:rsid w:val="00912C6E"/>
    <w:rsid w:val="00942E30"/>
    <w:rsid w:val="009474AE"/>
    <w:rsid w:val="00965591"/>
    <w:rsid w:val="009A1FCA"/>
    <w:rsid w:val="009A30BD"/>
    <w:rsid w:val="00A12BF7"/>
    <w:rsid w:val="00A37434"/>
    <w:rsid w:val="00A45275"/>
    <w:rsid w:val="00A477D5"/>
    <w:rsid w:val="00A5045D"/>
    <w:rsid w:val="00A516A3"/>
    <w:rsid w:val="00A662CB"/>
    <w:rsid w:val="00A76633"/>
    <w:rsid w:val="00A91B8A"/>
    <w:rsid w:val="00AA1516"/>
    <w:rsid w:val="00AE2AF1"/>
    <w:rsid w:val="00AF0C0E"/>
    <w:rsid w:val="00AF604B"/>
    <w:rsid w:val="00B15913"/>
    <w:rsid w:val="00B16DD4"/>
    <w:rsid w:val="00B30CCE"/>
    <w:rsid w:val="00B34FC3"/>
    <w:rsid w:val="00B43341"/>
    <w:rsid w:val="00B44F5F"/>
    <w:rsid w:val="00B970AA"/>
    <w:rsid w:val="00BA0252"/>
    <w:rsid w:val="00BB5A5A"/>
    <w:rsid w:val="00BC2036"/>
    <w:rsid w:val="00BC2F6C"/>
    <w:rsid w:val="00BD457F"/>
    <w:rsid w:val="00BF4F83"/>
    <w:rsid w:val="00C00488"/>
    <w:rsid w:val="00C01015"/>
    <w:rsid w:val="00C13D09"/>
    <w:rsid w:val="00C1746C"/>
    <w:rsid w:val="00C57A73"/>
    <w:rsid w:val="00C75C6E"/>
    <w:rsid w:val="00CB3BEA"/>
    <w:rsid w:val="00D51EE1"/>
    <w:rsid w:val="00D550B2"/>
    <w:rsid w:val="00DB5019"/>
    <w:rsid w:val="00DC2678"/>
    <w:rsid w:val="00E1414F"/>
    <w:rsid w:val="00E41167"/>
    <w:rsid w:val="00E452D7"/>
    <w:rsid w:val="00E602E3"/>
    <w:rsid w:val="00E84D83"/>
    <w:rsid w:val="00ED10BF"/>
    <w:rsid w:val="00F43557"/>
    <w:rsid w:val="00F56428"/>
    <w:rsid w:val="00F6159D"/>
    <w:rsid w:val="00FA4E34"/>
    <w:rsid w:val="00FB16C5"/>
    <w:rsid w:val="00FB241F"/>
    <w:rsid w:val="00FB613C"/>
    <w:rsid w:val="00FC18E0"/>
    <w:rsid w:val="00FF1269"/>
    <w:rsid w:val="00FF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5DAFB"/>
  <w15:docId w15:val="{CBB4A825-008B-4C85-8984-294A5B20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2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765B"/>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65B"/>
    <w:rPr>
      <w:rFonts w:ascii="Arial" w:eastAsia="Times New Roman" w:hAnsi="Arial" w:cs="Arial"/>
      <w:b/>
      <w:bCs/>
      <w:sz w:val="20"/>
      <w:szCs w:val="24"/>
    </w:rPr>
  </w:style>
  <w:style w:type="paragraph" w:styleId="Title">
    <w:name w:val="Title"/>
    <w:basedOn w:val="Normal"/>
    <w:link w:val="TitleChar"/>
    <w:qFormat/>
    <w:rsid w:val="001E765B"/>
    <w:pPr>
      <w:jc w:val="center"/>
    </w:pPr>
    <w:rPr>
      <w:rFonts w:ascii="Arial" w:hAnsi="Arial" w:cs="Arial"/>
      <w:b/>
      <w:bCs/>
      <w:sz w:val="28"/>
    </w:rPr>
  </w:style>
  <w:style w:type="character" w:customStyle="1" w:styleId="TitleChar">
    <w:name w:val="Title Char"/>
    <w:basedOn w:val="DefaultParagraphFont"/>
    <w:link w:val="Title"/>
    <w:rsid w:val="001E765B"/>
    <w:rPr>
      <w:rFonts w:ascii="Arial" w:eastAsia="Times New Roman" w:hAnsi="Arial" w:cs="Arial"/>
      <w:b/>
      <w:bCs/>
      <w:sz w:val="28"/>
      <w:szCs w:val="24"/>
    </w:rPr>
  </w:style>
  <w:style w:type="paragraph" w:styleId="BodyText">
    <w:name w:val="Body Text"/>
    <w:basedOn w:val="Normal"/>
    <w:link w:val="BodyTextChar"/>
    <w:semiHidden/>
    <w:rsid w:val="001E765B"/>
    <w:rPr>
      <w:rFonts w:ascii="Arial" w:hAnsi="Arial" w:cs="Arial"/>
      <w:sz w:val="20"/>
    </w:rPr>
  </w:style>
  <w:style w:type="character" w:customStyle="1" w:styleId="BodyTextChar">
    <w:name w:val="Body Text Char"/>
    <w:basedOn w:val="DefaultParagraphFont"/>
    <w:link w:val="BodyText"/>
    <w:semiHidden/>
    <w:rsid w:val="001E765B"/>
    <w:rPr>
      <w:rFonts w:ascii="Arial" w:eastAsia="Times New Roman" w:hAnsi="Arial" w:cs="Arial"/>
      <w:sz w:val="20"/>
      <w:szCs w:val="24"/>
    </w:rPr>
  </w:style>
  <w:style w:type="paragraph" w:styleId="Header">
    <w:name w:val="header"/>
    <w:basedOn w:val="Normal"/>
    <w:link w:val="HeaderChar"/>
    <w:semiHidden/>
    <w:rsid w:val="001E765B"/>
    <w:pPr>
      <w:tabs>
        <w:tab w:val="center" w:pos="4320"/>
        <w:tab w:val="right" w:pos="8640"/>
      </w:tabs>
    </w:pPr>
  </w:style>
  <w:style w:type="character" w:customStyle="1" w:styleId="HeaderChar">
    <w:name w:val="Header Char"/>
    <w:basedOn w:val="DefaultParagraphFont"/>
    <w:link w:val="Header"/>
    <w:semiHidden/>
    <w:rsid w:val="001E765B"/>
    <w:rPr>
      <w:rFonts w:ascii="Times New Roman" w:eastAsia="Times New Roman" w:hAnsi="Times New Roman" w:cs="Times New Roman"/>
      <w:sz w:val="24"/>
      <w:szCs w:val="24"/>
    </w:rPr>
  </w:style>
  <w:style w:type="paragraph" w:styleId="Footer">
    <w:name w:val="footer"/>
    <w:basedOn w:val="Normal"/>
    <w:link w:val="FooterChar"/>
    <w:uiPriority w:val="99"/>
    <w:rsid w:val="001E765B"/>
    <w:pPr>
      <w:tabs>
        <w:tab w:val="center" w:pos="4320"/>
        <w:tab w:val="right" w:pos="8640"/>
      </w:tabs>
    </w:pPr>
  </w:style>
  <w:style w:type="character" w:customStyle="1" w:styleId="FooterChar">
    <w:name w:val="Footer Char"/>
    <w:basedOn w:val="DefaultParagraphFont"/>
    <w:link w:val="Footer"/>
    <w:uiPriority w:val="99"/>
    <w:rsid w:val="001E76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9736">
      <w:bodyDiv w:val="1"/>
      <w:marLeft w:val="0"/>
      <w:marRight w:val="0"/>
      <w:marTop w:val="0"/>
      <w:marBottom w:val="0"/>
      <w:divBdr>
        <w:top w:val="none" w:sz="0" w:space="0" w:color="auto"/>
        <w:left w:val="none" w:sz="0" w:space="0" w:color="auto"/>
        <w:bottom w:val="none" w:sz="0" w:space="0" w:color="auto"/>
        <w:right w:val="none" w:sz="0" w:space="0" w:color="auto"/>
      </w:divBdr>
    </w:div>
    <w:div w:id="85883233">
      <w:bodyDiv w:val="1"/>
      <w:marLeft w:val="0"/>
      <w:marRight w:val="0"/>
      <w:marTop w:val="0"/>
      <w:marBottom w:val="0"/>
      <w:divBdr>
        <w:top w:val="none" w:sz="0" w:space="0" w:color="auto"/>
        <w:left w:val="none" w:sz="0" w:space="0" w:color="auto"/>
        <w:bottom w:val="none" w:sz="0" w:space="0" w:color="auto"/>
        <w:right w:val="none" w:sz="0" w:space="0" w:color="auto"/>
      </w:divBdr>
    </w:div>
    <w:div w:id="130638981">
      <w:bodyDiv w:val="1"/>
      <w:marLeft w:val="0"/>
      <w:marRight w:val="0"/>
      <w:marTop w:val="0"/>
      <w:marBottom w:val="0"/>
      <w:divBdr>
        <w:top w:val="none" w:sz="0" w:space="0" w:color="auto"/>
        <w:left w:val="none" w:sz="0" w:space="0" w:color="auto"/>
        <w:bottom w:val="none" w:sz="0" w:space="0" w:color="auto"/>
        <w:right w:val="none" w:sz="0" w:space="0" w:color="auto"/>
      </w:divBdr>
    </w:div>
    <w:div w:id="832181991">
      <w:bodyDiv w:val="1"/>
      <w:marLeft w:val="0"/>
      <w:marRight w:val="0"/>
      <w:marTop w:val="0"/>
      <w:marBottom w:val="0"/>
      <w:divBdr>
        <w:top w:val="none" w:sz="0" w:space="0" w:color="auto"/>
        <w:left w:val="none" w:sz="0" w:space="0" w:color="auto"/>
        <w:bottom w:val="none" w:sz="0" w:space="0" w:color="auto"/>
        <w:right w:val="none" w:sz="0" w:space="0" w:color="auto"/>
      </w:divBdr>
    </w:div>
    <w:div w:id="1048452867">
      <w:bodyDiv w:val="1"/>
      <w:marLeft w:val="0"/>
      <w:marRight w:val="0"/>
      <w:marTop w:val="0"/>
      <w:marBottom w:val="0"/>
      <w:divBdr>
        <w:top w:val="none" w:sz="0" w:space="0" w:color="auto"/>
        <w:left w:val="none" w:sz="0" w:space="0" w:color="auto"/>
        <w:bottom w:val="none" w:sz="0" w:space="0" w:color="auto"/>
        <w:right w:val="none" w:sz="0" w:space="0" w:color="auto"/>
      </w:divBdr>
    </w:div>
    <w:div w:id="1259170011">
      <w:bodyDiv w:val="1"/>
      <w:marLeft w:val="0"/>
      <w:marRight w:val="0"/>
      <w:marTop w:val="0"/>
      <w:marBottom w:val="0"/>
      <w:divBdr>
        <w:top w:val="none" w:sz="0" w:space="0" w:color="auto"/>
        <w:left w:val="none" w:sz="0" w:space="0" w:color="auto"/>
        <w:bottom w:val="none" w:sz="0" w:space="0" w:color="auto"/>
        <w:right w:val="none" w:sz="0" w:space="0" w:color="auto"/>
      </w:divBdr>
    </w:div>
    <w:div w:id="1345329798">
      <w:bodyDiv w:val="1"/>
      <w:marLeft w:val="0"/>
      <w:marRight w:val="0"/>
      <w:marTop w:val="0"/>
      <w:marBottom w:val="0"/>
      <w:divBdr>
        <w:top w:val="none" w:sz="0" w:space="0" w:color="auto"/>
        <w:left w:val="none" w:sz="0" w:space="0" w:color="auto"/>
        <w:bottom w:val="none" w:sz="0" w:space="0" w:color="auto"/>
        <w:right w:val="none" w:sz="0" w:space="0" w:color="auto"/>
      </w:divBdr>
    </w:div>
    <w:div w:id="164338804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811942699">
      <w:bodyDiv w:val="1"/>
      <w:marLeft w:val="0"/>
      <w:marRight w:val="0"/>
      <w:marTop w:val="0"/>
      <w:marBottom w:val="0"/>
      <w:divBdr>
        <w:top w:val="none" w:sz="0" w:space="0" w:color="auto"/>
        <w:left w:val="none" w:sz="0" w:space="0" w:color="auto"/>
        <w:bottom w:val="none" w:sz="0" w:space="0" w:color="auto"/>
        <w:right w:val="none" w:sz="0" w:space="0" w:color="auto"/>
      </w:divBdr>
    </w:div>
    <w:div w:id="1868712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7407E-8534-4A61-B251-F7EE4D39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1623</Words>
  <Characters>10459</Characters>
  <Application>Microsoft Office Word</Application>
  <DocSecurity>0</DocSecurity>
  <Lines>581</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Sizer</dc:creator>
  <cp:keywords/>
  <dc:description/>
  <cp:lastModifiedBy>Andrew DeMarsh</cp:lastModifiedBy>
  <cp:revision>5</cp:revision>
  <cp:lastPrinted>2023-08-30T18:13:00Z</cp:lastPrinted>
  <dcterms:created xsi:type="dcterms:W3CDTF">2023-08-18T19:34:00Z</dcterms:created>
  <dcterms:modified xsi:type="dcterms:W3CDTF">2023-09-11T17:24:00Z</dcterms:modified>
</cp:coreProperties>
</file>