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5B" w:rsidRDefault="008F72D6">
      <w:pPr>
        <w:pStyle w:val="Heading1"/>
        <w:spacing w:line="259" w:lineRule="auto"/>
        <w:ind w:left="3755" w:right="2969" w:hanging="759"/>
      </w:pPr>
      <w:r>
        <w:t>Lacombe Art Guild 2020</w:t>
      </w:r>
      <w:r>
        <w:t xml:space="preserve"> Artists of the Quarter Lakeview Regional Medical Center</w:t>
      </w:r>
    </w:p>
    <w:p w:rsidR="00015F5B" w:rsidRDefault="008F72D6">
      <w:pPr>
        <w:spacing w:line="291" w:lineRule="exact"/>
        <w:ind w:left="4557"/>
        <w:rPr>
          <w:b/>
          <w:sz w:val="24"/>
        </w:rPr>
      </w:pPr>
      <w:r>
        <w:rPr>
          <w:b/>
          <w:sz w:val="24"/>
        </w:rPr>
        <w:t>Gallery Guidelines</w:t>
      </w:r>
    </w:p>
    <w:p w:rsidR="00015F5B" w:rsidRDefault="00015F5B">
      <w:pPr>
        <w:pStyle w:val="BodyText"/>
        <w:spacing w:before="9"/>
        <w:rPr>
          <w:b/>
          <w:sz w:val="25"/>
        </w:rPr>
      </w:pPr>
    </w:p>
    <w:p w:rsidR="00015F5B" w:rsidRDefault="008F72D6">
      <w:pPr>
        <w:pStyle w:val="Heading3"/>
        <w:spacing w:before="0" w:line="259" w:lineRule="auto"/>
        <w:ind w:right="7373"/>
      </w:pPr>
      <w:r>
        <w:t>Lakeview Regional Medical Center 95 Judge Tanner</w:t>
      </w:r>
      <w:r>
        <w:rPr>
          <w:spacing w:val="-3"/>
        </w:rPr>
        <w:t xml:space="preserve"> </w:t>
      </w:r>
      <w:r>
        <w:t>Blvd</w:t>
      </w:r>
    </w:p>
    <w:p w:rsidR="00015F5B" w:rsidRDefault="008F72D6">
      <w:pPr>
        <w:spacing w:line="267" w:lineRule="exact"/>
        <w:ind w:left="108"/>
      </w:pPr>
      <w:r>
        <w:t>Covington, LA</w:t>
      </w:r>
      <w:r>
        <w:rPr>
          <w:spacing w:val="43"/>
        </w:rPr>
        <w:t xml:space="preserve"> </w:t>
      </w:r>
      <w:r>
        <w:t>70433</w:t>
      </w:r>
    </w:p>
    <w:p w:rsidR="00015F5B" w:rsidRDefault="00015F5B">
      <w:pPr>
        <w:pStyle w:val="BodyText"/>
        <w:rPr>
          <w:sz w:val="22"/>
        </w:rPr>
      </w:pPr>
    </w:p>
    <w:p w:rsidR="00015F5B" w:rsidRDefault="00015F5B">
      <w:pPr>
        <w:pStyle w:val="BodyText"/>
        <w:spacing w:before="9"/>
        <w:rPr>
          <w:sz w:val="16"/>
        </w:rPr>
      </w:pPr>
    </w:p>
    <w:p w:rsidR="00015F5B" w:rsidRDefault="008F72D6">
      <w:pPr>
        <w:ind w:left="108"/>
        <w:rPr>
          <w:b/>
        </w:rPr>
      </w:pPr>
      <w:r>
        <w:rPr>
          <w:b/>
          <w:u w:val="single"/>
        </w:rPr>
        <w:t>A CALL FOR EXHIBITION</w:t>
      </w:r>
      <w:r>
        <w:rPr>
          <w:b/>
        </w:rPr>
        <w:t>:</w:t>
      </w:r>
    </w:p>
    <w:p w:rsidR="00015F5B" w:rsidRDefault="00015F5B">
      <w:pPr>
        <w:pStyle w:val="BodyText"/>
        <w:spacing w:before="2"/>
        <w:rPr>
          <w:b/>
          <w:sz w:val="10"/>
        </w:rPr>
      </w:pPr>
    </w:p>
    <w:p w:rsidR="00015F5B" w:rsidRDefault="008F72D6">
      <w:pPr>
        <w:pStyle w:val="BodyText"/>
        <w:spacing w:before="59" w:line="417" w:lineRule="auto"/>
        <w:ind w:left="108" w:right="2807"/>
      </w:pPr>
      <w:r>
        <w:t>Submissions are of original art work created by Lacombe Art Guild members in good standing. Because of space limitations, only two-dimensional art work will be accepted.</w:t>
      </w:r>
    </w:p>
    <w:p w:rsidR="00015F5B" w:rsidRDefault="008F72D6">
      <w:pPr>
        <w:pStyle w:val="BodyText"/>
        <w:spacing w:line="415" w:lineRule="auto"/>
        <w:ind w:left="108" w:right="73"/>
      </w:pPr>
      <w:r>
        <w:t xml:space="preserve">Only one piece of art per artist may be submitted for consideration for each rotating </w:t>
      </w:r>
      <w:r>
        <w:t>exhibition which is on a quarterly basis. The artwork must provide a pleasant distraction to all who encounter it.</w:t>
      </w:r>
    </w:p>
    <w:p w:rsidR="00015F5B" w:rsidRDefault="008F72D6">
      <w:pPr>
        <w:pStyle w:val="BodyText"/>
        <w:spacing w:line="259" w:lineRule="auto"/>
        <w:ind w:left="108" w:right="535"/>
      </w:pPr>
      <w:r>
        <w:t xml:space="preserve">Sensitivity to our primary viewers (patients, visitors and staff) is Lakeview Regional Medical Center’s highest priority, thus, artwork must </w:t>
      </w:r>
      <w:r>
        <w:t>not show any depiction of nudity, violence, political or spiritual views.</w:t>
      </w:r>
    </w:p>
    <w:p w:rsidR="00015F5B" w:rsidRDefault="008F72D6">
      <w:pPr>
        <w:spacing w:before="157"/>
        <w:ind w:left="108"/>
        <w:rPr>
          <w:b/>
        </w:rPr>
      </w:pPr>
      <w:r>
        <w:rPr>
          <w:b/>
          <w:u w:val="single"/>
        </w:rPr>
        <w:t>ENTRY REQUIREMENTS</w:t>
      </w:r>
      <w:r>
        <w:rPr>
          <w:b/>
        </w:rPr>
        <w:t>:</w:t>
      </w:r>
    </w:p>
    <w:p w:rsidR="00015F5B" w:rsidRDefault="00015F5B">
      <w:pPr>
        <w:pStyle w:val="BodyText"/>
        <w:spacing w:before="1"/>
        <w:rPr>
          <w:b/>
          <w:sz w:val="10"/>
        </w:rPr>
      </w:pPr>
    </w:p>
    <w:p w:rsidR="00015F5B" w:rsidRDefault="008F72D6">
      <w:pPr>
        <w:pStyle w:val="BodyText"/>
        <w:spacing w:before="60" w:line="259" w:lineRule="auto"/>
        <w:ind w:left="108"/>
        <w:rPr>
          <w:b/>
        </w:rPr>
      </w:pPr>
      <w:r>
        <w:t>Art must not be copies, derivatives or based in any way on either copyrighted or published paintings or photographs. Reproductions, giclées, prints or art made from patterns or kits are not acceptable. All artwork must be dry, framed with plexiglass and re</w:t>
      </w:r>
      <w:r>
        <w:t xml:space="preserve">ady to be hung with screw eyes, D-rings and wire only. </w:t>
      </w:r>
      <w:r>
        <w:rPr>
          <w:b/>
        </w:rPr>
        <w:t>No saw tooth hangers are allowed.</w:t>
      </w:r>
    </w:p>
    <w:p w:rsidR="00015F5B" w:rsidRDefault="008F72D6">
      <w:pPr>
        <w:pStyle w:val="BodyText"/>
        <w:spacing w:before="159"/>
        <w:ind w:left="108"/>
      </w:pPr>
      <w:r>
        <w:t>Gallery wrapped canvasses are acceptable, provided the art is suitably finished on all sides and with no exposed staples.</w:t>
      </w:r>
    </w:p>
    <w:p w:rsidR="00015F5B" w:rsidRDefault="00015F5B">
      <w:pPr>
        <w:pStyle w:val="BodyText"/>
        <w:spacing w:before="10"/>
        <w:rPr>
          <w:sz w:val="14"/>
        </w:rPr>
      </w:pPr>
    </w:p>
    <w:p w:rsidR="00015F5B" w:rsidRDefault="008F72D6">
      <w:pPr>
        <w:pStyle w:val="Heading4"/>
      </w:pPr>
      <w:r>
        <w:t>All pieces are to be priced for sale. Lacomb</w:t>
      </w:r>
      <w:r>
        <w:t>e Art Guild retains 20% from all sales.</w:t>
      </w:r>
    </w:p>
    <w:p w:rsidR="00015F5B" w:rsidRDefault="008F72D6">
      <w:pPr>
        <w:pStyle w:val="BodyText"/>
        <w:spacing w:before="178" w:line="259" w:lineRule="auto"/>
        <w:ind w:left="108"/>
      </w:pPr>
      <w:r>
        <w:t>All submissions must include: Artist name, Title of artwork, size of artwork (H” x W”), medium and price. The attached submission form needs to be filled out and accompany the artwork.</w:t>
      </w:r>
    </w:p>
    <w:p w:rsidR="00015F5B" w:rsidRDefault="008F72D6">
      <w:pPr>
        <w:pStyle w:val="BodyText"/>
        <w:spacing w:before="162"/>
        <w:ind w:left="108"/>
      </w:pPr>
      <w:r>
        <w:t>Lakeview Regional Medical Cente</w:t>
      </w:r>
      <w:r>
        <w:t>r reserves the right to reject a piece of art that does not support the hospital’s environment.</w:t>
      </w:r>
    </w:p>
    <w:p w:rsidR="00015F5B" w:rsidRDefault="008F72D6">
      <w:pPr>
        <w:pStyle w:val="Heading2"/>
        <w:spacing w:before="176"/>
        <w:rPr>
          <w:u w:val="none"/>
        </w:rPr>
      </w:pPr>
      <w:r>
        <w:t>Exhibit Details</w:t>
      </w:r>
      <w:r>
        <w:rPr>
          <w:u w:val="none"/>
        </w:rPr>
        <w:t>:</w:t>
      </w:r>
    </w:p>
    <w:p w:rsidR="00015F5B" w:rsidRDefault="00015F5B">
      <w:pPr>
        <w:pStyle w:val="BodyText"/>
        <w:spacing w:before="1"/>
        <w:rPr>
          <w:b/>
          <w:sz w:val="10"/>
        </w:rPr>
      </w:pPr>
    </w:p>
    <w:p w:rsidR="00015F5B" w:rsidRDefault="008F72D6">
      <w:pPr>
        <w:pStyle w:val="BodyText"/>
        <w:spacing w:before="59" w:line="259" w:lineRule="auto"/>
        <w:ind w:left="108"/>
      </w:pPr>
      <w:r>
        <w:t>Lakeview Regional Medical Center will coordinate and install all exhibits. Artwork will hang for a period of three months on the main floor on</w:t>
      </w:r>
      <w:r>
        <w:t xml:space="preserve"> four columns in the breezeway area as deemed by Lakeview Regional Medical Center.</w:t>
      </w:r>
    </w:p>
    <w:p w:rsidR="00015F5B" w:rsidRDefault="008F72D6">
      <w:pPr>
        <w:pStyle w:val="BodyText"/>
        <w:spacing w:before="162"/>
        <w:ind w:left="108"/>
      </w:pPr>
      <w:r>
        <w:t>Artwork size categories:</w:t>
      </w:r>
    </w:p>
    <w:p w:rsidR="00015F5B" w:rsidRDefault="008F72D6">
      <w:pPr>
        <w:pStyle w:val="ListParagraph"/>
        <w:numPr>
          <w:ilvl w:val="0"/>
          <w:numId w:val="1"/>
        </w:numPr>
        <w:tabs>
          <w:tab w:val="left" w:pos="849"/>
        </w:tabs>
        <w:spacing w:before="178"/>
        <w:ind w:hanging="289"/>
        <w:rPr>
          <w:sz w:val="20"/>
        </w:rPr>
      </w:pPr>
      <w:r>
        <w:rPr>
          <w:sz w:val="20"/>
        </w:rPr>
        <w:t>(1) Large piece maximum 48”H x</w:t>
      </w:r>
      <w:r>
        <w:rPr>
          <w:spacing w:val="-8"/>
          <w:sz w:val="20"/>
        </w:rPr>
        <w:t xml:space="preserve"> </w:t>
      </w:r>
      <w:r>
        <w:rPr>
          <w:sz w:val="20"/>
        </w:rPr>
        <w:t>45”W-72”W</w:t>
      </w:r>
    </w:p>
    <w:p w:rsidR="00015F5B" w:rsidRDefault="008F72D6">
      <w:pPr>
        <w:pStyle w:val="ListParagraph"/>
        <w:numPr>
          <w:ilvl w:val="0"/>
          <w:numId w:val="1"/>
        </w:numPr>
        <w:tabs>
          <w:tab w:val="left" w:pos="849"/>
        </w:tabs>
        <w:ind w:hanging="289"/>
        <w:rPr>
          <w:sz w:val="20"/>
        </w:rPr>
      </w:pPr>
      <w:r>
        <w:rPr>
          <w:sz w:val="20"/>
        </w:rPr>
        <w:t>(2) Medium pieces approximately 40”H x</w:t>
      </w:r>
      <w:r>
        <w:rPr>
          <w:spacing w:val="-2"/>
          <w:sz w:val="20"/>
        </w:rPr>
        <w:t xml:space="preserve"> </w:t>
      </w:r>
      <w:r>
        <w:rPr>
          <w:sz w:val="20"/>
        </w:rPr>
        <w:t>33”W</w:t>
      </w:r>
    </w:p>
    <w:p w:rsidR="00015F5B" w:rsidRDefault="008F72D6">
      <w:pPr>
        <w:pStyle w:val="ListParagraph"/>
        <w:numPr>
          <w:ilvl w:val="0"/>
          <w:numId w:val="1"/>
        </w:numPr>
        <w:tabs>
          <w:tab w:val="left" w:pos="849"/>
        </w:tabs>
        <w:ind w:hanging="289"/>
        <w:rPr>
          <w:sz w:val="20"/>
        </w:rPr>
      </w:pPr>
      <w:r>
        <w:rPr>
          <w:sz w:val="20"/>
        </w:rPr>
        <w:t>(8) Small pieces maximum approximately 24”H X</w:t>
      </w:r>
      <w:r>
        <w:rPr>
          <w:spacing w:val="-6"/>
          <w:sz w:val="20"/>
        </w:rPr>
        <w:t xml:space="preserve"> </w:t>
      </w:r>
      <w:r>
        <w:rPr>
          <w:sz w:val="20"/>
        </w:rPr>
        <w:t>26”W</w:t>
      </w:r>
    </w:p>
    <w:p w:rsidR="00015F5B" w:rsidRDefault="00015F5B">
      <w:pPr>
        <w:pStyle w:val="BodyText"/>
        <w:spacing w:before="1"/>
        <w:rPr>
          <w:sz w:val="23"/>
        </w:rPr>
      </w:pPr>
    </w:p>
    <w:p w:rsidR="00015F5B" w:rsidRDefault="008F72D6">
      <w:pPr>
        <w:pStyle w:val="BodyText"/>
        <w:spacing w:line="259" w:lineRule="auto"/>
        <w:ind w:left="108"/>
      </w:pPr>
      <w:r>
        <w:rPr>
          <w:b/>
        </w:rPr>
        <w:t>Liability</w:t>
      </w:r>
      <w:r>
        <w:t>: Neither Lacombe Art Guild nor Lakeview Regional Medical Center can be held liable for damage, loss or theft of artwork.</w:t>
      </w:r>
    </w:p>
    <w:p w:rsidR="00015F5B" w:rsidRDefault="008F72D6">
      <w:pPr>
        <w:pStyle w:val="Heading4"/>
        <w:spacing w:before="159" w:line="259" w:lineRule="auto"/>
      </w:pPr>
      <w:r>
        <w:t>Artists are responsible for the delivery of their artwork to the Lacombe Art Guild regularly scheduled meeting prior to the hanging da</w:t>
      </w:r>
      <w:r>
        <w:t>te set forth by Lakeview Regional Medical Center.</w:t>
      </w:r>
    </w:p>
    <w:p w:rsidR="00015F5B" w:rsidRDefault="008F72D6">
      <w:pPr>
        <w:spacing w:before="159"/>
        <w:ind w:left="108"/>
        <w:rPr>
          <w:b/>
        </w:rPr>
      </w:pPr>
      <w:r>
        <w:rPr>
          <w:b/>
          <w:u w:val="single"/>
        </w:rPr>
        <w:t>Sales</w:t>
      </w:r>
      <w:r>
        <w:rPr>
          <w:b/>
        </w:rPr>
        <w:t>:</w:t>
      </w:r>
    </w:p>
    <w:p w:rsidR="00015F5B" w:rsidRDefault="00015F5B">
      <w:pPr>
        <w:pStyle w:val="BodyText"/>
        <w:spacing w:before="1"/>
        <w:rPr>
          <w:b/>
          <w:sz w:val="10"/>
        </w:rPr>
      </w:pPr>
    </w:p>
    <w:p w:rsidR="00015F5B" w:rsidRDefault="008F72D6">
      <w:pPr>
        <w:pStyle w:val="BodyText"/>
        <w:spacing w:before="60"/>
        <w:ind w:left="108"/>
      </w:pPr>
      <w:r>
        <w:t>Any purchase/transaction will be handled directly between the artist and purchaser.</w:t>
      </w:r>
    </w:p>
    <w:p w:rsidR="00015F5B" w:rsidRDefault="00015F5B">
      <w:pPr>
        <w:pStyle w:val="BodyText"/>
        <w:spacing w:before="9"/>
        <w:rPr>
          <w:sz w:val="14"/>
        </w:rPr>
      </w:pPr>
    </w:p>
    <w:p w:rsidR="00015F5B" w:rsidRDefault="008F72D6" w:rsidP="008F72D6">
      <w:pPr>
        <w:pStyle w:val="Heading4"/>
        <w:spacing w:line="256"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2546985</wp:posOffset>
                </wp:positionH>
                <wp:positionV relativeFrom="paragraph">
                  <wp:posOffset>300990</wp:posOffset>
                </wp:positionV>
                <wp:extent cx="34925"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0.55pt;margin-top:23.7pt;width:2.7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6EdQIAAPc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" fillcolor="black" stroked="f">
                <w10:wrap anchorx="page"/>
              </v:rect>
            </w:pict>
          </mc:Fallback>
        </mc:AlternateContent>
      </w:r>
      <w:r>
        <w:rPr>
          <w:u w:val="single"/>
        </w:rPr>
        <w:t>Lacombe Art Guild retains 20% from all sales and is due at the next LAG meeting. Please contact Joan Dupuy</w:t>
      </w:r>
      <w:r>
        <w:rPr>
          <w:u w:val="single"/>
        </w:rPr>
        <w:t>, Exhibition</w:t>
      </w:r>
      <w:r>
        <w:t xml:space="preserve"> </w:t>
      </w:r>
      <w:r>
        <w:rPr>
          <w:u w:val="single"/>
        </w:rPr>
        <w:t xml:space="preserve">Chairman at (985)966-5314.  </w:t>
      </w:r>
      <w:bookmarkStart w:id="0" w:name="_GoBack"/>
      <w:bookmarkEnd w:id="0"/>
      <w:r>
        <w:rPr>
          <w:u w:val="single"/>
        </w:rPr>
        <w:t xml:space="preserve"> </w:t>
      </w:r>
      <w:r>
        <w:t>If artwork is sold, artist has first option to replac</w:t>
      </w:r>
      <w:r>
        <w:t>e sold piece.</w:t>
      </w:r>
    </w:p>
    <w:p w:rsidR="00015F5B" w:rsidRDefault="00015F5B">
      <w:pPr>
        <w:sectPr w:rsidR="00015F5B">
          <w:type w:val="continuous"/>
          <w:pgSz w:w="12240" w:h="15840"/>
          <w:pgMar w:top="680" w:right="800" w:bottom="280" w:left="880" w:header="720" w:footer="720" w:gutter="0"/>
          <w:cols w:space="720"/>
        </w:sectPr>
      </w:pPr>
    </w:p>
    <w:p w:rsidR="00015F5B" w:rsidRDefault="008F72D6">
      <w:pPr>
        <w:pStyle w:val="Heading1"/>
      </w:pPr>
      <w:r>
        <w:lastRenderedPageBreak/>
        <w:t>PLEASE ATTACH THIS FORM TO BACK OF ENTRY</w:t>
      </w:r>
    </w:p>
    <w:p w:rsidR="00015F5B" w:rsidRDefault="008F72D6">
      <w:pPr>
        <w:pStyle w:val="Heading3"/>
        <w:tabs>
          <w:tab w:val="left" w:pos="6751"/>
        </w:tabs>
        <w:spacing w:before="182" w:line="403" w:lineRule="auto"/>
        <w:ind w:right="1714"/>
      </w:pPr>
      <w:r>
        <w:t>Lacombe Art Guild Artists of the Quarter Exhibit Entry Form for Lakeview Regional Medical Center Artist</w:t>
      </w:r>
      <w:r>
        <w:rPr>
          <w:spacing w:val="-1"/>
        </w:rPr>
        <w:t xml:space="preserve"> </w:t>
      </w:r>
      <w:r>
        <w:t>Name</w:t>
      </w:r>
      <w:r>
        <w:rPr>
          <w:spacing w:val="-2"/>
        </w:rPr>
        <w:t xml:space="preserve"> </w:t>
      </w:r>
      <w:r>
        <w:rPr>
          <w:u w:val="single"/>
        </w:rPr>
        <w:t xml:space="preserve"> </w:t>
      </w:r>
      <w:r>
        <w:rPr>
          <w:u w:val="single"/>
        </w:rPr>
        <w:tab/>
      </w:r>
    </w:p>
    <w:p w:rsidR="00015F5B" w:rsidRDefault="008F72D6">
      <w:pPr>
        <w:tabs>
          <w:tab w:val="left" w:pos="6345"/>
        </w:tabs>
        <w:spacing w:line="267" w:lineRule="exact"/>
        <w:ind w:left="108"/>
      </w:pPr>
      <w:r>
        <w:t>Mailing Address</w:t>
      </w:r>
      <w:r>
        <w:rPr>
          <w:spacing w:val="-2"/>
        </w:rPr>
        <w:t xml:space="preserve"> </w:t>
      </w:r>
      <w:r>
        <w:rPr>
          <w:u w:val="single"/>
        </w:rPr>
        <w:t xml:space="preserve"> </w:t>
      </w:r>
      <w:r>
        <w:rPr>
          <w:u w:val="single"/>
        </w:rPr>
        <w:tab/>
      </w:r>
    </w:p>
    <w:p w:rsidR="00015F5B" w:rsidRDefault="00015F5B">
      <w:pPr>
        <w:pStyle w:val="BodyText"/>
        <w:spacing w:before="4"/>
        <w:rPr>
          <w:sz w:val="10"/>
        </w:rPr>
      </w:pPr>
    </w:p>
    <w:p w:rsidR="00015F5B" w:rsidRDefault="008F72D6">
      <w:pPr>
        <w:tabs>
          <w:tab w:val="left" w:pos="3722"/>
          <w:tab w:val="left" w:pos="6261"/>
          <w:tab w:val="left" w:pos="8322"/>
        </w:tabs>
        <w:spacing w:before="56"/>
        <w:ind w:left="108"/>
      </w:pPr>
      <w:r>
        <w:t>City</w:t>
      </w:r>
      <w:r>
        <w:rPr>
          <w:u w:val="single"/>
        </w:rPr>
        <w:t xml:space="preserve"> </w:t>
      </w:r>
      <w:r>
        <w:rPr>
          <w:u w:val="single"/>
        </w:rPr>
        <w:tab/>
      </w:r>
      <w:r>
        <w:t>State</w:t>
      </w:r>
      <w:r>
        <w:rPr>
          <w:u w:val="single"/>
        </w:rPr>
        <w:t xml:space="preserve"> </w:t>
      </w:r>
      <w:r>
        <w:rPr>
          <w:u w:val="single"/>
        </w:rPr>
        <w:tab/>
      </w:r>
      <w:r>
        <w:t>Zip</w:t>
      </w:r>
      <w:r>
        <w:rPr>
          <w:spacing w:val="-1"/>
        </w:rPr>
        <w:t xml:space="preserve"> </w:t>
      </w:r>
      <w:r>
        <w:rPr>
          <w:u w:val="single"/>
        </w:rPr>
        <w:t xml:space="preserve"> </w:t>
      </w:r>
      <w:r>
        <w:rPr>
          <w:u w:val="single"/>
        </w:rPr>
        <w:tab/>
      </w:r>
    </w:p>
    <w:p w:rsidR="00015F5B" w:rsidRDefault="00015F5B">
      <w:pPr>
        <w:pStyle w:val="BodyText"/>
        <w:spacing w:before="2"/>
        <w:rPr>
          <w:sz w:val="10"/>
        </w:rPr>
      </w:pPr>
    </w:p>
    <w:p w:rsidR="00015F5B" w:rsidRDefault="008F72D6">
      <w:pPr>
        <w:tabs>
          <w:tab w:val="left" w:pos="8337"/>
        </w:tabs>
        <w:spacing w:before="56"/>
        <w:ind w:left="108"/>
      </w:pPr>
      <w:r>
        <w:t>Email</w:t>
      </w:r>
      <w:r>
        <w:rPr>
          <w:spacing w:val="-3"/>
        </w:rPr>
        <w:t xml:space="preserve"> </w:t>
      </w:r>
      <w:r>
        <w:t xml:space="preserve">address </w:t>
      </w:r>
      <w:r>
        <w:rPr>
          <w:u w:val="single"/>
        </w:rPr>
        <w:t xml:space="preserve"> </w:t>
      </w:r>
      <w:r>
        <w:rPr>
          <w:u w:val="single"/>
        </w:rPr>
        <w:tab/>
      </w:r>
    </w:p>
    <w:p w:rsidR="00015F5B" w:rsidRDefault="00015F5B">
      <w:pPr>
        <w:pStyle w:val="BodyText"/>
        <w:spacing w:before="5"/>
        <w:rPr>
          <w:sz w:val="10"/>
        </w:rPr>
      </w:pPr>
    </w:p>
    <w:p w:rsidR="00015F5B" w:rsidRDefault="008F72D6">
      <w:pPr>
        <w:tabs>
          <w:tab w:val="left" w:pos="5034"/>
          <w:tab w:val="left" w:pos="9409"/>
        </w:tabs>
        <w:spacing w:before="56"/>
        <w:ind w:left="108"/>
      </w:pPr>
      <w:r>
        <w:t>Cell</w:t>
      </w:r>
      <w:r>
        <w:rPr>
          <w:spacing w:val="-1"/>
        </w:rPr>
        <w:t xml:space="preserve"> </w:t>
      </w:r>
      <w:r>
        <w:t>phone</w:t>
      </w:r>
      <w:r>
        <w:rPr>
          <w:spacing w:val="-2"/>
        </w:rPr>
        <w:t xml:space="preserve"> </w:t>
      </w:r>
      <w:r>
        <w:t>#</w:t>
      </w:r>
      <w:r>
        <w:rPr>
          <w:u w:val="single"/>
        </w:rPr>
        <w:t xml:space="preserve"> </w:t>
      </w:r>
      <w:r>
        <w:rPr>
          <w:u w:val="single"/>
        </w:rPr>
        <w:tab/>
      </w:r>
      <w:r>
        <w:t>Home phone</w:t>
      </w:r>
      <w:r>
        <w:rPr>
          <w:spacing w:val="-5"/>
        </w:rPr>
        <w:t xml:space="preserve"> </w:t>
      </w:r>
      <w:r>
        <w:t xml:space="preserve"># </w:t>
      </w:r>
      <w:r>
        <w:rPr>
          <w:u w:val="single"/>
        </w:rPr>
        <w:t xml:space="preserve"> </w:t>
      </w:r>
      <w:r>
        <w:rPr>
          <w:u w:val="single"/>
        </w:rPr>
        <w:tab/>
      </w:r>
    </w:p>
    <w:p w:rsidR="00015F5B" w:rsidRDefault="00015F5B">
      <w:pPr>
        <w:pStyle w:val="BodyText"/>
      </w:pPr>
    </w:p>
    <w:p w:rsidR="00015F5B" w:rsidRDefault="00015F5B">
      <w:pPr>
        <w:pStyle w:val="BodyText"/>
        <w:spacing w:before="11"/>
        <w:rPr>
          <w:sz w:val="26"/>
        </w:rPr>
      </w:pPr>
    </w:p>
    <w:p w:rsidR="00015F5B" w:rsidRDefault="008F72D6">
      <w:pPr>
        <w:tabs>
          <w:tab w:val="left" w:pos="6269"/>
          <w:tab w:val="left" w:pos="9531"/>
        </w:tabs>
        <w:spacing w:before="57"/>
        <w:ind w:left="108"/>
      </w:pPr>
      <w:r>
        <w:t>Entry</w:t>
      </w:r>
      <w:r>
        <w:rPr>
          <w:spacing w:val="-3"/>
        </w:rPr>
        <w:t xml:space="preserve"> </w:t>
      </w:r>
      <w:r>
        <w:t>Title</w:t>
      </w:r>
      <w:r>
        <w:rPr>
          <w:u w:val="single"/>
        </w:rPr>
        <w:t xml:space="preserve"> </w:t>
      </w:r>
      <w:r>
        <w:rPr>
          <w:u w:val="single"/>
        </w:rPr>
        <w:tab/>
      </w:r>
      <w:r>
        <w:t>Medium</w:t>
      </w:r>
      <w:r>
        <w:rPr>
          <w:spacing w:val="1"/>
        </w:rPr>
        <w:t xml:space="preserve"> </w:t>
      </w:r>
      <w:r>
        <w:rPr>
          <w:u w:val="single"/>
        </w:rPr>
        <w:t xml:space="preserve"> </w:t>
      </w:r>
      <w:r>
        <w:rPr>
          <w:u w:val="single"/>
        </w:rPr>
        <w:tab/>
      </w:r>
    </w:p>
    <w:p w:rsidR="00015F5B" w:rsidRDefault="00015F5B">
      <w:pPr>
        <w:pStyle w:val="BodyText"/>
        <w:spacing w:before="4"/>
        <w:rPr>
          <w:sz w:val="10"/>
        </w:rPr>
      </w:pPr>
    </w:p>
    <w:p w:rsidR="00015F5B" w:rsidRDefault="008F72D6">
      <w:pPr>
        <w:tabs>
          <w:tab w:val="left" w:pos="5387"/>
          <w:tab w:val="left" w:pos="8886"/>
        </w:tabs>
        <w:spacing w:before="56"/>
        <w:ind w:left="108"/>
        <w:rPr>
          <w:rFonts w:ascii="Times New Roman" w:hAnsi="Times New Roman"/>
        </w:rPr>
      </w:pPr>
      <w:r>
        <w:t>Size H”</w:t>
      </w:r>
      <w:r>
        <w:rPr>
          <w:spacing w:val="-2"/>
        </w:rPr>
        <w:t xml:space="preserve"> </w:t>
      </w:r>
      <w:r>
        <w:t>X</w:t>
      </w:r>
      <w:r>
        <w:rPr>
          <w:spacing w:val="1"/>
        </w:rPr>
        <w:t xml:space="preserve"> </w:t>
      </w:r>
      <w:r>
        <w:t>W”</w:t>
      </w:r>
      <w:r>
        <w:rPr>
          <w:u w:val="single"/>
        </w:rPr>
        <w:t xml:space="preserve"> </w:t>
      </w:r>
      <w:r>
        <w:rPr>
          <w:u w:val="single"/>
        </w:rPr>
        <w:tab/>
      </w:r>
      <w:r>
        <w:t>Price</w:t>
      </w:r>
      <w:r>
        <w:rPr>
          <w:spacing w:val="-2"/>
        </w:rPr>
        <w:t xml:space="preserve"> </w:t>
      </w:r>
      <w:r>
        <w:rPr>
          <w:rFonts w:ascii="Times New Roman" w:hAnsi="Times New Roman"/>
          <w:u w:val="single"/>
        </w:rPr>
        <w:t xml:space="preserve"> </w:t>
      </w:r>
      <w:r>
        <w:rPr>
          <w:rFonts w:ascii="Times New Roman" w:hAnsi="Times New Roman"/>
          <w:u w:val="single"/>
        </w:rPr>
        <w:tab/>
      </w:r>
    </w:p>
    <w:sectPr w:rsidR="00015F5B">
      <w:pgSz w:w="12240" w:h="15840"/>
      <w:pgMar w:top="680" w:right="8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174FE"/>
    <w:multiLevelType w:val="hybridMultilevel"/>
    <w:tmpl w:val="04EA0296"/>
    <w:lvl w:ilvl="0" w:tplc="ABF099E6">
      <w:start w:val="1"/>
      <w:numFmt w:val="decimal"/>
      <w:lvlText w:val="%1."/>
      <w:lvlJc w:val="left"/>
      <w:pPr>
        <w:ind w:left="848" w:hanging="288"/>
        <w:jc w:val="left"/>
      </w:pPr>
      <w:rPr>
        <w:rFonts w:ascii="Calibri" w:eastAsia="Calibri" w:hAnsi="Calibri" w:cs="Calibri" w:hint="default"/>
        <w:w w:val="99"/>
        <w:sz w:val="20"/>
        <w:szCs w:val="20"/>
        <w:lang w:val="en-US" w:eastAsia="en-US" w:bidi="en-US"/>
      </w:rPr>
    </w:lvl>
    <w:lvl w:ilvl="1" w:tplc="AAC0280A">
      <w:numFmt w:val="bullet"/>
      <w:lvlText w:val="•"/>
      <w:lvlJc w:val="left"/>
      <w:pPr>
        <w:ind w:left="1812" w:hanging="288"/>
      </w:pPr>
      <w:rPr>
        <w:rFonts w:hint="default"/>
        <w:lang w:val="en-US" w:eastAsia="en-US" w:bidi="en-US"/>
      </w:rPr>
    </w:lvl>
    <w:lvl w:ilvl="2" w:tplc="5F4C4D00">
      <w:numFmt w:val="bullet"/>
      <w:lvlText w:val="•"/>
      <w:lvlJc w:val="left"/>
      <w:pPr>
        <w:ind w:left="2784" w:hanging="288"/>
      </w:pPr>
      <w:rPr>
        <w:rFonts w:hint="default"/>
        <w:lang w:val="en-US" w:eastAsia="en-US" w:bidi="en-US"/>
      </w:rPr>
    </w:lvl>
    <w:lvl w:ilvl="3" w:tplc="6A9A2410">
      <w:numFmt w:val="bullet"/>
      <w:lvlText w:val="•"/>
      <w:lvlJc w:val="left"/>
      <w:pPr>
        <w:ind w:left="3756" w:hanging="288"/>
      </w:pPr>
      <w:rPr>
        <w:rFonts w:hint="default"/>
        <w:lang w:val="en-US" w:eastAsia="en-US" w:bidi="en-US"/>
      </w:rPr>
    </w:lvl>
    <w:lvl w:ilvl="4" w:tplc="C90A0640">
      <w:numFmt w:val="bullet"/>
      <w:lvlText w:val="•"/>
      <w:lvlJc w:val="left"/>
      <w:pPr>
        <w:ind w:left="4728" w:hanging="288"/>
      </w:pPr>
      <w:rPr>
        <w:rFonts w:hint="default"/>
        <w:lang w:val="en-US" w:eastAsia="en-US" w:bidi="en-US"/>
      </w:rPr>
    </w:lvl>
    <w:lvl w:ilvl="5" w:tplc="33FA635A">
      <w:numFmt w:val="bullet"/>
      <w:lvlText w:val="•"/>
      <w:lvlJc w:val="left"/>
      <w:pPr>
        <w:ind w:left="5700" w:hanging="288"/>
      </w:pPr>
      <w:rPr>
        <w:rFonts w:hint="default"/>
        <w:lang w:val="en-US" w:eastAsia="en-US" w:bidi="en-US"/>
      </w:rPr>
    </w:lvl>
    <w:lvl w:ilvl="6" w:tplc="EF5C2878">
      <w:numFmt w:val="bullet"/>
      <w:lvlText w:val="•"/>
      <w:lvlJc w:val="left"/>
      <w:pPr>
        <w:ind w:left="6672" w:hanging="288"/>
      </w:pPr>
      <w:rPr>
        <w:rFonts w:hint="default"/>
        <w:lang w:val="en-US" w:eastAsia="en-US" w:bidi="en-US"/>
      </w:rPr>
    </w:lvl>
    <w:lvl w:ilvl="7" w:tplc="C6843AAE">
      <w:numFmt w:val="bullet"/>
      <w:lvlText w:val="•"/>
      <w:lvlJc w:val="left"/>
      <w:pPr>
        <w:ind w:left="7644" w:hanging="288"/>
      </w:pPr>
      <w:rPr>
        <w:rFonts w:hint="default"/>
        <w:lang w:val="en-US" w:eastAsia="en-US" w:bidi="en-US"/>
      </w:rPr>
    </w:lvl>
    <w:lvl w:ilvl="8" w:tplc="A6EEAAD4">
      <w:numFmt w:val="bullet"/>
      <w:lvlText w:val="•"/>
      <w:lvlJc w:val="left"/>
      <w:pPr>
        <w:ind w:left="8616" w:hanging="28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5B"/>
    <w:rsid w:val="00015F5B"/>
    <w:rsid w:val="008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37"/>
      <w:ind w:left="108"/>
      <w:outlineLvl w:val="0"/>
    </w:pPr>
    <w:rPr>
      <w:b/>
      <w:bCs/>
      <w:sz w:val="24"/>
      <w:szCs w:val="24"/>
    </w:rPr>
  </w:style>
  <w:style w:type="paragraph" w:styleId="Heading2">
    <w:name w:val="heading 2"/>
    <w:basedOn w:val="Normal"/>
    <w:uiPriority w:val="1"/>
    <w:qFormat/>
    <w:pPr>
      <w:ind w:left="108"/>
      <w:outlineLvl w:val="1"/>
    </w:pPr>
    <w:rPr>
      <w:b/>
      <w:bCs/>
      <w:u w:val="single" w:color="000000"/>
    </w:rPr>
  </w:style>
  <w:style w:type="paragraph" w:styleId="Heading3">
    <w:name w:val="heading 3"/>
    <w:basedOn w:val="Normal"/>
    <w:uiPriority w:val="1"/>
    <w:qFormat/>
    <w:pPr>
      <w:spacing w:before="56"/>
      <w:ind w:left="108"/>
      <w:outlineLvl w:val="2"/>
    </w:pPr>
  </w:style>
  <w:style w:type="paragraph" w:styleId="Heading4">
    <w:name w:val="heading 4"/>
    <w:basedOn w:val="Normal"/>
    <w:uiPriority w:val="1"/>
    <w:qFormat/>
    <w:pPr>
      <w:ind w:left="10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0"/>
      <w:ind w:left="848" w:hanging="28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72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37"/>
      <w:ind w:left="108"/>
      <w:outlineLvl w:val="0"/>
    </w:pPr>
    <w:rPr>
      <w:b/>
      <w:bCs/>
      <w:sz w:val="24"/>
      <w:szCs w:val="24"/>
    </w:rPr>
  </w:style>
  <w:style w:type="paragraph" w:styleId="Heading2">
    <w:name w:val="heading 2"/>
    <w:basedOn w:val="Normal"/>
    <w:uiPriority w:val="1"/>
    <w:qFormat/>
    <w:pPr>
      <w:ind w:left="108"/>
      <w:outlineLvl w:val="1"/>
    </w:pPr>
    <w:rPr>
      <w:b/>
      <w:bCs/>
      <w:u w:val="single" w:color="000000"/>
    </w:rPr>
  </w:style>
  <w:style w:type="paragraph" w:styleId="Heading3">
    <w:name w:val="heading 3"/>
    <w:basedOn w:val="Normal"/>
    <w:uiPriority w:val="1"/>
    <w:qFormat/>
    <w:pPr>
      <w:spacing w:before="56"/>
      <w:ind w:left="108"/>
      <w:outlineLvl w:val="2"/>
    </w:pPr>
  </w:style>
  <w:style w:type="paragraph" w:styleId="Heading4">
    <w:name w:val="heading 4"/>
    <w:basedOn w:val="Normal"/>
    <w:uiPriority w:val="1"/>
    <w:qFormat/>
    <w:pPr>
      <w:ind w:left="10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0"/>
      <w:ind w:left="848" w:hanging="28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7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Greffenius</dc:creator>
  <cp:lastModifiedBy>Earl Shackelford</cp:lastModifiedBy>
  <cp:revision>2</cp:revision>
  <dcterms:created xsi:type="dcterms:W3CDTF">2020-02-05T21:23:00Z</dcterms:created>
  <dcterms:modified xsi:type="dcterms:W3CDTF">2020-02-05T21:23:00Z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2020-02-05T00:00:00Z</vt:filetime>
  </property>
</Properties>
</file>