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86" w:rsidRDefault="00226886" w:rsidP="0022688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>
        <w:rPr>
          <w:noProof/>
        </w:rPr>
        <w:drawing>
          <wp:inline distT="0" distB="0" distL="0" distR="0">
            <wp:extent cx="5200650" cy="4657725"/>
            <wp:effectExtent l="0" t="0" r="0" b="9525"/>
            <wp:docPr id="1" name="Picture 1" descr="Auditorium2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ditorium2 -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86" w:rsidRDefault="00226886" w:rsidP="00226886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>Taken from Hiawatha Daily World 05-26-1920</w:t>
      </w:r>
    </w:p>
    <w:p w:rsidR="00226886" w:rsidRDefault="00226886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</w:p>
    <w:p w:rsid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>The Memorial Auditorium was e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>rected in 1920 to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honor of Veterans who fought in the Spanish American War, the Civil War and World War I.  The auditorium owned by the City of Hiawatha and financed through a “general obligations bond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>.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” </w:t>
      </w:r>
    </w:p>
    <w:p w:rsid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</w:p>
    <w:p w:rsidR="00284E26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>The upper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>-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level offices 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>initi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>ally occupied by the Homer White Post of the American Legion, the Grand Army of the Republic (G.A.R.) and the Women’s Relief Corp.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</w:t>
      </w:r>
    </w:p>
    <w:p w:rsidR="00284E26" w:rsidRDefault="00284E26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</w:p>
    <w:p w:rsidR="009A0FD3" w:rsidRDefault="00284E26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The auditorium was designed to seat over 1200 people comfortably with 800 seats downstairs and over 400 seats on the balcony. The 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auditorium </w:t>
      </w:r>
      <w:r w:rsidR="00C3629F">
        <w:rPr>
          <w:rFonts w:ascii="Bookman Old Style" w:eastAsia="Times New Roman" w:hAnsi="Bookman Old Style" w:cs="Helvetica"/>
          <w:color w:val="1C1E21"/>
          <w:sz w:val="28"/>
          <w:szCs w:val="28"/>
        </w:rPr>
        <w:t>acoustics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were designed so t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hat a speaker on the stage would 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be heard from any 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>position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in the house. </w:t>
      </w:r>
    </w:p>
    <w:p w:rsidR="005D4826" w:rsidRDefault="005D4826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</w:p>
    <w:p w:rsidR="005D4826" w:rsidRDefault="005D4826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From 1920 through the </w:t>
      </w:r>
      <w:r w:rsidR="00350FFC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1970s the 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>Memorial Auditorium will be widely loved by citizens of the community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>, and keen interest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shown in various aspects of the building. As noted from 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>“The Hiawatha W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>orld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>”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article on June 21, 1921. “City Bot Opera Chairs, Scenery and Light Fixtures for Auditorium” </w:t>
      </w:r>
    </w:p>
    <w:p w:rsidR="00284E26" w:rsidRDefault="00284E26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</w:p>
    <w:p w:rsidR="00284E26" w:rsidRDefault="00C3629F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>
        <w:rPr>
          <w:rFonts w:ascii="Bookman Old Style" w:eastAsia="Times New Roman" w:hAnsi="Bookman Old Style" w:cs="Helvetica"/>
          <w:color w:val="1C1E21"/>
          <w:sz w:val="28"/>
          <w:szCs w:val="28"/>
        </w:rPr>
        <w:lastRenderedPageBreak/>
        <w:t>In 1952</w:t>
      </w:r>
      <w:r w:rsidR="007C3742">
        <w:rPr>
          <w:rFonts w:ascii="Bookman Old Style" w:eastAsia="Times New Roman" w:hAnsi="Bookman Old Style" w:cs="Helvetica"/>
          <w:color w:val="1C1E21"/>
          <w:sz w:val="28"/>
          <w:szCs w:val="28"/>
        </w:rPr>
        <w:t>, wine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>-colored velvet drapes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</w:t>
      </w:r>
      <w:r w:rsidR="007C3742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were 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>installed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on the auditorium stage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. </w:t>
      </w:r>
      <w:r w:rsidR="00284E2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The </w:t>
      </w:r>
      <w:r w:rsidR="005D482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auditorium </w:t>
      </w:r>
      <w:r w:rsidR="00284E26">
        <w:rPr>
          <w:rFonts w:ascii="Bookman Old Style" w:eastAsia="Times New Roman" w:hAnsi="Bookman Old Style" w:cs="Helvetica"/>
          <w:color w:val="1C1E21"/>
          <w:sz w:val="28"/>
          <w:szCs w:val="28"/>
        </w:rPr>
        <w:t>stage would go on to feature hundreds of performers from 1922 through 1960.</w:t>
      </w:r>
      <w:r w:rsidR="007C3742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The auditorium would also feature</w:t>
      </w:r>
      <w:r w:rsidR="00142372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hundreds of “vaudeville” </w:t>
      </w:r>
      <w:r w:rsidR="007C3742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movies. </w:t>
      </w:r>
      <w:r w:rsidR="00284E2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The </w:t>
      </w:r>
      <w:r w:rsidR="007C3742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original 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auditorium </w:t>
      </w:r>
      <w:r w:rsidR="00284E2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backdrop screens featured a living room, a dining room, a front porch, a wooded scene, a view of the Mediterranean from 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the </w:t>
      </w:r>
      <w:r w:rsidR="00284E2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balcony, and the Goddess of Liberty. The Mediterranean Scene is the only original scene hanging on the backstage.  </w:t>
      </w:r>
    </w:p>
    <w:p w:rsidR="00C3629F" w:rsidRDefault="00C3629F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</w:p>
    <w:p w:rsidR="00C3629F" w:rsidRDefault="00C3629F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The Memorial Auditorium was proudly maintained, 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>continuously used,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and regularly visited by members of the community up into the 1970s.  It is at this time that the City determined that upkeep of the Memorial Auditorium was too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expensive and 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closed to the public. </w:t>
      </w:r>
    </w:p>
    <w:p w:rsidR="00C01EA6" w:rsidRDefault="00C01EA6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The following 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article 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>excerpt</w:t>
      </w: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was </w:t>
      </w: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published in 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>“</w:t>
      </w: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>Hiawatha Daily World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>”</w:t>
      </w: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on May 26, 1921. </w:t>
      </w: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Auditorium Highlights: </w:t>
      </w: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>Size of Auditorium 124 X 80 Feet</w:t>
      </w: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>Will seat 1,276 people</w:t>
      </w: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>Auditorium Cost $175,000</w:t>
      </w: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>Building site cost $10,500</w:t>
      </w: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>Contractor $113,800</w:t>
      </w: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Built by </w:t>
      </w:r>
      <w:proofErr w:type="spellStart"/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>Sanneman</w:t>
      </w:r>
      <w:proofErr w:type="spellEnd"/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Brothers</w:t>
      </w: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>Scenery $2,700</w:t>
      </w: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>Electric Light Fixtures $2,800</w:t>
      </w: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>Seats $6,700</w:t>
      </w: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>Heating and Ventilation $18,300</w:t>
      </w: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>Wiring $3,200</w:t>
      </w: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>Banquet Hall will seat 700 @ tables</w:t>
      </w:r>
    </w:p>
    <w:p w:rsidR="009A0FD3" w:rsidRPr="009A0FD3" w:rsidRDefault="009A0FD3" w:rsidP="009A0FD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 w:rsidRPr="009A0FD3">
        <w:rPr>
          <w:rFonts w:ascii="Bookman Old Style" w:eastAsia="Times New Roman" w:hAnsi="Bookman Old Style" w:cs="Helvetica"/>
          <w:color w:val="1C1E21"/>
          <w:sz w:val="28"/>
          <w:szCs w:val="28"/>
        </w:rPr>
        <w:t>Chamber of Commerce plates $325</w:t>
      </w:r>
    </w:p>
    <w:p w:rsidR="00B355FF" w:rsidRDefault="00B355FF">
      <w:pPr>
        <w:rPr>
          <w:rFonts w:ascii="Bookman Old Style" w:hAnsi="Bookman Old Style"/>
          <w:sz w:val="28"/>
          <w:szCs w:val="28"/>
        </w:rPr>
      </w:pPr>
    </w:p>
    <w:p w:rsidR="00142372" w:rsidRDefault="00C01EA6" w:rsidP="00C01EA6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>Today the Memori</w:t>
      </w:r>
      <w:r w:rsidR="00350FFC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al Auditorium receives financial assistance </w:t>
      </w:r>
      <w:r w:rsidR="009D4A92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annually </w:t>
      </w:r>
      <w:r w:rsidR="00350FFC">
        <w:rPr>
          <w:rFonts w:ascii="Bookman Old Style" w:eastAsia="Times New Roman" w:hAnsi="Bookman Old Style" w:cs="Helvetica"/>
          <w:color w:val="1C1E21"/>
          <w:sz w:val="28"/>
          <w:szCs w:val="28"/>
        </w:rPr>
        <w:t>from Brown County</w:t>
      </w:r>
      <w:r w:rsidR="00142372">
        <w:rPr>
          <w:rFonts w:ascii="Bookman Old Style" w:eastAsia="Times New Roman" w:hAnsi="Bookman Old Style" w:cs="Helvetica"/>
          <w:color w:val="1C1E21"/>
          <w:sz w:val="28"/>
          <w:szCs w:val="28"/>
        </w:rPr>
        <w:t>,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but</w:t>
      </w:r>
      <w:r w:rsidR="00350FFC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the buildings are maintained and 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>upheld by the Brown County His</w:t>
      </w:r>
      <w:r w:rsidR="00142372">
        <w:rPr>
          <w:rFonts w:ascii="Bookman Old Style" w:eastAsia="Times New Roman" w:hAnsi="Bookman Old Style" w:cs="Helvetica"/>
          <w:color w:val="1C1E21"/>
          <w:sz w:val="28"/>
          <w:szCs w:val="28"/>
        </w:rPr>
        <w:t>torical Society. It is easy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to recognize the place within the community that the Memorial Auditorium </w:t>
      </w:r>
      <w:r w:rsidR="009D4A92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once 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>held, and as we conti</w:t>
      </w:r>
      <w:r w:rsidR="00142372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nue to approach the 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>100</w:t>
      </w:r>
      <w:r w:rsidRPr="00C01EA6">
        <w:rPr>
          <w:rFonts w:ascii="Bookman Old Style" w:eastAsia="Times New Roman" w:hAnsi="Bookman Old Style" w:cs="Helvetica"/>
          <w:color w:val="1C1E21"/>
          <w:sz w:val="28"/>
          <w:szCs w:val="28"/>
          <w:vertAlign w:val="superscript"/>
        </w:rPr>
        <w:t>th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year of the Memorial Auditorium, </w:t>
      </w:r>
      <w:r w:rsidR="009D4A92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and the years that follow 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>Brown County Historical Society hopes that the charming place that the Auditor</w:t>
      </w:r>
      <w:r w:rsidR="009D4A92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ium held </w:t>
      </w:r>
      <w:r w:rsidR="00142372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will once again be vibrantly </w:t>
      </w:r>
      <w:r w:rsidR="009D4A92">
        <w:rPr>
          <w:rFonts w:ascii="Bookman Old Style" w:eastAsia="Times New Roman" w:hAnsi="Bookman Old Style" w:cs="Helvetica"/>
          <w:color w:val="1C1E21"/>
          <w:sz w:val="28"/>
          <w:szCs w:val="28"/>
        </w:rPr>
        <w:t>visible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. </w:t>
      </w:r>
    </w:p>
    <w:p w:rsidR="00142372" w:rsidRDefault="00142372" w:rsidP="00C01EA6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</w:p>
    <w:p w:rsidR="00C01EA6" w:rsidRDefault="00142372" w:rsidP="00C01EA6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As I was 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>reading the newspaper articles surroundin</w:t>
      </w: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>g the Memorial Auditorium, it was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 easy to garner the strong sense of pride the </w:t>
      </w:r>
      <w:r w:rsidR="009D4A92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community 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held for the </w:t>
      </w:r>
      <w:r w:rsidR="009D4A92">
        <w:rPr>
          <w:rFonts w:ascii="Bookman Old Style" w:eastAsia="Times New Roman" w:hAnsi="Bookman Old Style" w:cs="Helvetica"/>
          <w:color w:val="1C1E21"/>
          <w:sz w:val="28"/>
          <w:szCs w:val="28"/>
        </w:rPr>
        <w:t>Memorial Auditorium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. As you venture out, perhaps you will stop </w:t>
      </w:r>
      <w:r w:rsidR="00C01EA6">
        <w:rPr>
          <w:rFonts w:ascii="Bookman Old Style" w:eastAsia="Times New Roman" w:hAnsi="Bookman Old Style" w:cs="Helvetica"/>
          <w:color w:val="1C1E21"/>
          <w:sz w:val="28"/>
          <w:szCs w:val="28"/>
        </w:rPr>
        <w:lastRenderedPageBreak/>
        <w:t xml:space="preserve">by the Memorial Auditorium and revel in a bit of the magic. </w:t>
      </w:r>
      <w:r w:rsidR="00350FFC">
        <w:rPr>
          <w:rFonts w:ascii="Bookman Old Style" w:eastAsia="Times New Roman" w:hAnsi="Bookman Old Style" w:cs="Helvetica"/>
          <w:color w:val="1C1E21"/>
          <w:sz w:val="28"/>
          <w:szCs w:val="28"/>
        </w:rPr>
        <w:t>There is so much more to this story! Find it, and be sure to stop by and share with me what you have discovered. #</w:t>
      </w:r>
      <w:proofErr w:type="spellStart"/>
      <w:r w:rsidR="00350FFC">
        <w:rPr>
          <w:rFonts w:ascii="Bookman Old Style" w:eastAsia="Times New Roman" w:hAnsi="Bookman Old Style" w:cs="Helvetica"/>
          <w:color w:val="1C1E21"/>
          <w:sz w:val="28"/>
          <w:szCs w:val="28"/>
        </w:rPr>
        <w:t>HistoryMystery</w:t>
      </w:r>
      <w:proofErr w:type="spellEnd"/>
    </w:p>
    <w:p w:rsidR="00C01EA6" w:rsidRDefault="00C01EA6" w:rsidP="00C01EA6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</w:p>
    <w:p w:rsidR="00C01EA6" w:rsidRPr="00C01EA6" w:rsidRDefault="00C01EA6" w:rsidP="00C01EA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eastAsia="Times New Roman" w:hAnsi="Bookman Old Style" w:cs="Helvetica"/>
          <w:color w:val="1C1E21"/>
          <w:sz w:val="28"/>
          <w:szCs w:val="28"/>
        </w:rPr>
        <w:t xml:space="preserve">Are you or is anyone you know interested in history? Then the Brown County Historical Society is something you may want to be a part of membership is as follows: </w:t>
      </w:r>
      <w:r w:rsidRPr="00C01EA6">
        <w:rPr>
          <w:rFonts w:ascii="Bookman Old Style" w:hAnsi="Bookman Old Style"/>
          <w:sz w:val="28"/>
          <w:szCs w:val="28"/>
        </w:rPr>
        <w:t>Individual $15.00</w:t>
      </w:r>
      <w:r>
        <w:rPr>
          <w:rFonts w:ascii="Bookman Old Style" w:hAnsi="Bookman Old Style"/>
          <w:sz w:val="28"/>
          <w:szCs w:val="28"/>
        </w:rPr>
        <w:t xml:space="preserve">, </w:t>
      </w:r>
      <w:bookmarkStart w:id="0" w:name="_GoBack"/>
      <w:bookmarkEnd w:id="0"/>
      <w:r w:rsidR="00142372" w:rsidRPr="00C01EA6">
        <w:rPr>
          <w:rFonts w:ascii="Bookman Old Style" w:hAnsi="Bookman Old Style"/>
          <w:sz w:val="28"/>
          <w:szCs w:val="28"/>
        </w:rPr>
        <w:t>Family</w:t>
      </w:r>
      <w:r w:rsidR="00142372">
        <w:rPr>
          <w:rFonts w:ascii="Bookman Old Style" w:hAnsi="Bookman Old Style"/>
          <w:sz w:val="28"/>
          <w:szCs w:val="28"/>
        </w:rPr>
        <w:t xml:space="preserve"> </w:t>
      </w:r>
      <w:r w:rsidR="00142372" w:rsidRPr="00C01EA6">
        <w:rPr>
          <w:rFonts w:ascii="Bookman Old Style" w:hAnsi="Bookman Old Style"/>
          <w:sz w:val="28"/>
          <w:szCs w:val="28"/>
        </w:rPr>
        <w:t>$</w:t>
      </w:r>
      <w:r w:rsidRPr="00C01EA6">
        <w:rPr>
          <w:rFonts w:ascii="Bookman Old Style" w:hAnsi="Bookman Old Style"/>
          <w:sz w:val="28"/>
          <w:szCs w:val="28"/>
        </w:rPr>
        <w:t>30.00</w:t>
      </w:r>
      <w:r>
        <w:rPr>
          <w:rFonts w:ascii="Bookman Old Style" w:hAnsi="Bookman Old Style"/>
          <w:sz w:val="28"/>
          <w:szCs w:val="28"/>
        </w:rPr>
        <w:t xml:space="preserve">, </w:t>
      </w:r>
      <w:r w:rsidRPr="00C01EA6">
        <w:rPr>
          <w:rFonts w:ascii="Bookman Old Style" w:hAnsi="Bookman Old Style"/>
          <w:sz w:val="28"/>
          <w:szCs w:val="28"/>
        </w:rPr>
        <w:t>Business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C01EA6">
        <w:rPr>
          <w:rFonts w:ascii="Bookman Old Style" w:hAnsi="Bookman Old Style"/>
          <w:sz w:val="28"/>
          <w:szCs w:val="28"/>
        </w:rPr>
        <w:t>$30.00</w:t>
      </w:r>
      <w:r>
        <w:rPr>
          <w:rFonts w:ascii="Bookman Old Style" w:hAnsi="Bookman Old Style"/>
          <w:sz w:val="28"/>
          <w:szCs w:val="28"/>
        </w:rPr>
        <w:t xml:space="preserve">, </w:t>
      </w:r>
      <w:r w:rsidRPr="00C01EA6">
        <w:rPr>
          <w:rFonts w:ascii="Bookman Old Style" w:hAnsi="Bookman Old Style"/>
          <w:sz w:val="28"/>
          <w:szCs w:val="28"/>
        </w:rPr>
        <w:t>Life – One Time Charge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C01EA6">
        <w:rPr>
          <w:rFonts w:ascii="Bookman Old Style" w:hAnsi="Bookman Old Style"/>
          <w:sz w:val="28"/>
          <w:szCs w:val="28"/>
        </w:rPr>
        <w:t>$200.00</w:t>
      </w:r>
    </w:p>
    <w:p w:rsidR="00C01EA6" w:rsidRDefault="00C01EA6" w:rsidP="00C01EA6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C1E21"/>
          <w:sz w:val="28"/>
          <w:szCs w:val="28"/>
        </w:rPr>
      </w:pPr>
    </w:p>
    <w:p w:rsidR="00C01EA6" w:rsidRPr="009A0FD3" w:rsidRDefault="00C01EA6">
      <w:pPr>
        <w:rPr>
          <w:rFonts w:ascii="Bookman Old Style" w:hAnsi="Bookman Old Style"/>
          <w:sz w:val="28"/>
          <w:szCs w:val="28"/>
        </w:rPr>
      </w:pPr>
    </w:p>
    <w:sectPr w:rsidR="00C01EA6" w:rsidRPr="009A0FD3" w:rsidSect="007C37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sDCwMDUxMDa1NDFQ0lEKTi0uzszPAykwrgUAJTMftywAAAA="/>
  </w:docVars>
  <w:rsids>
    <w:rsidRoot w:val="009A0FD3"/>
    <w:rsid w:val="00104D01"/>
    <w:rsid w:val="00142372"/>
    <w:rsid w:val="00226886"/>
    <w:rsid w:val="00284E26"/>
    <w:rsid w:val="00350FFC"/>
    <w:rsid w:val="005D4826"/>
    <w:rsid w:val="007C3742"/>
    <w:rsid w:val="008C7EEF"/>
    <w:rsid w:val="009A0FD3"/>
    <w:rsid w:val="009D4A92"/>
    <w:rsid w:val="00B355FF"/>
    <w:rsid w:val="00C01EA6"/>
    <w:rsid w:val="00C3629F"/>
    <w:rsid w:val="00EA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5669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2019-06-14T17:48:00Z</dcterms:created>
  <dcterms:modified xsi:type="dcterms:W3CDTF">2019-06-19T15:59:00Z</dcterms:modified>
</cp:coreProperties>
</file>